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https://www.cnmc.es/expedientes/s042112</w:t>
      </w:r>
    </w:p>
    <w:p>
      <w:r>
        <w:t>Pages translated : 12</w:t>
      </w:r>
    </w:p>
    <w:p/>
    <w:p>
      <w:r>
        <w:rPr>
          <w:b/>
        </w:rPr>
        <w:t>[Pages 1–3]</w:t>
      </w:r>
    </w:p>
    <w:p>
      <w:r>
        <w:t xml:space="preserve">A U D I E N C I A N A C I O N A L  </w:t>
        <w:br/>
        <w:t xml:space="preserve">Contentious-Administrative Chamber  </w:t>
        <w:br/>
        <w:t xml:space="preserve">SECTION SIX  </w:t>
        <w:br/>
        <w:t xml:space="preserve">Case Number: 0000504/2013  </w:t>
        <w:br/>
        <w:t xml:space="preserve">Type of Appeal: ORDINARY PROCEDURE  </w:t>
        <w:br/>
        <w:t xml:space="preserve">General Registry Number: 04851/2013  </w:t>
        <w:br/>
        <w:t xml:space="preserve">Claimant: PROMOTORA DE INFORMACIONES S.A.  </w:t>
        <w:br/>
        <w:t xml:space="preserve">Procurator: Mr. ARGIMIRO VÁZQUEZ GUILLÉN  </w:t>
        <w:br/>
        <w:t xml:space="preserve">Defendant: NATIONAL COMMISSION ON COMPETITION  </w:t>
        <w:br/>
        <w:t xml:space="preserve">Co-defendant: MEDIAPRODUCCIÓN SLU AND REAL ZARAGOZA SAD  </w:t>
        <w:br/>
        <w:t xml:space="preserve">State Attorney  </w:t>
        <w:br/>
        <w:t xml:space="preserve">Reporting Judge: Hon. Ms. ANA ISABEL RESA GÓMEZ  </w:t>
        <w:br/>
        <w:t xml:space="preserve">S E N T E N C E No:  </w:t>
        <w:br/>
        <w:t xml:space="preserve">Hon. Ms. President:  </w:t>
        <w:br/>
        <w:t xml:space="preserve">Ms. BERTA SANTILLAN PEDROSA  </w:t>
        <w:br/>
        <w:t xml:space="preserve">Hon. Judges:  </w:t>
        <w:br/>
        <w:t xml:space="preserve">Mr. SANTIAGO PABLO SOLDEVILA FRAGOSO  </w:t>
        <w:br/>
        <w:t xml:space="preserve">Mr. FRANCISCO DE LA PEÑA ELIAS  </w:t>
        <w:br/>
        <w:t xml:space="preserve">Ms. ANA ISABEL RESA GÓMEZ  </w:t>
        <w:br/>
        <w:t xml:space="preserve">Mr. RAMÓN CASTILLO BADAL  </w:t>
        <w:br/>
        <w:t xml:space="preserve">Madrid, April 14, 2016.  </w:t>
        <w:br/>
        <w:t>Having seen the contentious-administrative appeal No. 504/13 brought before this Section Six of the Contentious-Administrative Chamber of the Audiencia Nacional by PROMOTORA DE INFORMACIONES S.A. represented by the Procurator Mr. Argimiro Vázquez Guillén against the resolution of the Council of the National Commission on Competition (CNMC) dated July 31, 2013 (case S/0421/12) regarding the complaint filed for alleged anti-competitive practices prohibited by Law 15/2007, of July 3, on the Defense of Competition. The defendant Administration has been represented and defended by the State Attorney, with MEDIAPRODUCCIÓN SLU represented by the Procurator Mr. Germán Marina Grimau and REAL ZARAGOZA SAD represented by Mr. Ramón Rodríguez Nogueira as co-defendants. The amount of the appeal is undetermined. The reporting judge has been the Hon. Ms. ANA ISABEL RESA GÓMEZ, Magistrate of the Section.</w:t>
      </w:r>
    </w:p>
    <w:p>
      <w:r>
        <w:t xml:space="preserve">STATEMENT OF FACTS  </w:t>
        <w:br/>
        <w:t xml:space="preserve">FIRST: On July 31, 2013, the Council of the National Commission on Markets and Competition issued a resolution in case S/0421/12, processed by the Investigation Directorate of the CNC following the complaint filed by Real Sociedad de Fútbol SAD for alleged anti-competitive practices prohibited by Law 15/2007, of July 3, on the Defense of Competition.  </w:t>
        <w:br/>
        <w:t xml:space="preserve">The aforementioned resolution contains the following operative part:  </w:t>
        <w:br/>
        <w:t xml:space="preserve">“SOLE.- Declare that in the present case it has not been proven that MEDIAPRODUCCIÓN, S.L. has violated Article 2 of Law 15/2007, of July 3, on the Defense of Competition (LDC) by committing certain practices aimed at extending the duration of its exclusive assignment contracts for the audiovisual rights of the League and the Copa de S.M. the King (except the final) with certain football clubs beyond the 2011/2012 season.”  </w:t>
        <w:br/>
        <w:t xml:space="preserve">SECOND: On October 31, 2014, the legal representation of the claimant filed a contentious-administrative appeal against said act before this Contentious-Administrative Chamber of the Audiencia Nacional. It was assigned to Section Six where it was admitted for processing, requesting the administrative file. A lawsuit was filed on February 28, 2014, in which the party requested a judgment to uphold the contentious-administrative appeal filed and annul the contested resolution.  </w:t>
        <w:br/>
        <w:t xml:space="preserve">The State Attorney was summoned to respond to the lawsuit by submitting a written statement in which he requested the dismissal of the appeal, a request that was also reiterated by Mediapro SLU, which additionally invoked the lack of active standing of the claimant.  </w:t>
        <w:br/>
        <w:t>THIRD: Upon receiving the case for trial, the proposed evidence was declared pertinent with the result recorded in the files, after which the files were concluded and pending scheduling for voting and judgment, which was carried out for April 13, 2016, having observed all legal requirements in the processing of this appeal.</w:t>
      </w:r>
    </w:p>
    <w:p>
      <w:r>
        <w:t xml:space="preserve">LEGAL REASONING  </w:t>
        <w:br/>
        <w:t xml:space="preserve">FIRST: The contested act is a resolution of the Council of the National Commission on Competition, which declares that in the present case it has not been proven that MEDIAPRODUCCIÓN, S.L. has violated Article 2 of Law 15/2007, of July 3, on the Defense of Competition (LDC) by committing certain practices aimed at extending the duration of its exclusive assignment contracts for the audiovisual rights of the League and the Copa de S.M. the King (except the final) with certain football clubs beyond the 2011/2012 season.  </w:t>
        <w:br/>
        <w:t xml:space="preserve">The following factual data must be taken into account for the resolution of this contentious matter:  </w:t>
        <w:br/>
        <w:t xml:space="preserve">1. On May 10, 2012, a complaint was filed with the National Commission on Competition by Real Sociedad de Fútbol S.A.D. against Mediaproducción, S.L. for an alleged violation of Article 2 of Law 15/2007, of July 3, on the Defense of Competition (LDC). This complaint was supplemented by REAL SOCIEDAD through writings that were received by the CNC on July 10 and 23, 2012.  </w:t>
        <w:br/>
        <w:t xml:space="preserve">The practices reported by REAL SOCIEDAD would consist of acts of coercion by MEDIAPRO to extend the duration of the exclusive assignment contracts by REAL SOCIEDAD to MEDIAPRO for the audiovisual rights to broadcast the matches of the League and Copa de S.M. the King (except the final) in which it participates. According to the information provided by REAL SOCIEDAD, MEDIAPRO would have carried out similar abusive practices regarding the agreements on audiovisual rights of football reached by this company with Real Zaragoza, S.A.D., Athletic Club, Real Club Espanyol de Barcelona, S.A.D., and other football clubs.  </w:t>
        <w:br/>
        <w:t xml:space="preserve">In particular, REAL SOCIEDAD considers that MEDIAPRO has engaged in abusive conduct by failing to meet payment obligations arising from the audiovisual rights contracts with the football clubs during the negotiation period for future contracts regarding these rights, in order to pressure the clubs to continue their contractual relationships with MEDIAPRO. Furthermore, MEDIAPRO would have resorted to legal actions for that same purpose. It would also have carried out campaigns to disseminate misleading information about the enforceability of the Resolution of the Council of April 14, 2010, in case S/0006/07, which misleads the football clubs.  </w:t>
        <w:br/>
        <w:t>2. On July 25, 2012, in accordance with the provisions of Article 49.1 of the LDC, the Investigation Directorate agreed to initiate sanctioning proceedings against MEDIAPRO for anti-competitive practices prohibited in Article 2 of the LDC, consisting of the abusive use by MEDIAPRO of the existing contracts regarding the audiovisual rights to broadcast the matches of the League and Copa de S.M. the King (except the final) of football with the aim of preventing or penalizing those clubs that considered subscribing...</w:t>
      </w:r>
    </w:p>
    <w:p>
      <w:r>
        <w:rPr>
          <w:b/>
        </w:rPr>
        <w:t>[Pages 4–6]</w:t>
      </w:r>
    </w:p>
    <w:p>
      <w:r>
        <w:t>una presión económica sobre ellos para que no suscriban contratos con terceros operadores. Sin embargo, la cuestión que se plantea es si dicha conducta ha tenido un efecto restrictivo sobre la competencia en los mercados de adquisición y reventa de derechos de retransmisión en directo de la Liga y la Copa de S.M. el Rey de fútbol en España.</w:t>
      </w:r>
    </w:p>
    <w:p>
      <w:r>
        <w:t>El Consejo considera que, aunque la conducta de MEDIAPRO puede ser cuestionable desde un punto de vista ético, no se ha demostrado que haya tenido un impacto negativo en la competencia efectiva en el mercado. En consecuencia, se concluye que no se ha acreditado la existencia de una infracción del artículo 2 de la LDC por parte de MEDIAPRO.</w:t>
      </w:r>
    </w:p>
    <w:p>
      <w:r>
        <w:t>CUARTO: En virtud de lo expuesto, el Consejo acuerda desestimar el recurso interpuesto por Mediaproducción SLU, confirmando la resolución de la DI en todos sus términos.</w:t>
      </w:r>
    </w:p>
    <w:p>
      <w:r>
        <w:rPr>
          <w:b/>
        </w:rPr>
        <w:t>[Pages 7–9]</w:t>
      </w:r>
    </w:p>
    <w:p>
      <w:r>
        <w:t>judgment of the Commission was based on materially accurate facts, free from any legal error, and devoid of any manifest error of assessment or abuse of power.</w:t>
      </w:r>
    </w:p>
    <w:p>
      <w:r>
        <w:t>FIFTH: The Court has already had the opportunity to rule on matters similar to the one currently questioned, notably in its judgment dated February 11, 2016, appeal 142/14, in which we maintained the following criterion, perfectly transferable to this appeal:</w:t>
      </w:r>
    </w:p>
    <w:p>
      <w:r>
        <w:t>“The issue to be addressed in the present case concerns defining what the obligations of the competition authority are when an individual or legal entity files a complaint about anti-competitive practices, and more specifically, whether there is an obligation on the part of said administration to investigate, the course that should be taken regarding the substance of each complaint, and the extent of judicial review in these cases.</w:t>
      </w:r>
    </w:p>
    <w:p>
      <w:r>
        <w:t>The STPI of September 18, 1992, case T-24/90 Automec, paragraphs 73 to 81, answered these questions with a doctrine that has remained unchanged over time. Due to its relevance and applicability to the present matter, paragraphs 73 to 81 of said resolution are reproduced, without the regulatory changes that have occurred since then affecting the essence of the "ratio" of the doctrine contained in the cited resolution:</w:t>
      </w:r>
    </w:p>
    <w:p>
      <w:r>
        <w:t>"73. To define the obligations of the Commission in this context, it must be preliminarily noted that it is responsible for the application and guidance of community competition policy (see the judgment of the Court of Justice, February 28, 1991, Delimitis, C-234/89, Rec. pp. 935 et seq., especially p. 991). This is why paragraph 1 of Article 89 of the Treaty assigns it the mission of ensuring the application of the principles established by Articles 85 and 86 and that the provisions adopted based on Article 87 confer broad powers.</w:t>
      </w:r>
    </w:p>
    <w:p>
      <w:r>
        <w:t>74. The scope of the Commission's powers in the field of competition law must be examined in light of paragraph 1 of Article 89 of the Treaty, which, in this area, constitutes the specific manifestation of the general monitoring mission entrusted to the Commission by Article 155 of the Treaty. However, as the Court of Justice has pointed out in the context of Article 169 of the Treaty (judgment of February 14, 1989, Star Fruit/Commission, 247/87, Rec. pp. 291 et seq., especially p. 301), this mission does not imply that the Commission is obliged to initiate proceedings aimed at proving possible violations of Community law.</w:t>
      </w:r>
    </w:p>
    <w:p>
      <w:r>
        <w:t>75. In this regard, the Court of First Instance points out that from the case law of the Court of Justice (judgment of October 18,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r>
    </w:p>
    <w:p>
      <w:r>
        <w:t>76. Since the Commission is not obliged to rule on whether or not an infringement exists, it cannot be compelled to carry out an investigation, as this could only aim to ascertain the evidence regarding whether or not an infringement exists, which it is not obliged to declare. In this regard, it should be noted that, unlike what is provided in the second sentence of paragraph 1 of Article 89 of the Treaty, in cases of requests submitted by Member States, Regulations No. 17 and No. 99/63 do not expressly obligate the Commission to initiate investigations into the complaints presented to it.</w:t>
      </w:r>
    </w:p>
    <w:p>
      <w:r>
        <w:t>77. In this regard, it should be noted that it constitutes an inherent element of the exercise of administrative activity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especially so when an authority has been entrusted with a monitoring and control mission as broad and general as that attributed to the Commission in the field of competition. Therefore, the fact that the Commission grants different degrees of priority to the cases submitted to it in the field of competition rules is in accordance with the obligations imposed on it by Community law.</w:t>
      </w:r>
    </w:p>
    <w:p>
      <w:r>
        <w:t>78. This viewpoint is not contrary to the judgments of the Court of Justice, of October 11, 1983 (210/81), previously cited; of March 28, 1985, CICCE (298/93, Rec. p. 1105), and of November 17, 1987, BAT and Reynolds/Commission (joined cases 142/84 and 156/84, Rec. p. 4487). Indeed, in the judgment Demo-Studio Schmidt,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r>
    </w:p>
    <w:p>
      <w:r>
        <w:t>79. However, while the Commission cannot be compelled to carry out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competition within the common market and affect trade between Member States (see the judgments of the Court of Justice of October 11, 1983, Demo-Studio Schmidt, of March 28, 1985, CICCE, and of November 17, 1987, BAT and Reynolds, previously cited).</w:t>
      </w:r>
    </w:p>
    <w:p>
      <w:r>
        <w:t>80. When, as occurs in the present case, the Commission has adopted a decision to dismiss the complaint without conducting any investigation, the legality review that this Court must carry out aims to verify that the contested decision is not based on materially inaccurate facts, is not vitiated by any legal error, nor by any manifest error of assessment or abuse of power.</w:t>
      </w:r>
    </w:p>
    <w:p>
      <w:r>
        <w:t>81. It is for the Court of First Instance, in light of these principles, to first verify whether the Commission conducted the examination of the complaint to which it was obliged, evaluating, with all necessary attention, the factual and legal elements presented by the complainant in its complaint and, secondly, whether the judgment of the Commission was based on materially accurate facts, free from any legal error, and devoid of any manifest error of assessment or abuse of power."</w:t>
      </w:r>
    </w:p>
    <w:p>
      <w:r>
        <w:rPr>
          <w:b/>
        </w:rPr>
        <w:t>[Pages 10–12]</w:t>
      </w:r>
    </w:p>
    <w:p>
      <w:r>
        <w:t>Commission correctly justified its decision to archive the complaint, invoking its authority to "grant different degrees of priority in initiating actions on the matters submitted to it," on one hand, and referring to the community interest of the matter as a criterion of priority, on the other.</w:t>
      </w:r>
    </w:p>
    <w:p>
      <w:r>
        <w:t>FIFTH: "The previous doctrine raises and resolves a situation that goes even beyond the reality underlying the present case, as it emphasizes on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can even establish degrees of priority in investigations.</w:t>
      </w:r>
    </w:p>
    <w:p>
      <w:r>
        <w:t>In both cases, the aforementioned decisions, necessarily taken based on a detailed examination of the facts and allegations made by the complainant, are subject to further judicial review, which excludes the assessment of the appropriateness in the decision-making, as it is limited to verifying that the contested decision is not based on materially inaccurate facts, is not tainted by any error of law, nor by any manifest error of appreciation, nor by abuse of power.</w:t>
      </w:r>
    </w:p>
    <w:p>
      <w:r>
        <w:t>In the present case, the action of the CNC falls within the first of the options previously contemplated, that is, the obligation to rule on the existence or non-existence of a specific infringement, specifically the infringement encompassed in Article 2 of Law 15/2007, as it dismisses the infringement of Articles 1 and 3 of the LDC and even though it does not provide an express reason for it, such exclusion rests tacitly on the very wording of those provisions which necessarily require the existence of agreements, decisions or collective recommendations or acts of unfair competition that, by distorting free competition, affect the public interest, when what has been reported by the plaintiff is an absolutely unilateral conduct of AENA.</w:t>
      </w:r>
    </w:p>
    <w:p>
      <w:r>
        <w:t>SIXTH: The decision to archive the complaint by the CNC is preceded by a preliminary investigation activity carried out by the DI. The CNC fully assumed the facts and the proposal, which conducted an analysis of the reported situation.</w:t>
      </w:r>
    </w:p>
    <w:p>
      <w:r>
        <w:t>The resolution of the CNC contains a sufficient account of the facts, in which no serious inaccuracy causing defenselessness has been revealed, and furthermore, a reasoning that on one hand allows the appellant to understand the reasons for the denial of her request, enabling the exercise of judicial actions and on the other hand cannot be classified as incurring a manifest error of appreciation, arbitrariness or constituting an abuse of power, when it states that there are no clear indications of abuse of a dominant position..."</w:t>
      </w:r>
    </w:p>
    <w:p>
      <w:r>
        <w:t>FIFTH: In accordance with the provisions of Article 139 of the LJCA, costs shall be imposed on the appellant, the losing party in this process.</w:t>
      </w:r>
    </w:p>
    <w:p>
      <w:r>
        <w:t>HAVING SEEN the cited provisions and others of general and pertinent application, by the power granted to us by the Constitution:</w:t>
      </w:r>
    </w:p>
    <w:p>
      <w:r>
        <w:t>WE DECREE</w:t>
      </w:r>
    </w:p>
    <w:p>
      <w:r>
        <w:t>That we must DISMISS AND DISMISS the contentious administrative appeal filed by the legal representation of PROMOTORA DE INFORMACIONES S.A. against the resolution of the Council of the National Commission on Competition (CNC) of July 31, 2013 (case S/0421/12) to which the claim refers, which we declare to be in accordance with the law. Costs are imposed on the plaintiff.</w:t>
      </w:r>
    </w:p>
    <w:p>
      <w:r>
        <w:t>Thus, by this our judgment, which will be notified stating that an appeal for cassation can be filed against it, following the instructions prescribed in Article 248 of Organic Law 6/1985, and a copy of which will be sent in due course to the originating office for legal purposes along with the file, if applicable, we pronounce, order, and sign.</w:t>
      </w:r>
    </w:p>
    <w:p>
      <w:r>
        <w:t>PUBLICATION.- Once signed and published, the previous resolution is delivered to this Secretariat for notification to the parties, issuing a literal certification of the same for its inclusion in the proceedings.</w:t>
      </w:r>
    </w:p>
    <w:p>
      <w:r>
        <w:t>In Madrid on 21/04/2016,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