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https://www.cnmc.es/expedientes/s042212</w:t>
      </w:r>
    </w:p>
    <w:p>
      <w:r>
        <w:t>Pages translated : 166</w:t>
      </w:r>
    </w:p>
    <w:p/>
    <w:p>
      <w:r>
        <w:rPr>
          <w:b/>
        </w:rPr>
        <w:t>[Pages 1–3]</w:t>
      </w:r>
    </w:p>
    <w:p>
      <w:r>
        <w:t>RESOLUTION (Case S/0422/12 CONTRACTS OF STAY)</w:t>
        <w:br/>
        <w:t>COMPETITION CHAMBER</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October 29, 2014</w:t>
        <w:br/>
        <w:t>The Competition Chamber of the National Commission of Markets and Competition has issued this Resolution in case S/0422/12 Contracts of Stay, initiated by the Investigation Directorate of the National Competition Commission, both now defunct, against TELEFÓNICA MÓVILES DE ESPAÑA, S.A.U. for alleged infringement of Article 1 of Law 15/2007, of July 3, on the Defense of Competition (hereinafter LDC) and Article 101 of the Treaty on the Functioning of the European Union (TFEU).</w:t>
        <w:br/>
        <w:t>BACKGROUND</w:t>
        <w:br/>
        <w:t>1. On March 12, 2012, two writings were submitted to the now-defunct National Competition Commission (hereinafter CNC) by two small business clients of TELEFÓNICA MÓVILES DE ESPAÑA, S.A.U. (hereinafter, TME) and VODAFONE ESPAÑA, S.A.U. (VODAFONE). Through these writings, the now-defunct Investigation Directorate (hereinafter, DI) became aware of the existence of stay conditions in certain contracts for the provision of mobile telephony services in the retail sector that could be contrary to the LDC, insofar as such conditions could hinder, without objective justification, the change of mobile telephony service provider.</w:t>
      </w:r>
    </w:p>
    <w:p>
      <w:r>
        <w:t>2. The DI opened preliminary proceedings (DP 2012/009), in which it requested information from the operators with the largest market share in the mobile telephony sector (TME, VODAFONE, and ORANGE) regarding the stay conditions applied in postpaid mobile service contracts, both in the residential segment and in the business segment.</w:t>
        <w:br/>
        <w:t>3. On June 1, 2012, after analyzing the information collected, the DI decided to open a reserved information case under reference S/0422/12, to which the preliminary proceedings were incorporated. Within the scope of this reserved information, new requests for information were made to the main mobile telephony operators.</w:t>
        <w:br/>
        <w:t>4. On December 18, 2012, the initiation of sanctioning case S/0422/12, Contracts of Stay, against TME was agreed upon for a possible anti-competitive practice prohibited by Article 1 of the LDC, consisting of the application of anti-competitive restrictive stay conditions in certain contracts for the provision of mobile services to business clients.</w:t>
        <w:br/>
        <w:t>5. On January 28, 2013, a written statement of allegations from TME regarding the agreements adopted by the DI on January 21, 2013, concerning the confidentiality of the documentation provided by TME in the context of the reference case was received by the CNC.</w:t>
        <w:br/>
        <w:t>6. On January 29, 2013, the DI agreed to admit VODAFONE and ORANGE as interested parties, who had requested this on January 15, 2013, and January 28, 2013, respectively.</w:t>
        <w:br/>
        <w:t>7. On February 8, 2013, the DI responded to TME's allegations and agreed to lift the confidentiality of part of the documentation provided by TME in the present case.</w:t>
        <w:br/>
        <w:t>8. On February 22, 2013, the CNC received the appeal filed by TME against the agreement of February 8, 2013, which lifted the confidentiality of part of the documentation provided by TME (R/0134/13).</w:t>
        <w:br/>
        <w:t>9. On February 25, 2013, the DI made a new request for information to TME, requesting an update as of December 31, 2012, of the data provided so far, as well as certain complementary information. The response to this request was sent by TME on March 14, 2013.</w:t>
        <w:br/>
        <w:t>10. On May 10, 2013, the CNC Council resolved not to admit the appeal filed by TME in case R/0134/13, regarding the partial lifting of the confidentiality of the documentation provided by TME on June 21 and November 22, 2012, as well as to dismiss it concerning the documentation provided by TME in a writing dated April 25, 2012.</w:t>
        <w:br/>
        <w:t>11. On October 18, 2013, the Statement of Facts (hereinafter PCH, pages 1306 to 1357) was formulated, which was notified to TME, VODAFONE, and ORANGE on the same day. In the PCH, the current Competition Directorate (DC) of the National Commission of Markets and Competition (CNMC) considered that TME's conduct constitutes an infringement of Article 1 of the LDC.</w:t>
        <w:br/>
        <w:t>12. On November 6, 2013, the allegations to the PCH, submitted by TME (pages 1537 to 1588), were received by the CNMC, which was supplemented on November 20, 2013, with the submission of its non-confidential version (pages 1663 to 1726). Likewise, on November 8, 2013, ORANGE submitted a written statement of allegations (pages 1601 to 1610), which was supplemented on November 15, 2013, with the submission of its non-confidential version (pages 1623 to 1631).</w:t>
        <w:br/>
        <w:t>13. The written statement of allegations submitted by TME contained a proposal for evidence consisting of the provision of an economic report, specifically prepared for the procedure by an independent expert, to assess the clauses and practices under investigation. After the DC accepted the proposed evidence, on November 27, 2013, TME submitted the aforementioned report to the CNMC (pages 1751-1806).</w:t>
        <w:br/>
        <w:t>14. Furthermore, TME, along with its written statement of allegations, submitted a request to initiate proceedings aimed at the conventional termination of the procedure, in accordance with the provisions of Articles 52 of the LDC and 39 of the Competition Defense Regulation (RDC), approved by Royal Decree 261/2008, of February 22. On November 19, 2013, the Director of Competition agreed to initiate the aforementioned proceedings aimed at conventional termination, giving TME a period of 15 days to present a proposal for commitments that would resolve the effects on competition. On December 10, 2013, TME submitted the proposal for commitments, which was sent to the CNMC Council and the other interested parties, with no allegations recorded against it. On January 8, 2014, after analyzing the commitments presented, the DC agreed that they did not adequately resolve the effects on competition arising from the conduct subject to the case, nor did they sufficiently guarantee the public interest.</w:t>
      </w:r>
    </w:p>
    <w:p>
      <w:r>
        <w:rPr>
          <w:b/>
        </w:rPr>
        <w:t>[Pages 4–6]</w:t>
      </w:r>
    </w:p>
    <w:p>
      <w:r>
        <w:t xml:space="preserve">Finally, TME submitted a new proposal of commitments on January 27, 2014, which was again rejected by the DC on February 14, 2014, closing the Conventional Termination procedure and resuming the counting of the deadline for procedure S/0422/12.  </w:t>
        <w:br/>
        <w:t xml:space="preserve">15. On February 24, 2014, the DC agreed to close the instruction phase of file S/0422/12, Contracts of Permanence, in accordance with the provisions of Article 33.1 of the RDC.  </w:t>
        <w:br/>
        <w:t xml:space="preserve">16. On March 3, 2014, the DC issued a Proposal for Resolution, which was notified to the parties on March 4, 2014.  </w:t>
        <w:br/>
        <w:t xml:space="preserve">On March 31 and April 1, 2014, the allegations to the Proposal for Resolution from TME (folios 2459-2491) and ORANGE (folios 2555-2568), respectively, were received by the CNMC. In its allegations, TME requested a hearing before the Council of the CNMC. Likewise, on that same day, March 31, TME's response to the request for information regarding its business volume was received.  </w:t>
        <w:br/>
        <w:t xml:space="preserve">17. On April 1, 2014, the DC submitted its Report and Proposal for Resolution to the Council of the CNMC.  </w:t>
        <w:br/>
        <w:t xml:space="preserve">18. On July 10, 2014, the Competition Chamber of the Council of the CNMC, considering that the alleged behaviors may affect intra-community exchanges, agreed to classify the conduct subject to this file as a practice contrary not only to Article 1 of the LDC but also to Article 101 of the TFEU (folios 2775 to 2778).  </w:t>
        <w:br/>
        <w:t xml:space="preserve">19. On August 28, 2014, the Competition Chamber of the Council of the CNMC agreed to send information to the European Commission as provided for in Article 11.4 of Council Regulation (EC) No. 1/2003 of December 16, 2002, regarding the application of the competition rules set out in Articles 101 and 102 of the Treaty, which took place on September 2, 2014.  </w:t>
        <w:br/>
        <w:t xml:space="preserve">On September 3, 2014 (folio 2803), an Agreement was issued informing the parties of the submission made to the European Commission, indicating that, in compliance with Article 37.2.c) of the LDC, the counting of the maximum deadline to resolve the file had been suspended until the European Commission responded to the information submitted, or the period referred to in the aforementioned Article 11.4 of Regulation EC 1/2003 elapsed. After the 30-day period referred to in the last provision mentioned, by Agreement of October 6, 2014 (folio 2823), and effective from October 3, 2014, the Council resolved to lift the suspension of the counting of the maximum deadline to resolve the reference file, which was notified to the parties.  </w:t>
        <w:br/>
        <w:t xml:space="preserve">20. On October 10, 2014, a written allegation was received by the CNMC from TME, requesting access to the conclusions of the European Commission regarding the present file.  </w:t>
        <w:br/>
        <w:t xml:space="preserve">21. The Regulatory Supervision Chamber reported in its meeting on October 23, 2014.  </w:t>
        <w:br/>
        <w:t xml:space="preserve">22. The Competition Chamber of the Council of the CNMC deliberated and ruled on this Resolution in its meeting on October 29, 2014.  </w:t>
        <w:br/>
        <w:t xml:space="preserve">ESTABLISHED FACTS  </w:t>
        <w:br/>
        <w:t xml:space="preserve">The behaviors subject to this file have been assessed by this Council based on the facts established by the DC of the CNMC, which are transcribed below.  </w:t>
        <w:br/>
        <w:t xml:space="preserve">I. THE PARTIES  </w:t>
        <w:br/>
        <w:t xml:space="preserve">The parties in this sanctioning file are:  </w:t>
        <w:br/>
        <w:t xml:space="preserve">TELEFÓNICA MÓVILES DE ESPAÑA, S.A.U. (TME)  </w:t>
        <w:br/>
        <w:t xml:space="preserve">TME is a 100% subsidiary of Telefónica, S.A., the parent company of the Telefónica Group. In Spain, the main activities of the Telefónica Group are the operation of retail fixed telephony, mobile telephony, and fixed broadband services, as well as the provision of related wholesale services. The operation of mobile telephony services of this group is carried out in Spain by TME, which markets them under the Movistar brand.  </w:t>
        <w:br/>
        <w:t xml:space="preserve">VODAFONE ESPAÑA, S.A. (VODAFONE)  </w:t>
        <w:br/>
        <w:t xml:space="preserve">VODAFONE is a subsidiary of the Vodafone Group, which is the second-largest mobile telecommunications operator in the world, both by number of customers and by revenue. In Spain, VODAFONE's main activity is the operation of retail mobile telephony services, although it also provides retail fixed telephony and fixed broadband services. Additionally, VODAFONE also provides wholesale mobile telephony services.  </w:t>
        <w:br/>
        <w:t xml:space="preserve">FRANCE TELECOM ESPAÑA, S.A. (ORANGE)  </w:t>
        <w:br/>
        <w:t xml:space="preserve">ORANGE is a company controlled by the France Telecom Group, which is the third-largest mobile telecommunications operator and the third-largest ADSL Internet access provider in Europe. The main activities of ORANGE in Spain are the provision of fixed telephony, mobile telephony, and Internet access services. Additionally, ORANGE also provides wholesale mobile telephony services.  </w:t>
        <w:br/>
        <w:t xml:space="preserve">II. AFFECTED MARKETS  </w:t>
        <w:br/>
        <w:t xml:space="preserve">The definition of the relevant market, both from the product perspective and its geographical dimension, allows for the delimitation and definition of the boundaries of competition between companies, as well as establishing the framework in which competition law is applied.  </w:t>
        <w:br/>
        <w:t xml:space="preserve">Therefore, prior to analyzing TME's conduct that may constitute an infringement of Article 1 of the LDC and Article 101 TFEU, it is necessary to define the relevant markets, both product and geographical, in which such conduct may have occurred.  </w:t>
        <w:br/>
        <w:t xml:space="preserve">1. Product Market  </w:t>
        <w:br/>
        <w:t xml:space="preserve">The behaviors investigated in this file take place in the field of mobile communications services, which have been the subject of investigation by the CNMC, as well as by the European Commission on numerous occasions, and which have been systematically considered as differentiated from fixed communications services, among other reasons due to the different features they offer, especially mobility.  </w:t>
        <w:br/>
        <w:t xml:space="preserve">Mobile communications services are those whose provision consists of establishing electronic communications of voice or data and that use a mobile telecommunications network. That is, a network whose network termination points are not in fixed locations. Specifically, the mobile connectivity services offered by operators include voice transmission (calls and video calls), messaging services (SMS and MMS), data connections, and Internet access, both narrowband and broadband, as well as other value-added services such as access to premium content or mobile television services. Additionally, mobile lines associated with machines (M2M) have been considerably developed.  </w:t>
        <w:br/>
        <w:t xml:space="preserve">In the field of electronic communications services, two major groups of services are usually distinguished:  </w:t>
        <w:br/>
        <w:t xml:space="preserve">a) Retail services, which are provided to end users (consumers and businesses).  </w:t>
        <w:br/>
        <w:t>b) Wholesale services, which allow other operators access to the facilities needed to provide retail services.</w:t>
      </w:r>
    </w:p>
    <w:p>
      <w:r>
        <w:rPr>
          <w:b/>
        </w:rPr>
        <w:t>[Pages 7–9]</w:t>
      </w:r>
    </w:p>
    <w:p>
      <w:r>
        <w:t>whilst the other mobile communication services are primarily focused on voice and messaging. The M2M services cater to specific needs such as telemetry, remote monitoring, and automation, which are distinct from the general consumer services. Therefore, it is appropriate to consider M2M services as a separate market for the purposes of this investigation.</w:t>
      </w:r>
    </w:p>
    <w:p>
      <w:r>
        <w:t>1.3. Conclusion on market definition</w:t>
        <w:br/>
        <w:t>In conclusion, the analysis of the relevant markets for mobile retail communication services indicates that while there are various types of services offered, the fundamental nature of the services provided (voice, SMS, data) does not warrant a segmentation of the market based on technology or service type. The interrelation of these services, particularly in terms of contractual commitments and consumer behavior, suggests that they should be treated as part of a unified market for mobile retail communication services.</w:t>
      </w:r>
    </w:p>
    <w:p>
      <w:r>
        <w:t>This approach aligns with the evolving landscape of mobile communications, where technological advancements and changing consumer preferences continue to shape the market dynamics. The focus should remain on the overall competitive environment and the implications of the practices under investigation, rather than on an artificial segmentation that does not reflect the realities of consumer choice and service provision.</w:t>
      </w:r>
    </w:p>
    <w:p>
      <w:r>
        <w:rPr>
          <w:b/>
        </w:rPr>
        <w:t>[Pages 10–12]</w:t>
      </w:r>
    </w:p>
    <w:p>
      <w:r>
        <w:t>machine to machine (M2M) cannot be considered, for the purposes of evaluating the behaviors analyzed in this file, as included in the same market as the other mobile communications services analyzed. Thus, M2M services are oriented towards data transmission between machines1 and not towards communication between people, so, from the demand perspective, they present no substitutability with other mobile communications services. They are also marketed differently and are subject to different regulatory frameworks, which means they present competitive conditions that are not homogeneous and are not relevant for the analysis of the behaviors investigated in this file.</w:t>
      </w:r>
    </w:p>
    <w:p>
      <w:r>
        <w:t>1.3. Residential customers and business customers</w:t>
        <w:br/>
        <w:t>In the field of retail mobile communications services, it is possible to consider the possibility of differentiating markets according to the type of customer: residential or business. For the business segment, mobile communications constitute a very relevant input for the production of goods or the provision of services in the markets where companies operate, due to their indispensable and irreplaceable nature. In this sense, the needs and level of use of these services are greater than those of individual customers. Furthermore, certain companies may require more complex services or additional services beyond those typically provided in the residential segment. The "Report of the CMT Services on the Competitive Situation in the Business Segment" (October 2011)2 highlights that the size of the company is a determining factor for the electronic communications service needs of businesses. This report distinguishes a large base of small business customers, who would access standardized products, whose marketing is aimed at this segment and which typically bundle various electronic communications services. Alongside these customers, there is a small number of larger companies that demand more complex and specific services, and that interact with operators in a personalized manner. Additionally, in the residential segment, it is significant that individuals contract mobile services in prepaid mode, while in the business segment this type of contracting is practically non-existent. Even if the analysis focuses on standardized products in postpaid mode, it is debatable whether, from the demand perspective, there is a sufficient level of substitutability between the services offered to individual customers and the services offered to business customers to justify the definition of a single market based on customer type. In this regard, the bundling and rates defined for standardized products aimed at businesses align with the typical consumption patterns and needs of the business segment, which differ from those of individual customers. Moreover, the marketing effort for standardized products aimed at businesses carried out by operators is also directed towards the business segment. Thus, the commercial portfolio of the main operators distinguishes between offers aimed at individual customers and offers directed at businesses or self-employed individuals, which are adapted to the different levels of service usage and spending capacity of users. Although these commercial offers may present similar schemes, it is reasonable to think that in the event of a deterioration in the conditions of a particular residential rate, the customer lacks incentives to switch to a business rate, given that the design of the products subject to these rates does not meet the needs and consumption patterns typical of individuals. A symmetrical reasoning allows us to determine that, in general, business customers, especially those with significantly higher consumption than residential customers, will not have incentives to switch to a residential rate in the face of a small but significant and non-transitory deterioration of the conditions of a particular rate aimed at businesses. On the other hand, it is worth noting that the regulations protecting end users of mobile communications present differentiated aspects, depending on whether such users are consumers or businesses. In the first case, the general consumer protection regulations apply, in addition to the sectoral regulations related to users of electronic communications. In the second case, only the latter would apply. Additionally, Article 55.1 of the current Law 9/2014, of May 9, General Telecommunications limits to "end users who are natural persons" the "right to have access to an extrajudicial, transparent, non-discriminatory, simple, and free procedure to resolve their disputes with operators that exploit networks or provide publicly available electronic communications services, when such disputes relate to their specific rights as end users of electronic communications services recognized in this Law and its implementing regulations and in accordance with what is provided in community regulations."</w:t>
      </w:r>
    </w:p>
    <w:p>
      <w:r>
        <w:t>Article 38 ("Rights of consumers and end users") of the previous Law 32/2003, of November 3, General Telecommunications, applicable until 2014, also stated in its section 1 that "Operators that exploit networks or provide electronic communications services and consumers who are natural persons and other end users may submit the disputes that confront them to the knowledge of the consumer arbitration boards, in accordance with the current legislation on consumer and user protection." These characteristics of the regulation contribute to determining non-homogeneous competitive environments that reinforce differentiation, at least from the demand perspective, between the residential and business segments. In short, from the demand point of view, in the field of retail mobile communications services, it is possible to distinguish, on the one hand, a residential or individual segment and, on the other hand, a business segment. On the other hand, as reflected in the aforementioned "Report of the CMT Services on the Competitive Situation in the Business Segment," business users of retail mobile communications services do not present homogeneous characteristics. On the contrary, their communication needs and consumption patterns are different and, in general, become more complex and intense according to the size of the company. Furthermore, the marketing channels and commercial offers of the main operators in the retail mobile communications sector in Spain also differ based on the type of business customers. Large customers (such as large companies and some public administrations) typically contract mobile communications services through public tenders and require customized offers. Small and medium-sized enterprises usually receive individualized attention for the acquisition of standardized products that best suit their size and communication needs. Self-employed individuals and some micro-enterprises predominantly use a standard commercial channel (store, telephone assistance, or operators' website) and also acquire standardized products. The portfolio of standardized commercial offers from the main operators also reflects this differentiation, from the demand perspective, of mobile communications services aimed at businesses. Thus, they market standardized products aimed at individuals, self-employed individuals, or businesses (which, in this case, correspond to SMEs, given that large customers, as noted, negotiate customized offers instead of contracting standardized products) and adapted to the needs and consumption patterns of each of these groups, so that, in line with what has already been pointed out, their substitutability from the demand perspective is limited.</w:t>
      </w:r>
    </w:p>
    <w:p>
      <w:r>
        <w:rPr>
          <w:b/>
        </w:rPr>
        <w:t>[Pages 13–15]</w:t>
      </w:r>
    </w:p>
    <w:p>
      <w:r>
        <w:t>In summary, from the demand perspective in the field of retail mobile communications services, it is necessary to distinguish, on one hand, a residential or individual segment and, on the other hand, a business segment, and within this, it is also necessary to differentiate between the segments of self-employed individuals, SMEs, and large clients.</w:t>
      </w:r>
    </w:p>
    <w:p>
      <w:r>
        <w:t>However, it cannot be ruled out that the substitutability from the supply side is significant enough for offers directed at the different segments of business clients and individuals to be part of the same market, to the extent that the technical inputs and resources for the sales networks and technical assistance services necessary for both types of offers are very similar and present important synergies with each other.</w:t>
      </w:r>
    </w:p>
    <w:p>
      <w:r>
        <w:t>2. Geographic Markets</w:t>
        <w:br/>
        <w:t>Both the aforementioned national precedent and the community precedents have considered a geographic market of national scope for mobile electronic communications services. The main mobile operators with their own networks (OMR) hold national licenses to operate in this service, and in the case of virtual mobile operators (OMV), these operators use these national access networks to provide services to their customers throughout the national territory.</w:t>
      </w:r>
    </w:p>
    <w:p>
      <w:r>
        <w:t>On the other hand, in general, mobile communications service operators maintain competitive strategies of a national nature, both in the retail sector and in wholesale mobile communications services. Therefore, it is concluded that the competitive conditions are homogeneous throughout the national territory, and thus, this is the geographic dimension of the identified product markets.</w:t>
      </w:r>
    </w:p>
    <w:p>
      <w:r>
        <w:t>3. Conclusion on Relevant Markets</w:t>
        <w:br/>
        <w:t>In light of all the above, this Chamber considers that the analysis of the behaviors attributed to TME must be carried out within the scope of retail mobile communications services provided in the national territory (excluding M2M services).</w:t>
      </w:r>
    </w:p>
    <w:p>
      <w:r>
        <w:t>4. Competitive Situation in Relevant Markets</w:t>
        <w:br/>
        <w:t>4.1. General Evolution of Retail Mobile Communications Services</w:t>
        <w:br/>
        <w:t>Table 1 presents data on the evolution of the number of mobile communications lines and penetration rates for the period 2006-2013. The data reflects that, in recent years, there has been a stagnation in the penetration (number of lines per hundred inhabitants) of voice lines, while broadband continues to register strong growth.</w:t>
      </w:r>
    </w:p>
    <w:p>
      <w:r>
        <w:t>TABLE 1: MOBILE COMMUNICATIONS LINES AND PENETRATION RATES</w:t>
        <w:br/>
        <w:t>Thousands of lines and lines /100 inhabitants 2006 2007 2008 2009 2010 2011 2012 2013</w:t>
        <w:br/>
        <w:t>Voice lines 45,676 48,422 49,623 51,053 51,389 52,591 50,665 50,159</w:t>
        <w:br/>
        <w:t>Prepaid 20,881 20,765 20,313 20,865 19,969 20,370 17,815 15,749</w:t>
        <w:br/>
        <w:t>Postpaid 24,795 27,658 29,310 30,187 31,421 32,221 32,850 34,409</w:t>
        <w:br/>
        <w:t>Voice line penetration rate 104.4 108.9 109.6 111.4 111.7 113.9 109.7 107.3</w:t>
        <w:br/>
        <w:t>Voice lines linked to broadband (1) -- -- -- -- 7,642 13,919 22,422 29,413</w:t>
        <w:br/>
        <w:t>Datacards 325 653 1,188 1,960 3,355 3,377 2,514 1,956</w:t>
        <w:br/>
        <w:t>Mobile broadband penetration rate -- -- -- -- 23.9 37.5 54 67.1</w:t>
        <w:br/>
        <w:t>Others</w:t>
        <w:br/>
        <w:t>M2M 661 1,111 1,470 1,848 2,129 2,489 2,796 3,113</w:t>
        <w:br/>
        <w:t>Radiolocation 17 14 11 9 7 4 1 1</w:t>
        <w:br/>
        <w:t>Trunking 1 1 0 0 0 0 0 0</w:t>
        <w:br/>
        <w:t>(1) A change has occurred in the series for the years 2010 and 2011. It is included as a line linked to the mobile broadband service if: 1) it is associated with the payment of a recurring fee linked to the Internet access service; or 2) without being associated with the payment of a recurring fee, it has connected to the Internet access service in the last three months and was billed for such connection. Lines linked to datacards and lines that have accessed mobile Internet services through their own portal (walled-garden) are excluded.</w:t>
        <w:br/>
        <w:t>Source: CNMC (http://data.cnmc.es/datagraph/).</w:t>
      </w:r>
    </w:p>
    <w:p>
      <w:r>
        <w:t>Thus, in 2013, there were 50.2 million mobile phone lines in Spain with a penetration rate of 107.3% of the population, and 1.9 million datacards for Internet connections. Since the year 2000, the number of mobile phone lines has more than doubled, although since 2008, reduced growth rates have been observed.</w:t>
      </w:r>
    </w:p>
    <w:p>
      <w:r>
        <w:t>Since 2012, the growth trend has reversed, and for the first time, a decrease of 3.7% in the number of mobile phone lines has been recorded, and to a lesser extent, in 2013, with a decrease of 1% in the number of mobile phone lines. The decline in mobile phone lines is concentrated in prepaid lines (15.7 million lines in 2013), while postpaid lines have continued to increase, reaching 34.4 million lines in 2013.</w:t>
      </w:r>
    </w:p>
    <w:p>
      <w:r>
        <w:t>These data confirm the trends of previous years. Thus, while prepaid lines were the driving force behind the growth of mobile telephony in Spain, over time they have lost importance in favor of postpaid lines, which have experienced a strong increase in recent years.</w:t>
      </w:r>
    </w:p>
    <w:p>
      <w:r>
        <w:t>The loss of 2.4 million mobile phone lines reflects the impact of the economic crisis in the mobile telephony sector, particularly in the residential segment, where a decrease of 2.3 million lines was recorded. Likewise, between 2011 and 2013, the number of lines in the business segment decreased by 123,000 lines.</w:t>
      </w:r>
    </w:p>
    <w:p>
      <w:r>
        <w:t>Regarding broadband, growth remains very significant, with a 31% increase in 2013. However, this evolution responds to differentiated behaviors of lines dedicated solely to data and those associated with voice lines. Thus, in 2013, the number of datacards (exclusive data lines, which mainly include USB modems and tablets) decreased significantly (by 27%), which is explained by the rise of Internet connections through lines linked to voice and data devices, such as smartphones. In fact, in 2013, 29.4 million voice and data lines actively connected to the Internet, representing an increase of 31.2% compared to the previous year and reflecting the predominance of this type of line for mobile Internet access, compared to exclusive data lines (1.9 million).</w:t>
      </w:r>
    </w:p>
    <w:p>
      <w:r>
        <w:t>Table 2 breaks down the revenues for the different service groups, distinguishing between general mobile telephony revenues, on one hand, and broadband revenues, on the other. Among the revenues from mobile telephony services, it is noted that the most significant revenues come from mobile voice traffic, although since 2008 they have been declining, as have those from short message traffic, while revenues from subscription and connection fees have increased. The strong increase in revenues from mobile broadband services, particularly those associated with voice and data lines, is also noteworthy.</w:t>
      </w:r>
    </w:p>
    <w:p>
      <w:r>
        <w:t>Source: CNMC (http://data.cnmc.es/datagraph/).</w:t>
      </w:r>
    </w:p>
    <w:p>
      <w:r>
        <w:rPr>
          <w:b/>
        </w:rPr>
        <w:t>[Pages 16–18]</w:t>
      </w:r>
    </w:p>
    <w:p>
      <w:r>
        <w:t>TABLE 2: RETAIL REVENUES FROM MOBILE COMMUNICATIONS</w:t>
        <w:br/>
        <w:t>Millions of € 2006 2007 2008 2009 2010 2011 2012 2013</w:t>
        <w:br/>
        <w:t>MOBILE TELEPHONY AND OTHERS</w:t>
        <w:br/>
        <w:t>12,881 14,104 13,959 12,961 12,349 11,305 9,504 7,577</w:t>
        <w:br/>
        <w:t>SERVICES</w:t>
        <w:br/>
        <w:t>Mobile telephony 12,789 13,987 13,810 12,827 12,180 11,159 9,291 7,344</w:t>
        <w:br/>
        <w:t>Connection and subscription fees 320 552 800 984 1,647 1,823 3,035 3,381</w:t>
        <w:br/>
        <w:t>Traffic 10,821 11,692 11,280 10,271 9,273 8,206 5,548 3,489</w:t>
        <w:br/>
        <w:t>Short messages 1,648 1,743 1,730 1,572 1,260 1,130 708 474</w:t>
        <w:br/>
        <w:t>Other services (1) 92.8 116.9 149.3 133.8 168.4 146 213.7 232</w:t>
        <w:br/>
        <w:t>MOBILE BROADBAND 303.1 462.9 782.9 1,108 1,496 1,675 2,144 3,312</w:t>
        <w:br/>
        <w:t>National mobile broadband 426 704 1,013 1,363 1,520 1,928 2,581 3,048</w:t>
        <w:br/>
        <w:t>Voice and data -- -- -- -- -- 1,269 2,018 2,672</w:t>
        <w:br/>
        <w:t>Datacards -- -- -- -- -- 659.2 563.2 376</w:t>
        <w:br/>
        <w:t>Roaming 37.19 78.69 95.63 123.4 142.56 147.3 129.08 133.57</w:t>
        <w:br/>
        <w:t>Others 0 0 0 10 12 69 56 130.13</w:t>
        <w:br/>
        <w:t>(1) These are services of lesser relevance, such as the TETRA mobile radio system, the SIPCA network, or telemetry or telecontrol services.</w:t>
        <w:br/>
        <w:t>Source: CNMC (http://data.cnmc.es/datagraph/).</w:t>
        <w:br/>
        <w:t>The downward trend in revenues from mobile telephony has continued in 2013. Revenues from mobile telephony during the year 2013 reached 7,344 million euros while revenues from national mobile broadband grew to 3,048 million euros, particularly those associated with voice and data lines, which account for 2,672 million euros.</w:t>
      </w:r>
    </w:p>
    <w:p>
      <w:r>
        <w:t>4.2. Structure of Retail Mobile Telephony Services</w:t>
        <w:br/>
        <w:t>At the end of 2013, four mobile operators with their own network (OMR) were actively operating in the market, and therefore with a license to use the necessary radio spectrum to develop their own mobile access network (TME, VODAFONE, ORANGE, and YOIGO), as well as several mobile virtual operators (OMV), that is, operators that lease the network of the OMR to offer their services. In the case of the OMV, a distinction is made between full OMV (Euskaltel, ONO, R Cable, E-Plus, Telecable, BT, JAZZTEL, Best Telecom, and Fonyou), and various reseller OMV.</w:t>
        <w:br/>
        <w:t>The entry of operators into the Spanish market and their access to the spectrum resources necessary for the development of mobile telephony networks has occurred gradually over time, generally for regulatory reasons. This circumstance has had a significant influence on the structure of the sector and the market shares achieved by each of the operators.</w:t>
        <w:br/>
        <w:t>Along with the development of the regulatory framework, another determining factor of the competitive conditions in the retail mobile telephony markets has been the ability of operators to incorporate the rapid technological advances in the sector and to adapt to the habits of mobile communications users.</w:t>
        <w:br/>
        <w:t>Taking both elements into account, the decisive stage that determines the current structure of the mobile telephony market in Spain began in 2006, when the fourth operator with a license to use the radio spectrum (YOIGO) and the first mobile virtual operators (OMV) began operations. Also in that year, operators generally incorporated the UMTS (Universal Mobile Telecommunications System) standard, paving the way for 3G mobile telephony technologies.</w:t>
        <w:br/>
        <w:t>In 2006, the penetration rate of mobile lines exceeded 100% and the market entered a maturity phase with relatively stable traffic and revenue levels. As already indicated in the previous section, starting in 2008, there has been a continuous decline in revenues from mobile telephony alongside a relative stabilization of traffic, and in 2012, for the first time, the increasing trend in the number of mobile telephony lines was broken, as a result of the sharp decline experienced in prepaid contracts.</w:t>
        <w:br/>
        <w:t>The decline in revenues from mobile telephony services (excluding mobile broadband services) observed since 2008 has been accompanied by a progressive loss of market share of the main operator, TME, which, however, maintains a clear leadership, reaching a market share of 34.9% in terms of revenue in 2013. Together with VODAFONE (27.8%) and ORANGE (22.7%), the three main operators account for more than 85% of the market, with the remainder divided between YOIGO and the OMV.</w:t>
      </w:r>
    </w:p>
    <w:p>
      <w:r>
        <w:rPr>
          <w:b/>
        </w:rPr>
        <w:t>[Pages 19–21]</w:t>
      </w:r>
    </w:p>
    <w:p>
      <w:r>
        <w:t>TABLE 3: MOBILE VOICE LINES BY SEGMENT</w:t>
        <w:br/>
        <w:t>Thousands of lines 2010 2011 2012 2013</w:t>
        <w:br/>
        <w:t>Res Neg Res Neg Res Neg Res Neg</w:t>
        <w:br/>
        <w:t>TME</w:t>
        <w:br/>
        <w:t>16,040 5,511 15,355 5,246 12,965 5,474 11,760 5,269</w:t>
        <w:br/>
        <w:t>(MOVISTAR)</w:t>
        <w:br/>
        <w:t>Vodafone 11,877 3,279 11,505 3,310 9,986 3,176 8,887 2,923</w:t>
        <w:br/>
        <w:t>Orange 8,456 1,936 8,804 2,004 8,898 2,077 9,304 2,142</w:t>
        <w:br/>
        <w:t>YOIGO 2,037 0 2,769 0 3,250 0 3,364 0</w:t>
        <w:br/>
        <w:t>Others 2,175 78 3,494 103 4,693 147 6,301 206</w:t>
        <w:br/>
        <w:t>Total 40,585 10,805 41,927 10,664 39,792 10,873 39,617 10,540</w:t>
        <w:br/>
        <w:t>Source: CNMC (http://data.cnmc.es/datagraph/).</w:t>
        <w:br/>
        <w:t>TABLE 4: MOBILE TELEPHONY REVENUES BY SEGMENT</w:t>
        <w:br/>
        <w:t>Millions 2010 2011 2012 2013</w:t>
        <w:br/>
        <w:t>Res Neg Res Neg Res Neg Res Neg</w:t>
        <w:br/>
        <w:t>TME - Movistar 3,697 2,416 3,078 1,889 2,263 1,430 1,540 1,019</w:t>
        <w:br/>
        <w:t>Vodafone 2,687 1,222 2,149 993 1,729 807 1,383 632</w:t>
        <w:br/>
        <w:t>Orange 1,622 635 1,564 619 1,455 552 1,252 431</w:t>
        <w:br/>
        <w:t>YOIGO 320 0 413 0 432 0 362 0</w:t>
        <w:br/>
        <w:t>Others 280 28 426 28 590 33 691 35</w:t>
        <w:br/>
        <w:t>Total 8,606 4,300 7,630 3,529 6,469 2,822 5,228 2,116</w:t>
        <w:br/>
        <w:t>Source: CNMC (http://data.cnmc.es/datagraph/).</w:t>
        <w:br/>
        <w:t>6 In the following tables, "Res" corresponds to "residential sector" and "Neg" to "business sector."</w:t>
        <w:br/>
        <w:t>TABLE 5: AVERAGE REVENUE PER MOBILE TELEPHONY LINE BY SEGMENT</w:t>
        <w:br/>
        <w:t>Euros per line 2010 2011 2012 2013</w:t>
        <w:br/>
        <w:t>Res Neg Res Neg Res Neg Res Neg</w:t>
        <w:br/>
        <w:t>TME</w:t>
        <w:br/>
        <w:t>230 438 200 360 175 261 131 193</w:t>
        <w:br/>
        <w:t>(MOVISTAR)</w:t>
        <w:br/>
        <w:t>Vodafone 226 373 187 300 173 254 156 216</w:t>
        <w:br/>
        <w:t>Orange 192 328 178 309 164 266 135 201</w:t>
        <w:br/>
        <w:t>YOIGO 157 - 149 - 133 - 108 -</w:t>
        <w:br/>
        <w:t>Others 129 359 122 272 126 224 110 168</w:t>
        <w:br/>
        <w:t>Total 212 398 182 331 163 260 132 201</w:t>
        <w:br/>
        <w:t>Source: CNMC (http://data.cnmc.es/datagraph/).</w:t>
        <w:br/>
        <w:t>Revenues from mobile telephony services (excluding mobile broadband services) from the business segment represent around 30% of total revenues from mobile telephony services. However, when considering the profitability of the lines, it is observed that the average revenue per line is significantly higher for business customers than for residential customers (see Table 5). Specifically, the average revenue per business line exceeds that of residential lines by percentages ranging from 88% to 52% in the period 2010-2013. This data reveals the special importance of the business segment in the retail mobile telephony services sector.</w:t>
        <w:br/>
        <w:t>Graph 2 shows how since 2008, the evolution of revenues from mobile telephony services (excluding mobile broadband services) from businesses has followed the downward trend of the overall retail mobile telephony services sector (excluding mobile broadband services). Likewise, the average revenue per business line, although still significantly higher than that of residential lines, has experienced a significant decline in recent years, although it cannot be ruled out that this decline has been offset by increases in revenues from mobile broadband services derived from business customer lines.</w:t>
        <w:br/>
        <w:t>Graph 2: Annual Average Revenue per Line (Euros/line)</w:t>
        <w:br/>
        <w:t>Graph 3 describes the evolution of portability in the mobile telephony market in recent years. In 2013, a total of 6.8 million effective portabilities were processed, representing an increase of 29.5% compared to 2012. In June 2012, the measure approved by the now-defunct CMT came into effect, shortening the period necessary to make a portability request effective to just one day, with the aim of reducing the costs that users face when changing providers.</w:t>
        <w:br/>
        <w:t>Throughout 2013, the two main operators in the market, TME and VODAFONE, recorded negative portability balances, while ORANGE, YOIGO, and the MVNOs experienced a net gain of lines.</w:t>
      </w:r>
    </w:p>
    <w:p>
      <w:r>
        <w:rPr>
          <w:b/>
        </w:rPr>
        <w:t>[Pages 22–24]</w:t>
      </w:r>
    </w:p>
    <w:p>
      <w:r>
        <w:t xml:space="preserve">Graph 3: Net Portability Balance by Operator (thousands of lines)  </w:t>
        <w:br/>
        <w:t xml:space="preserve">These results also confirm that during the year 2013, the net loss of customers for TME and VODAFONE, which had been observed in previous years, has intensified. Likewise, although the growth of ORANGE and YOIGO has been lower than in previous years, the most notable data has been the net gain of lines by the MVNOs, without it being possible, with the information from the CMT's 2012 Economic Sector Report, to determine which MVNOs are registering net line gains and whether they are linked to the business groups of the MNOs or are independent.  </w:t>
        <w:br/>
        <w:t xml:space="preserve">This data does not allow for identifying the proportion in which operator changes occurred in the residential segment or in the business segment. However, the CMT's 2012 Economic Sector Report states that consumers "made intensive use of the possibility of changing mobile service providers" and that "from a representative sample of mobile service users within the residential segment, it was found that 11.7% of them had changed operators in the last 12 months," with 90% (equivalent to 10.5% of residential customers) retaining the initially assigned numbering.  </w:t>
        <w:br/>
        <w:t xml:space="preserve">Regarding the market share of operators, the following tables reflect the almost negligible presence of small mobile operators in the business segment, accompanied by a clear leadership position by TME with shares around 50% in terms of lines and revenues.  </w:t>
        <w:br/>
        <w:t xml:space="preserve">Table 6: MOBILE VOICE TELEPHONY LINE SHARES BY SEGMENT  </w:t>
        <w:br/>
        <w:t xml:space="preserve">MOBILE VOICE TELEPHONY LINE SHARES BY SEGMENT  </w:t>
        <w:br/>
        <w:t xml:space="preserve">Percentages 2010 2011 2012 2013  </w:t>
        <w:br/>
        <w:t xml:space="preserve">Res. Neg Res. Neg Res. Neg Res. Neg  </w:t>
        <w:br/>
        <w:t xml:space="preserve">Movistar 39.5 51 36.6 49.2 32.6 50.3 30 50  </w:t>
        <w:br/>
        <w:t xml:space="preserve">Vodafone 29.3 30.3 27.4 31 25.1 29.2 22 28  </w:t>
        <w:br/>
        <w:t xml:space="preserve">Orange 20.8 17.9 21 18.8 22.4 19.1 23 20  </w:t>
        <w:br/>
        <w:t xml:space="preserve">Yoigo 5 0 6.6 0 8.2 0 8 0  </w:t>
        <w:br/>
        <w:t xml:space="preserve">Others 5.4 0.7 8.3 1 11.8 1.4 16 2  </w:t>
        <w:br/>
        <w:t xml:space="preserve">Total 100 100 100 100 100 100 100 100  </w:t>
        <w:br/>
        <w:t xml:space="preserve">Prepared with data from the CNMC (http://data.cnmc.es/datagraph/).  </w:t>
        <w:br/>
        <w:t xml:space="preserve">Table 7: MOBILE TELEPHONY REVENUE SHARES BY SEGMENT  </w:t>
        <w:br/>
        <w:t xml:space="preserve">MOBILE TELEPHONY REVENUE SHARES BY SEGMENT  </w:t>
        <w:br/>
        <w:t xml:space="preserve">Percentages 2010 2011 2012 2013  </w:t>
        <w:br/>
        <w:t xml:space="preserve">Res. Neg Res. Neg Res. Neg Res. Neg  </w:t>
        <w:br/>
        <w:t xml:space="preserve">Movistar 43 56.2 40.3 53.5 35 50.7 29.5 48.2  </w:t>
        <w:br/>
        <w:t xml:space="preserve">Vodafone 31.2 28.4 28.2 28.1 26.7 28.6 26.5 29.9  </w:t>
        <w:br/>
        <w:t xml:space="preserve">Orange 18.8 14.8 20.5 17.5 22.5 19.6 23.9 20.3  </w:t>
        <w:br/>
        <w:t xml:space="preserve">Yoigo 3.7 0 5.4 0 6.7 0 6.9 0.0  </w:t>
        <w:br/>
        <w:t xml:space="preserve">Others 3.3 0.7 5.6 0.8 9.1 1.2 13.2 1.6  </w:t>
        <w:br/>
        <w:t xml:space="preserve">Total 100 100 100 100 100 100 100 100.0  </w:t>
        <w:br/>
        <w:t xml:space="preserve">Prepared with data from the CNMC (http://data.cnmc.es/datagraph/).  </w:t>
        <w:br/>
        <w:t xml:space="preserve">In addition to the differences in operator participation in each segment, it can be observed that TME's share remains relatively stable in the business segment, while in the residential segment it loses ground to other operators.  </w:t>
        <w:br/>
        <w:t xml:space="preserve">It is also observed that the loss of lines for TME and VODAFONE is concentrated in the residential segment, while in the business segment the number of lines for these operators remains at relatively stable levels. The lower portability of business lines, as will be seen in the next section, could be one of the reasons explaining this evolution.  </w:t>
        <w:br/>
        <w:t xml:space="preserve">Regarding mobile broadband, the data reveals that revenues from broadband in the business segment accounted for 43% of the total in 2011, 38% in 2012, and 34% in 2013. Its relative importance is therefore more significant in this type of retail mobile telephony service.  </w:t>
        <w:br/>
        <w:t xml:space="preserve">TABLE 8: MOBILE BROADBAND REVENUES BY SEGMENT  </w:t>
        <w:br/>
        <w:t xml:space="preserve">Millions of euros 2011 2012 2013  </w:t>
        <w:br/>
        <w:t xml:space="preserve">Res. Neg Res. Neg Res. Neg  </w:t>
        <w:br/>
        <w:t xml:space="preserve">TME (MOVISTAR) 477 530 638 583 724 593  </w:t>
        <w:br/>
        <w:t xml:space="preserve">Vodafone 413 254 528 288 605 303  </w:t>
        <w:br/>
        <w:t xml:space="preserve">Orange 256 129 383 175 506 213  </w:t>
        <w:br/>
        <w:t xml:space="preserve">YOIGO 54 0 120 0 228 0  </w:t>
        <w:br/>
        <w:t xml:space="preserve">Others 29 4 48 5 132 8  </w:t>
        <w:br/>
        <w:t xml:space="preserve">Total 1,228 917 1,716 1,051 2,195 1,117  </w:t>
        <w:br/>
        <w:t xml:space="preserve">Source: CNMC (http://data.cnmc.es/datagraph/).  </w:t>
        <w:br/>
        <w:t xml:space="preserve">TABLE 9: EXCLUSIVE DATA LINES BY SEGMENT  </w:t>
        <w:br/>
        <w:t xml:space="preserve">Number of lines 2011 2012 2013  </w:t>
        <w:br/>
        <w:t xml:space="preserve">Res. Neg Res. Neg Res. Neg  </w:t>
        <w:br/>
        <w:t xml:space="preserve">TME (MOVISTAR) 680,722 785,223 320,258 488,325 149,824 224,615  </w:t>
        <w:br/>
        <w:t xml:space="preserve">Vodafone 542,569 492,827 450,672 487,908 419,447 514,579  </w:t>
        <w:br/>
        <w:t xml:space="preserve">Orange 380,808 168,047 318,785 159,910 294,720 145,314  </w:t>
        <w:br/>
        <w:t xml:space="preserve">YOIGO 145,305 0 115,651 0 70,280 0  </w:t>
        <w:br/>
        <w:t xml:space="preserve">Others 159,120 22,397 145,640 26,352 110,998 26,233  </w:t>
        <w:br/>
        <w:t xml:space="preserve">Total 1,908,524 1,468,494 1,351,006 1,162,495 1,045,269 910,741  </w:t>
        <w:br/>
        <w:t>Source: CNMC (http://data.cnmc.es/datagraph/).</w:t>
      </w:r>
    </w:p>
    <w:p>
      <w:r>
        <w:rPr>
          <w:b/>
        </w:rPr>
        <w:t>[Pages 25–27]</w:t>
      </w:r>
    </w:p>
    <w:p>
      <w:r>
        <w:t>TABLE 10: VOICE LINES LINKED TO MOBILE BROADBAND</w:t>
        <w:br/>
        <w:t>Number of lines</w:t>
        <w:br/>
        <w:t>2010 2011 2012 2013</w:t>
        <w:br/>
        <w:t>TME (MOVISTAR) 3,792,277 6,690,347 7,860,938 9,692,822</w:t>
        <w:br/>
        <w:t>Vodafone 2,665,615 3,616,061 5,887,367 7,088,369</w:t>
        <w:br/>
        <w:t>Orange 736,819 2,424,770 4,448,147 6,503,716</w:t>
        <w:br/>
        <w:t>YOIGO 182,533 696,134 2,220,749 2,768,004</w:t>
        <w:br/>
        <w:t>Others 264,936 491,731 2,004,479 3,360,594</w:t>
        <w:br/>
        <w:t>Total 7,642,180 13,919,043 22,421,680 29,413,505</w:t>
        <w:br/>
        <w:t>Source: CNMC (http://data.cnmc.es/datagraph/).</w:t>
        <w:br/>
        <w:t>Furthermore, the available information confirms the growing importance of revenues from mobile broadband services, both from the residential and business segments. It also confirms the decrease in the number of data-only lines (datacards) in both segments and the increase in the number of voice lines linked to mobile broadband that has been generalized among the main operators in the market.</w:t>
        <w:br/>
        <w:t>The following tables reflect the shares of the different operators in the field of mobile broadband, differentiating, when possible, between the residential and business segments.</w:t>
      </w:r>
    </w:p>
    <w:p>
      <w:r>
        <w:t>TABLE 11: MOBILE BROADBAND REVENUE SHARES BY SEGMENT</w:t>
        <w:br/>
        <w:t>Percentage 2011 2012 2013</w:t>
        <w:br/>
        <w:t>Res. Neg Res. Neg Res. Neg</w:t>
        <w:br/>
        <w:t>TME (MOVISTAR) 38.8 57.8 37.2 55.5 33.0 53.1</w:t>
        <w:br/>
        <w:t>Vodafone 33.6 27.7 30.8 27.4 27.5 27.1</w:t>
        <w:br/>
        <w:t>Orange 20.8 14.1 22.3 16.6 23.0 19.0</w:t>
        <w:br/>
        <w:t>YOIGO 4.4 0 7 0 10.4 0.0</w:t>
        <w:br/>
        <w:t>Others 2.4 0.4 2.8 0.5 6.0 0.7</w:t>
        <w:br/>
        <w:t>Total 100 100 100 100 100 100</w:t>
        <w:br/>
        <w:t>Source: CNMC (http://data.cnmc.es/datagraph/).</w:t>
      </w:r>
    </w:p>
    <w:p>
      <w:r>
        <w:t>TABLE 12: SHARES OF DATA-ONLY LINES BY SEGMENT (DATACARDS)</w:t>
        <w:br/>
        <w:t>Percentage 2011 2012 2013</w:t>
        <w:br/>
        <w:t>Res. Neg Res. Neg Res. Neg</w:t>
        <w:br/>
        <w:t>TME (MOVISTAR) 35.7 53.5 23.7 42 14.3 24.7</w:t>
        <w:br/>
        <w:t>Vodafone 28.4 33.6 33.4 42 40.1 56.5</w:t>
        <w:br/>
        <w:t>Orange 20 11.4 23.6 13.8 28.2 16.0</w:t>
        <w:br/>
        <w:t>YOIGO 7.6 0 8.6 0 6.7 0.0</w:t>
        <w:br/>
        <w:t>Others 8.3 1.5 10.8 2.3 10.6 2.9</w:t>
        <w:br/>
        <w:t>Total 100 100 100 100 100 100</w:t>
        <w:br/>
        <w:t>Source: CNMC (http://data.cnmc.es/datagraph/).</w:t>
      </w:r>
    </w:p>
    <w:p>
      <w:r>
        <w:t>TABLE 13: SHARES OF VOICE LINES LINKED TO MOBILE BROADBAND</w:t>
        <w:br/>
        <w:t>Percentage</w:t>
        <w:br/>
        <w:t>2010 2011 2012 2013</w:t>
        <w:br/>
        <w:t>TME (MOVISTAR) 49.6 48.1 35.1 33.0</w:t>
        <w:br/>
        <w:t>Vodafone 34.9 26 26.3 24.1</w:t>
        <w:br/>
        <w:t>Orange 9.6 17.4 19.8 22.1</w:t>
        <w:br/>
        <w:t>YOIGO 2.4 5 9.9 9.4</w:t>
        <w:br/>
        <w:t>Others 3.5 3.5 8.9 11.4</w:t>
        <w:br/>
        <w:t>Total 100 100 100 100</w:t>
        <w:br/>
        <w:t>Source: CNMC (http://data.cnmc.es/datagraph/).</w:t>
        <w:br/>
        <w:t>These data are consistent with the significant presence of TME, VODAFONE, and ORANGE in the business segment. Thus, the participation of other operators is very insignificant, both in terms of the number of datacards and, especially, in terms of revenue share.</w:t>
        <w:br/>
        <w:t>Furthermore, the predominance of TME in the business segment is highlighted, primarily in terms of its share in mobile broadband service revenues, with shares of 57.8% in 2011, 55.5% in 2012, and 53.1% in 2013 (see Table 11).</w:t>
        <w:br/>
        <w:t>If we take as a reference the total revenues from retail mobile communications services (including mobile broadband services), it is observed that TME's share in these has been 54.4% in 2011, 52% in 2012, and 49.9% in 2013 (see Table 15).</w:t>
      </w:r>
    </w:p>
    <w:p>
      <w:r>
        <w:rPr>
          <w:b/>
        </w:rPr>
        <w:t>[Pages 28–30]</w:t>
      </w:r>
    </w:p>
    <w:p>
      <w:r>
        <w:t>TABLE 14: MOBILE COMMUNICATIONS REVENUES BY SEGMENT</w:t>
        <w:br/>
        <w:t>Millions of euros 2011 2012 2013</w:t>
        <w:br/>
        <w:t>Res. Neg Res. Neg Res. Neg</w:t>
        <w:br/>
        <w:t>TME (MOVISTAR) 3,555 2,419 2,901 2,013 2,264 1,612</w:t>
        <w:br/>
        <w:t>Vodafone 2,562 1,247 2,257 1,095 1,987.70 934.28</w:t>
        <w:br/>
        <w:t>Orange 1,820 748 1,838 727 1,757.73 643.07</w:t>
        <w:br/>
        <w:t>YOIGO 467 0 552 0 590.33 0.00</w:t>
        <w:br/>
        <w:t>Others 455 32 638 38 823.55 42.68</w:t>
        <w:br/>
        <w:t>Total 8,858 4,446 8,185 3,873 5,228.28 3,232.38</w:t>
        <w:br/>
        <w:t>Source: CNMC (http://data.cnmc.es/datagraph/).</w:t>
        <w:br/>
        <w:t>TABLE 15: MOBILE COMMUNICATIONS REVENUE SHARES BY SEGMENT</w:t>
        <w:br/>
        <w:t>2011 2012 2013</w:t>
        <w:br/>
        <w:t>Res. Neg Res. Neg Res. Neg</w:t>
        <w:br/>
        <w:t>TME (MOVISTAR) 40.1 54.4 35.4 52 30.5 49.9</w:t>
        <w:br/>
        <w:t>Vodafone 28.9 28 27.6 28.3 26.8 28.9</w:t>
        <w:br/>
        <w:t>Orange 20.5 16.8 22.5 18.8 23.7 19.9</w:t>
        <w:br/>
        <w:t>YOIGO 5.3 0 6.7 0 8 0.0</w:t>
        <w:br/>
        <w:t>Others 5.1 0.7 7.8 1 11.1 1.3</w:t>
        <w:br/>
        <w:t>Total 100 100 100 100 100 100</w:t>
        <w:br/>
        <w:t>Source: CNMC (http://data.cnmc.es/datagraph/).</w:t>
        <w:br/>
        <w:t>These data confirm the results of the study published by the CMT in October 2011 on the competitive situation in the previously mentioned business segment. According to this report, in companies with fewer than 10 employees, TME would reach a share of 50%, VODAFONE 27-30%, and ORANGE 19%. As the size of the company increases, TME's share also increases, reaching around 65% in companies with 10 to 50 employees, and around 70% in companies with more than 50 employees.</w:t>
        <w:br/>
        <w:t>Mobile phone market shares in companies by number of employees (percentage)</w:t>
        <w:br/>
        <w:t>In conclusion, the available information reveals that the relative importance of the business segment is greater in terms of revenue than in terms of lines; that its evolution has been more stable in recent years, both in global terms and in the shares of the main operators; that the presence of operators other than TME, VODAFONE, and ORANGE in this segment is very limited and much lower than their participation in the overall retail mobile communications services, and that TME maintains a share (especially in terms of revenue) in the business segment that is higher and more stable than that in the residential segment.</w:t>
        <w:br/>
        <w:t>It is also confirmed that TME's share is very high in each and every size category of company. In particular, it is higher among small and medium-sized enterprises (10 to 199 employees), which predominantly correspond to the SME customer segment, than among microenterprises (fewer than 10 employees), which predominantly correspond to the self-employed customer segment, or among large companies (200 or more employees), which predominantly correspond to the large customer segment.</w:t>
        <w:br/>
        <w:t>5. The commitments to permanence in retail mobile communications services</w:t>
        <w:br/>
        <w:t xml:space="preserve">The existence of commitments to permanence in retail contracts for mobile communications services is relevant for characterizing the competitive situation in this area. </w:t>
        <w:br/>
        <w:t>Thus, a generalization of mobile service contracts with permanence obligations would imply that there is a large customer base that, for certain periods of time, is out of the market or, at least, subject to different competitive conditions than those of customers without permanence obligations, as the costs associated with changing suppliers increase.</w:t>
        <w:br/>
        <w:t>According to the information in the file, during the period from 2008 to mid-2012, the three main operators in the relevant market (TME, VODAFONE, and ORANGE) included in their commercial offers the possibility of subscribing to a commitment to permanence in exchange for acquiring a subsidized terminal or other types of economic advantages, such as discounts on the prices of contracted services, for both residential and business customers.</w:t>
        <w:br/>
        <w:t>In retail contracts for mobile communications services with residential customers, these commitments to permanence are primarily associated with the subsidy of mobile terminals; they generally have a duration of 12, 18, or 24 months (depending, normally, on the type and cost of the subsidized terminal) and are not automatically renewed. Each operator designs its own penalty system for cases of non-compliance with the commitment. These penalty systems are characterized, in any case, by being linked to the amount of the subsidy for the terminal and setting decreasing amounts over time, so that the maximum penalty corresponds to the initial part of the contract and decreases as the established permanence period progresses. The conditions of the commitments to permanence appear in the general terms and conditions models for mobile services of each operator, published on their websites.</w:t>
        <w:br/>
        <w:t>The commitments to permanence subscribed by residential customers may also be associated with discounts on the prices marketed, in general, by the operators. In these cases, although the commitments are not automatically extended, the amount of the calculated penalty may be fixed or increasing over the permanence period, according to each operator. In any case, the degree of use of this commercial instrument in the residential segment is relatively low.</w:t>
      </w:r>
    </w:p>
    <w:p>
      <w:r>
        <w:rPr>
          <w:b/>
        </w:rPr>
        <w:t>[Pages 31–33]</w:t>
      </w:r>
    </w:p>
    <w:p>
      <w:r>
        <w:t>In retail mobile communications service contracts with business customers, the permanence commitments may have a different design. In particular, at least in some contractual modalities, such commitments appear to be subject to automatic extensions and minimum notice periods if the customer wishes to avoid the extension. Furthermore, it is common for the conditions of the permanence commitments subscribed by companies not to be reflected in the general contracting conditions published on the operators' websites, but rather to derive from specific conditions reflected in specific contracts.</w:t>
      </w:r>
    </w:p>
    <w:p>
      <w:r>
        <w:t>Regarding the prevalence of permanence commitments in the business sector, it should be noted that, according to the results of the survey conducted as part of the preparation of the "CMT Report on the Competitive Situation in the Business Segment" (October 2011), three out of four companies contracting mobile telephony services maintained some type of permanence commitment. The average duration of these contracts with permanence commitments was over 16 months.</w:t>
      </w:r>
    </w:p>
    <w:p>
      <w:r>
        <w:t>The information provided by the operators in the context of this file allows for a somewhat more disaggregated view of the prevalence of permanence commitments in the segments of self-employed individuals and SMEs, which is reflected in the following section on the investigated behaviors.</w:t>
      </w:r>
    </w:p>
    <w:p>
      <w:r>
        <w:t>III.- INVESTIGATED BEHAVIORS</w:t>
        <w:br/>
        <w:t>Although the complaint that gave rise to this file was filed by business customers of TME and VODAFONE, as will be examined later, the situation of TME presents a differential fact compared to VODAFONE (and also ORANGE) as the latter can benefit from the exemption of Regulation EU No. 330/2010, so the investigation carried out in this file has focused on the behaviors developed by TME, due to the different treatment required by the behaviors of the other operators in the face of a possible lifting of the exemption by categories.</w:t>
      </w:r>
    </w:p>
    <w:p>
      <w:r>
        <w:t>1.- Permanence commitments applied by TME in the business sector</w:t>
        <w:br/>
        <w:t>TME has developed its commercial strategy of subsidizing terminals and applying discounts on prices or other economic advantages around the concept of "economic support." According to the information provided by this operator, SMEs and self-employed individuals can receive three types of economic support: terminal subsidy, discounts on price plans, and promotions (page 831).</w:t>
      </w:r>
    </w:p>
    <w:p>
      <w:r>
        <w:t>The first two types of economic support are linked to a permanence obligation, while, according to the information provided by TME, "in general," promotions are not associated with a permanence commitment (page 1262).</w:t>
      </w:r>
    </w:p>
    <w:p>
      <w:r>
        <w:t>Customers who receive "economic support" consisting of a terminal subsidy (or a promotion) sign the general contract for "SME Service Provision," while customers who benefit from discounts on price plans sign the "Special Premium Permanence Contract for SMEs" (hereinafter "Premium Contract") (page 831).</w:t>
      </w:r>
    </w:p>
    <w:p>
      <w:r>
        <w:t>In both cases, the possible duration of the permanence period is 12, 18, or 24 months (page 834).</w:t>
      </w:r>
    </w:p>
    <w:p>
      <w:r>
        <w:t>1.1. Permanence conditions associated with a terminal subsidy</w:t>
        <w:br/>
        <w:t>The permanence conditions for companies receiving a terminal subsidy are listed as a "Particular Condition" of the "General Conditions of Mobile Communications Services for SMEs" (pages 445 to 451) and are similar to those applied in the residential segment. Thus, in the event of early termination of the service or switching to a price plan that involves a lower consumption commitment, the customer must pay the operator "an amount proportional to the economic support received and the number of months they have respected their permanence commitment" (pages 447 and 451).</w:t>
      </w:r>
    </w:p>
    <w:p>
      <w:r>
        <w:t>In the case of a terminal subsidy, this amount is established in decreasing proportional segments of 6 months, and the total amount corresponds to the "economic support" received by the customer (calculated based on ranges of subsidies that TME establishes according to the type of terminal) (pages 399 to 402). These permanence commitments do not renew automatically (page 833).</w:t>
      </w:r>
    </w:p>
    <w:p>
      <w:r>
        <w:t>1.2. Permanence conditions associated with "economic support" consisting of discounts on a price plan</w:t>
        <w:br/>
        <w:t>The "General Conditions of Mobile Communications Services for SMEs" in their particular permanence condition (pages 447 and 451) provide for the possibility that, in addition to a terminal subsidy, TME's "economic support" consists of "the waiver or subsidy of part of the monthly fees for the services contracted by the customer." In this case, the penalty for breaching the permanence commitment will consist "for each line in which this breach occurs, of the amount of the monthly fees for which the waiver or subsidy has been enjoyed." These commitments automatically renew for periods of 12 months, unless the customer gives notice one month prior to the end of the permanence period or each of its extensions.</w:t>
      </w:r>
    </w:p>
    <w:p>
      <w:r>
        <w:t>The previously described conditions are recorded in similar terms in the "Permanence Conditions of the Special Premium Contract for SMEs" (pages 453 to 455) that are signed by TME's SME and self-employed customers who benefit from price discounts on the contracted mobile telephony services.</w:t>
      </w:r>
    </w:p>
    <w:p>
      <w:r>
        <w:t>From the information provided by TME, it follows that the permanence conditions associated with this contract are not accessible through the operator's website. TME indicates that in the Customer Service Centers, there is a personal advisor assigned to each customer who informs them about the amount of discounts as well as the compensation they would have to pay in case of breaching the permanence conditions (pages 398 and 399).</w:t>
      </w:r>
    </w:p>
    <w:p>
      <w:r>
        <w:t>TME establishes three models of "Premium Contract" according to the duration of the permanence commitment: 12, 18, and 24 months (pages 453 to 455). This "Premium Contract" was first used, according to TME, on September 19, 2006 (page 880).</w:t>
      </w:r>
    </w:p>
    <w:p>
      <w:r>
        <w:t>The clauses of the three contract models are similar (except regarding the permanence period) and establish that in the event of breaching the permanence commitment, the customer must "reimburse Movistar the sum of the economic support enjoyed corresponding to the period elapsed from the start date of the permanence period until the moment the breach occurs by the customer."</w:t>
      </w:r>
    </w:p>
    <w:p>
      <w:r>
        <w:t>TME clarifies that the penalty amount is calculated per month and is progressively increasing during the permanence period. That is, the longer the customer fulfills the permanence period, the more they will have to pay if they wish to terminate before completing their commitment, as they must return the sum of discounts enjoyed during the validity of each permanence period (page 834).</w:t>
      </w:r>
    </w:p>
    <w:p>
      <w:r>
        <w:t>Contracts automatically renew for the same initial permanence period "unless expressly notified by the customer at least one month prior to the expiration date of the permanence period or each of its extensions" (pages 453 to 455).</w:t>
      </w:r>
    </w:p>
    <w:p>
      <w:r>
        <w:t>According to the information provided by TME, within the framework of the "Premium Contract," the customer can benefit from various types of discounts: discounts on the monthly fee of the contracted price plan, discounts on international calls or on calls received while roaming, discounts on SMS, discounts on national traffic, etc.</w:t>
      </w:r>
    </w:p>
    <w:p>
      <w:r>
        <w:t>The application of possible discounts depends on the billing to the customer: the higher the billing, the greater the discount and the longer the permanence period (page 832).</w:t>
      </w:r>
    </w:p>
    <w:p>
      <w:r>
        <w:t>At any time during the permanence contract, the discount conditions can be renegotiated, which will affect the permanence period (pages 832 and 833).</w:t>
      </w:r>
    </w:p>
    <w:p>
      <w:r>
        <w:rPr>
          <w:b/>
        </w:rPr>
        <w:t>[Pages 34–36]</w:t>
      </w:r>
    </w:p>
    <w:p>
      <w:r>
        <w:t>According to TME, the customer does not have to commit to a minimum monthly expenditure in order to benefit from the special conditions of this contract (folio 832). Since October 2012, TME has had in effect a new contract for the unification of Premium Special SME services (folios 844 to 851), which does not represent a significant variation in the described permanence conditions, as can be deduced from the wording reproduced below: "In the event of breach of this contract, the customer must reimburse Movistar the amount of each of the economic supports enjoyed as a consequence of the application of the different Discount Concepts that comprise the Special Conditions to their current billing at any given time." These amounts "will consist, for each line in which the breach occurs, of the sum of the various economic supports enjoyed corresponding to the period elapsed since the start date of the permanence period, and until the moment the breach occurs by the Customer." "Each of the different Discount Concepts that make up this contract will be automatically renewed for successive periods according to the following terms [...]." The renewal terms depend on the initial contracted period.</w:t>
      </w:r>
    </w:p>
    <w:p>
      <w:r>
        <w:t>2.- Presence in the business sector of mobile communications service contracts linked to permanence commitments. The following table summarizes the information provided by TME, VODAFONE, and ORANGE regarding the presence of permanence commitments in their electronic communications service contracts with business customers (distinguishing between the segments of self-employed and SMEs). It also includes, for reference purposes, information related to the residential segment.</w:t>
      </w:r>
    </w:p>
    <w:p>
      <w:r>
        <w:t xml:space="preserve">TABLE 16: PREVALENCE OF PERMANENCE COMMITMENTS (PC) Percentage of lines (lines and customers for TME (MOVISTAR)) </w:t>
        <w:br/>
        <w:t xml:space="preserve">SME Self-employed Residential Period </w:t>
        <w:br/>
        <w:t xml:space="preserve">With PC Without PC With PC Without PC With PC Without PC </w:t>
        <w:br/>
        <w:t xml:space="preserve">Orange […] […] […] […] […] […] I 2010- I 2012 </w:t>
        <w:br/>
        <w:t xml:space="preserve">Vodafone […] […] […] […] […] […] Sep 2009 - Dec 2011 </w:t>
        <w:br/>
        <w:t xml:space="preserve">TME (MOVISTAR) </w:t>
        <w:br/>
        <w:t xml:space="preserve">Lines […] […] […] […] -- -- Mar 2010 - Dec 2012 </w:t>
        <w:br/>
        <w:t xml:space="preserve">Customers […] […] […] […] […] […] Mar 2010 - Dec 2012 </w:t>
        <w:br/>
        <w:t>Source: Prepared based on responses to information requests from the operators.</w:t>
      </w:r>
    </w:p>
    <w:p>
      <w:r>
        <w:t>This data shows that a very high percentage of mobile phone lines in the business segment is associated with a permanence commitment, although it is worth noting, in this regard, that the operators have not been able to differentiate whether these permanence conditions arise from terminal subsidies or discounts on prices. As can also be seen in the previous table, permanence commitments are always more frequent, for each of the main market operators, in the business sector than in the residential sector. This feature is verified for both the SME segment and the self-employed segment. It is also noted that for VODAFONE and TME (the operators with the greatest presence in the SME segment), permanence commitments are significantly more frequent in the SME segment than in the self-employed segment. In the particular case of TME, data is also included in terms of the average number of SME and self-employed customers, observing a significant difference between the proportion that permanence commitments represent in the SME and self-employed segments of this operator depending on whether lines or customers are considered. TME clarifies that the difference is due to the fact that each customer may have several lines contracted, some of which may be associated with permanence commitments and others may not. Likewise, TME indicates that a single line may have several permanence commitments associated depending on the "economic supports" received (folio 1263).</w:t>
      </w:r>
    </w:p>
    <w:p>
      <w:r>
        <w:t>In any case, it is observed that the prevalence of permanence commitments acquired by TME's business customers is higher when analyzed in terms of SME or self-employed customers subject to such commitments than in terms of lines. The following table summarizes the information provided by TME, VODAFONE, and ORANGE regarding cancellations (expressed in terms of lines or customers) in their retail mobile communications services, distinguishing between lines or customers subject to permanence commitments or not. It also distinguishes between the SME segment and the self-employed segment.</w:t>
      </w:r>
    </w:p>
    <w:p>
      <w:r>
        <w:t xml:space="preserve">TABLE 17: CANCELLATIONS OF LINES OR CUSTOMERS WITH OR WITHOUT PERMANENCE COMMITMENT (PC) Percentage of lines (lines and customers for TME (MOVISTAR)) that cancel per month </w:t>
        <w:br/>
        <w:t xml:space="preserve">SME Self-employed Period </w:t>
        <w:br/>
        <w:t xml:space="preserve">With PC Without PC With PC Without PC </w:t>
        <w:br/>
        <w:t xml:space="preserve">Orange […] […] […] […] I 2010- I 2012 </w:t>
        <w:br/>
        <w:t xml:space="preserve">Vodafone (1) […] […] […] […] Sep 2009 - Dec 2011 </w:t>
        <w:br/>
        <w:t xml:space="preserve">TME (MOVISTAR) </w:t>
        <w:br/>
        <w:t xml:space="preserve">Lines (2) […] […] […] […] Mar 2010 - Jun 2012 </w:t>
        <w:br/>
        <w:t xml:space="preserve">Lines (3) […] […] […] […] Jan 2012 - Dec 2012 </w:t>
        <w:br/>
        <w:t xml:space="preserve">Customers (3) […] […] […] […] Jan 2012 - Dec 2012 </w:t>
        <w:br/>
        <w:t xml:space="preserve">(1) For individual customers, the data used covers the period May 2010 - December 2010 </w:t>
        <w:br/>
        <w:t xml:space="preserve">(2) According to data submitted by TME in December 2012. </w:t>
        <w:br/>
        <w:t xml:space="preserve">(3) According to data submitted by TME in March 2013. </w:t>
        <w:br/>
        <w:t>Source: Prepared based on responses to information requests from the operators.</w:t>
      </w:r>
    </w:p>
    <w:p>
      <w:r>
        <w:t>The information collected in the table reveals that, in general terms, the</w:t>
      </w:r>
    </w:p>
    <w:p>
      <w:r>
        <w:rPr>
          <w:b/>
        </w:rPr>
        <w:t>[Pages 37–39]</w:t>
      </w:r>
    </w:p>
    <w:p>
      <w:r>
        <w:t xml:space="preserve">the existence of loyalty commitments in all analyzed demand segments is associated with a lower percentage of customer or line cancellations. </w:t>
        <w:br/>
        <w:t xml:space="preserve">There is only one exception to this behavior in the data from TME's response in March 2013, regarding line cancellations from the SME and self-employed segments during the period January 2012-December 2012. This data reflects a higher percentage of cancellations for SME or self-employed customer lines subject to loyalty commitments than for those that are not. </w:t>
        <w:br/>
        <w:t xml:space="preserve">This behavior is different from that revealed by the information previously provided by TME, as well as from the information sent on the same date regarding customer cancellations. </w:t>
        <w:br/>
        <w:t xml:space="preserve">Additionally, the data from the previous table shows that the percentage of cancellations of SME customers or lines with loyalty commitments is generally higher than that of self-employed customers or lines. This behavior is observed for both ORANGE and VODAFONE customers (although, in this case, the cancellation percentages for SMEs and self-employed are very similar). However, the data provided by TME does not conform to this pattern in all cases. Thus, while the data regarding customers provided by TME in March 2013 reflects a higher cancellation percentage for SMEs than for self-employed, the data regarding lines from the same date reflects a lower percentage. Likewise, the data regarding lines provided by TME in December 2012 and March 2013 show lower cancellation percentages for SME lines than for self-employed lines and individual lines. </w:t>
        <w:br/>
        <w:t xml:space="preserve">3.- Data on TME lines associated with Premium Special SME Loyalty Conditions </w:t>
        <w:br/>
        <w:t>The table included below reflects for the entire period from September 2010 to December 2012 the number of lines of SME and self-employed customers that are associated with a Premium Special Loyalty Contract for SMEs over the total number of lines of these customers that have some loyalty commitment.</w:t>
      </w:r>
    </w:p>
    <w:p>
      <w:r>
        <w:t xml:space="preserve">TABLE 18: LINES WITH LOYALTY COMMITMENT (LC) AND PREMIUM CONTRACTS </w:t>
        <w:br/>
        <w:t xml:space="preserve">Average monthly lines and percentages </w:t>
        <w:br/>
        <w:t xml:space="preserve">SME Self-employed </w:t>
        <w:br/>
        <w:t xml:space="preserve">With LC Of which are Premium With LC Of which are Premium </w:t>
        <w:br/>
        <w:t xml:space="preserve">Lines […] […] […] […] </w:t>
        <w:br/>
        <w:t xml:space="preserve">Percentage (1) […] […] […] […] </w:t>
        <w:br/>
        <w:t xml:space="preserve">(1) Percentage of the total lines with loyalty commitment </w:t>
        <w:br/>
        <w:t xml:space="preserve">Source: Prepared based on responses to information requests from TME. </w:t>
        <w:br/>
        <w:t xml:space="preserve">The data from the table reveals a strong prevalence of contracts with Premium Special loyalty conditions for SMEs in the SME customer segment, compared to the self-employed customer segment, where this type of contract has a very limited presence. Thus, this type of contract is predominantly subscribed by SME customers, maintaining an average monthly of more than [confidential] lines associated with loyalty commitments derived from this contract from September 2010 to December 2012. However, according to the data provided by TME, this contract would hardly have any presence among self-employed customers. </w:t>
        <w:br/>
        <w:t xml:space="preserve">4.- TME revenues in the SME and self-employed segments </w:t>
        <w:br/>
        <w:t>The following table summarizes the information provided by TME regarding its revenues in the retail mobile communications services business. The data refers to the period January-December 2012, as the information provided by TME (not prior to 2010) does not allow for homogeneous comparisons for longer periods.</w:t>
      </w:r>
    </w:p>
    <w:p>
      <w:r>
        <w:t xml:space="preserve">TABLE 19: AVERAGE MONTHLY REVENUE (1) PER LINE OF SME AND SELF-EMPLOYED TME CUSTOMERS. January-December 2012 </w:t>
        <w:br/>
        <w:t xml:space="preserve">Monthly euros, number of lines and euros per line and month </w:t>
        <w:br/>
        <w:t xml:space="preserve">SME Self-employed </w:t>
        <w:br/>
        <w:t xml:space="preserve">With LC Without LC Premium With LC Without LC Premium </w:t>
        <w:br/>
        <w:t xml:space="preserve">Average monthly revenue […] […] […] […] […] […] </w:t>
        <w:br/>
        <w:t xml:space="preserve">Lines […] […] […] […] […] […] </w:t>
        <w:br/>
        <w:t xml:space="preserve">Average monthly revenue per line […] […] […] […] […] […] </w:t>
        <w:br/>
        <w:t xml:space="preserve">(1) In Premium contracts. Revenue provided by TME for SMEs and self-employed with discounts on price plans </w:t>
        <w:br/>
        <w:t xml:space="preserve">Source: Prepared based on TME's responses to information requests from the DI. </w:t>
        <w:br/>
        <w:t xml:space="preserve">The information from the table confirms, first, the relative importance of Premium contracts in the SME segment, where they represent [confidential] of the average monthly revenues obtained by TME in the entire SME segment, compared to [confidential] in the self-employed segment. </w:t>
        <w:br/>
        <w:t xml:space="preserve">Secondly, it is observed that, both in the SME segment and in the self-employed segment, loyalty commitments are associated with lines that generate higher unit revenues. Thus, in the self-employed segment, lines with loyalty commitments generate an average monthly revenue for TME of [confidential] euros, and in the SME segment of [confidential] euros. </w:t>
        <w:br/>
        <w:t>Thirdly, the available information reveals that premium contracts are associated, both in the SME segment and in the self-employed segment, with lines that generate the highest average revenue. Thus, in both segments, the average revenue generated by premium lines is higher than that observed for both lines without loyalty commitments and lines with loyalty commitments. This average revenue per line amounts to [confidential] euros per month for SMEs and [confidential] euros per month for self-employed.</w:t>
      </w:r>
    </w:p>
    <w:p>
      <w:r>
        <w:rPr>
          <w:b/>
        </w:rPr>
        <w:t>[Pages 40–42]</w:t>
      </w:r>
    </w:p>
    <w:p>
      <w:r>
        <w:t xml:space="preserve">5.- Conclusions  </w:t>
        <w:br/>
        <w:t xml:space="preserve">The commitments of permanence have a strong presence among the SME and self-employed clients of each of the three main mobile phone operators. This presence is much higher than that in the residential segment.  </w:t>
        <w:br/>
        <w:t xml:space="preserve">Lines and clients subject to commitments of permanence show lower percentages of cancellations than lines and clients free from these commitments.  </w:t>
        <w:br/>
        <w:t xml:space="preserve">TME includes in its commercial strategy aimed at self-employed and SMEs various types of commitments of permanence associated with what it calls "economic supports."  </w:t>
        <w:br/>
        <w:t xml:space="preserve">The commitments of permanence included in the "Special Premium SME Contracts" are associated with discounts on pricing plans. These commitments include the following conditions: commitment periods of 12, 18, or 24 months; penalties in case of non-compliance defined as the sum of the economic support enjoyed, equivalent to the "amount of the monthly fees for which free or subsidized service has been enjoyed" during each commitment period; automatic extension of the commitment of permanence for periods of 12, 18, or 24 months and a minimum notice period of one month, if one wishes to avoid the extension.  </w:t>
        <w:br/>
        <w:t xml:space="preserve">The conditions of permanence associated with this contract are not accessible through the operator's website; rather, clients who subscribe to these contracts must consult the personal advisors at the Customer Service Centers to obtain information about the amount of the discounts, as well as about the compensation they would have to pay in case of non-compliance with the conditions of permanence.  </w:t>
        <w:br/>
        <w:t xml:space="preserve">The [confidential] of the revenues that TME obtained from the SME segment is associated with contracts with discounts on rates, compared to a [confidential] in the self-employed segment.  </w:t>
        <w:br/>
        <w:t>The unit revenues that TME obtains in the SME and self-employed segments are higher in lines linked to contracts with commitments of permanence than in contracts that lack them. They are also higher in lines linked to premium contracts than in the overall contracts with commitments of permanence.</w:t>
      </w:r>
    </w:p>
    <w:p>
      <w:r>
        <w:t xml:space="preserve">LEGAL GROUNDS  </w:t>
        <w:br/>
        <w:t xml:space="preserve">FIRST.- Competence Enabling  </w:t>
        <w:br/>
        <w:t xml:space="preserve">In accordance with the provisions of the first additional provision of Law 13/2013, of June 4, creating the National Commission of Markets and Competition, by Order ECC/1796/2013, of October 4, of the Ministry of Economy and Competitiveness, October 7, 2013, was determined as the date of commencement of operations of the CNMC. According to the second additional provision of the same Law,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  </w:t>
        <w:br/>
        <w:t xml:space="preserve">On the other hand, according to Article 5.1.c) of Law 3/2013, it is the responsibility of the CNMC to "apply the provisions of Law 15/2007, of July 3, regarding conduct that prevents, restricts, and distorts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w:t>
        <w:br/>
        <w:t xml:space="preserve">Consequently, the competence to resolve this procedure corresponds to the Competition Chamber of the CNMC Council.  </w:t>
        <w:br/>
        <w:t xml:space="preserve">Finally, in accordance with Article 21.2.b) of Law 3/2013 and Article 14.2.a) of the Organic Statute of the CNMC, the Regulatory Supervision Chamber must report in this file.  </w:t>
        <w:br/>
        <w:t xml:space="preserve">SECOND.- Object of the resolution and applicable regulations  </w:t>
        <w:br/>
        <w:t xml:space="preserve">The Competition Chamber in this file must resolve, based on the instruction carried out by the DC as reflected in the Report and Proposal for Resolution, whether TME has committed and is responsible for a single and continuous serious infringement of Article 1 of the LDC and 101 TFEU, from September 2006 to the present, by establishing a network of parallel agreements with its business clients of retail mobile communications services, based on the "Special Premium Contracts for SMEs," which include commitments of permanence with increasing penalties for discounts on prices, automatic renewals, and short notice periods, conditions that collectively have a restrictive effect on competition, by unduly and disproportionately limiting the ability of a significant portion of TME's business clients to change their retail mobile communications service provider, for periods that practically exceed one year as a consequence of the automatic extensions.  </w:t>
        <w:br/>
        <w:t xml:space="preserve">Regarding the applicable national regulations, this file concerns a practice carried out during the validity of Law 16/1989 and the LDC, and Article 1 of both laws prohibits any agreement, decision, or collective recommendation, or concerted or consciously parallel practice, that has the object, produces, or may produce the effect of preventing, restricting, or distorting competition in all or part of the national market and, in particular, those consisting of the limitation or control of production, distribution, technical development, or investments, and in its letter c), the allocation of the market or sources of supply.  </w:t>
        <w:br/>
        <w:t xml:space="preserve">Thus, as noted on previous occasions, it would be indifferent to apply one legal provision or another, opting for one of the two laws; however, according to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  </w:t>
        <w:br/>
        <w:t xml:space="preserve">Without prejudice to the fact that the conduct regulated by Article 1 of the aforementioned Laws is identical, according to the precedents of the now-defunct CNC and the CNMC, in this case, the sanctioning regime designed by Law 15/2007 is, from a global perspective, more favorable to the infringers than that contemplated by Law 16/1989, except for the regime applicable to the calculation of the sanction to be imposed on Associations, as the one provided in the previous norm is more favorable than that of Law 15/2007, although the case of Associations is not relevant for this Resolution.  </w:t>
        <w:br/>
        <w:t xml:space="preserve">This more favorable application of Law 15/2007 has been recognized on previous occasions by the Council of the CNC, by the CNMC, and by the National Court, which in its recent Judgment of April 2, 2014 (appeal 194/2011, of L'OREAL ESPAÑA S.A. AND L'OREAL S.A.) has stated the following:  </w:t>
        <w:br/>
        <w:t xml:space="preserve">8 Resolutions of the Council of the CNC of November 12, 2009, Expte. S/0037/08, Decennial Insurance Companies; of January 21, 2010, Expte. S/0085/08, Gel Manufacturers; of April 12, 2010, Expte. S/0059/08 ANAGRUAL; of May 17, 2010, Expte. S/0106/08 Iron Warehouses; of July 28, 2010, Expte. S/0091/08, Fine Wines of Jerez; of July 31, 2010, Expte. S/0120/08, Freight Forwarders; of March 2, 2011, Expte. S/0086/08, Professional Hairdressing; of June 24, 2011, Expte. S/0185/09, Fluid Pumps; of October 26, 2011, Expte. S/0192/09 Asphalts; of November 10, 2011, Expte. S/024/10 Shipping Companies Ceuta-2; of February 23, 2012, Expte. S/0244/10, BALEARIC SHIPPING COMPANIES and of October 15, 2012, Expte. S/0318/10, Export of Envelopes.  </w:t>
        <w:br/>
        <w:t xml:space="preserve">9 Resolutions of the CNMC of June 12, 2014 (Expte. S/0444/12 GEA) and September 22, 2014 (Expte. S/0428/12 PALÉS).  </w:t>
        <w:br/>
        <w:t>10 In similar terms, the recent Judgment of the National Court of April 15, 2014 (appeal 572/2010, of RHENUS IHG IBERICA, S.A.) also states.</w:t>
      </w:r>
    </w:p>
    <w:p>
      <w:r>
        <w:rPr>
          <w:b/>
        </w:rPr>
        <w:t>[Pages 43–45]</w:t>
      </w:r>
    </w:p>
    <w:p>
      <w:r>
        <w:t>ability of competitors to attract customers from TME, as it imposes substantial costs on them to acquire these customers. This creates a situation where TME has a significantly extended reaction period (of at least one month) to attempt to retain customers who express their intention to terminate their contractual relationship with TME.</w:t>
      </w:r>
    </w:p>
    <w:p>
      <w:r>
        <w:t>TME's competitors are no longer on equal footing to compete for these customers, and combined with the fact that some operators develop commercial policies similar to those of TME, this effectively excludes other operators such as Mobile Virtual Operators (MVNOs) from the business segment in the retail mobile services market, when it is precisely these alternative operators that have introduced the most competition in the residential segment in recent years.</w:t>
      </w:r>
    </w:p>
    <w:p>
      <w:r>
        <w:t>This network of parallel agreements "Premium Contracts for SMEs" by TME with its business clients constitutes a single and continuous infringement of Article 1 LDC and Article 101 TFEU. In this sense, each contract in isolation would not constitute an infringement of competition law, but the cumulative effect of all the contracts, which extend to a very significant portion of TME's SME clients, is what generates the restrictive object and effect on competition.</w:t>
      </w:r>
    </w:p>
    <w:p>
      <w:r>
        <w:t>The agreements "Premium Contracts for SMEs" by TME with its business clients are subject to Article 1 LDC and Article 101 TFEU, insofar as they are vertical agreements between non-competing economic operators that govern the conditions under which TME's business clients acquire retail mobile communication services.</w:t>
      </w:r>
    </w:p>
    <w:p>
      <w:r>
        <w:t>These retail mobile communication services are used as inputs by TME's clients to produce their own goods and services in almost all sectors of the Spanish economy.</w:t>
      </w:r>
    </w:p>
    <w:p>
      <w:r>
        <w:t>These agreements by TME with its clients based on the "Premium Contracts for SMEs" are not covered by the exemption provided in Regulation (EU) No. 330/2010, because TME exceeds a market share of 30%, regardless of the reasonable definition of the relevant market used.</w:t>
      </w:r>
    </w:p>
    <w:p>
      <w:r>
        <w:t>The permanence obligation analyzed in the "Premium Contracts for SMEs" not only significantly limits TME's clients' ability to change mobile service providers, but it would also be limiting the</w:t>
      </w:r>
    </w:p>
    <w:p>
      <w:r>
        <w:rPr>
          <w:b/>
        </w:rPr>
        <w:t>[Pages 46–48]</w:t>
      </w:r>
    </w:p>
    <w:p>
      <w:r>
        <w:t>the effectiveness and the pro-competitive effect of the regulatory obligation that allows retail mobile communications service customers to unsubscribe and change providers at any time (portability). This restrictive effect on competition means that affected customers cannot benefit from better alternative offers in a context of declining prices for retail mobile communications services, increases the customer acquisition costs for smaller competitors, and leads to the compartmentalization of demand in the SME and self-employed segment, fostering the exclusion of alternative competitors. These "Premium Contracts special SME" cannot benefit from the exemption provided for in Article 1.3 LDC, as the restrictions introduced (increasing and non-transparent penalties, automatic renewal, and a one-month notice period) are not essential for granting the discount and there are less restrictive alternative mechanisms for competition, such as flat rates, which ensure a minimum use of the network and revenues for TME and allow for price differentiation for TME's SME customers.</w:t>
      </w:r>
    </w:p>
    <w:p>
      <w:r>
        <w:t>Despite the fact that the "Premium Contracts special SME" are agreements between TME and its business customers, TME is the sole responsible party, as these are adhesion contracts in which TME drafts the wording of the restrictive competition clauses analyzed, with TME being the only beneficiary of these restrictive competition clauses, which must be accepted by the business customer if they wish to benefit from discounts on prices.</w:t>
      </w:r>
    </w:p>
    <w:p>
      <w:r>
        <w:t xml:space="preserve">FOURTH. Allegations presented to the resolution proposal </w:t>
        <w:br/>
        <w:t>In accordance with Article 50.4 of the LDC, on March 3, 2014, the DC made its resolution proposal, granting interested parties a period of 15 days to present any allegations they deemed appropriate. Allegations have been presented by TME and ORANGE.</w:t>
      </w:r>
    </w:p>
    <w:p>
      <w:r>
        <w:t xml:space="preserve">4.1. On the attempt at conventional termination of the procedure proposed by TME </w:t>
        <w:br/>
        <w:t xml:space="preserve">As TME indicates, despite its absolute willingness to reach an agreement and its positive attitude at all times, the attempt at conventional termination was unsuccessful essentially for two main reasons: </w:t>
        <w:br/>
        <w:t xml:space="preserve">a) Because the DC required TME, and only TME, to completely abandon any obligation of permanence associated with discounts on prices that involved the application of penalties in case of non-compliance, which, according to the aforementioned entity, would have placed TME in a clear imbalance in the benefits that had already been agreed upon and were in force with all its customers, also leaving the fulfillment of contracts to the discretion of one of the parties, and would have placed TME at a competitive disadvantage compared to other competitors, such as VODAFONE and ORANGE, who would not be limited in that sense; </w:t>
        <w:br/>
        <w:t>b) Because the DC intended for TME to accept a prior review of all contract models it intends to use in the future, thus subjecting this company to a "de facto" commercial regulation and, in any case, unjustified, as it is not a dominant company.</w:t>
      </w:r>
    </w:p>
    <w:p>
      <w:r>
        <w:t xml:space="preserve">Response from the Competition Chamber </w:t>
        <w:br/>
        <w:t>Regarding this issue, -and without entering into the aspect of the alleged competitive disadvantage claimed by TME that is addressed later in section 4.6-, this Chamber wishes to first highlight that it does consider that there has been a manifest willingness on the part of the DC to reach a conventional solution with TME throughout the procedure. Otherwise, the fact that the DC itself agreed, at TME's request, to initiate actions aimed at the conventional termination of the procedure could not be understood, and this, we must not forget, results from an optional action by the DC itself, in accordance with the terms used in Article 39.1 of the RLDC.</w:t>
      </w:r>
    </w:p>
    <w:p>
      <w:r>
        <w:t>It is also worth noting that TME, in application of Article 39.3 of the RDC, has had the opportunity to present on two occasions a proposal for commitments to adequately resolve the effects on competition arising from the behaviors subject to the case resolved here, without having resolved, on either occasion, the competition problems raised throughout the case.</w:t>
      </w:r>
    </w:p>
    <w:p>
      <w:r>
        <w:t>Thus, on December 10, 2013, TME submitted a proposal for commitments to the CNMC, which was sent to the Council and the other interested parties on December 12, 2013.</w:t>
      </w:r>
    </w:p>
    <w:p>
      <w:r>
        <w:t>On January 8, 2014, the DC agreed, pursuant to the provisions of Article 39.3 of the RDC, that the commitments presented by TME on December 10, 2013 did not adequately resolve the effects on competition arising from the behaviors subject to the reference case, nor did they sufficiently guarantee the public interest. Furthermore, in this agreement, TME was granted a period of ten working days to present new commitments.</w:t>
      </w:r>
    </w:p>
    <w:p>
      <w:r>
        <w:t>On January 20, 2014, the DC granted, at TME's request, an extension of 5 days for the submission of a new proposal for commitments within the framework of the conventional termination of the reference case.</w:t>
      </w:r>
    </w:p>
    <w:p>
      <w:r>
        <w:t>The second proposal for commitments from TME was received by the CNMC on January 27, 2014. This proposal for commitments was sent to the CNMC Council on January 29, 2014.</w:t>
      </w:r>
    </w:p>
    <w:p>
      <w:r>
        <w:t>Finally, on February 14, 2014, the DC agreed that the second proposal for commitments submitted by TME on January 27, 2014 did not resolve, again, the competition problems arising from the behaviors subject to the reference case nor did it sufficiently guarantee the public interest.</w:t>
      </w:r>
    </w:p>
    <w:p>
      <w:r>
        <w:t xml:space="preserve">In summary, the DC considered –paragraphs (94) and following of the PR– the following: </w:t>
        <w:br/>
        <w:t xml:space="preserve">1) That the commitments presented by TME expressly maintained one of the provisions of the "Premium Contracts special SME" that has been identified as restrictive of competition and without sufficient objective justification: the establishment of obligations of permanence associated with discounts on prices, which involve the application of penalties in case of non-compliance. </w:t>
        <w:br/>
        <w:t xml:space="preserve">2) That, although in the commitments TME eliminated the increasing nature of these penalties by replacing them with fixed penalties, these commitments did not sufficiently specify either the amount or the criteria that would be used to set these penalties. </w:t>
        <w:br/>
        <w:t xml:space="preserve">3) That although the commitments proposed by TME nominally eliminated another of the elements of the "Premium Contracts special SME" that had been identified in the statement of facts as restrictive of competition, specifically the automatic renewal of the obligations of permanence, these commitments did not establish mechanisms that prevented TME from implementing measures of equivalent effect, which would lead to the tacit chaining of contracts with TME's business customers. </w:t>
        <w:br/>
        <w:t xml:space="preserve">4) That the scope of application of the commitments had been artificially limited by TME to its current customers who had signed "Premium Contracts special SME," which implied that the door was left open for future customers of TME, especially in the SME segment, to maintain a contractual system equivalent to that analyzed in the framework of the reference case. </w:t>
        <w:br/>
        <w:t>5) That the commitments did not introduce sufficient mechanisms to ensure that the harms to competition generated by the contractual provisions studied in the framework of the reference case, which have been in force since 2006, were compensated quickly and effectively.</w:t>
      </w:r>
    </w:p>
    <w:p>
      <w:r>
        <w:rPr>
          <w:b/>
        </w:rPr>
        <w:t>[Pages 49–51]</w:t>
      </w:r>
    </w:p>
    <w:p>
      <w:r>
        <w:t xml:space="preserve">6) That there would not be an immediate exit to the market for all TME customers who are bound by loyalty obligations due to discounts on prices, so that they can consciously and effectively choose whether to remain with TME or contract with another operator.  </w:t>
        <w:br/>
        <w:t xml:space="preserve">7) That the commitments did not establish any mechanism that would allow the CNMC to review whether the new contract models complied with the commitments before their effective use, nor was it foreseen that the CNMC could, if applicable, block those new contract models that did not comply with the commitments.  </w:t>
        <w:br/>
        <w:t xml:space="preserve">8) Finally, the duration of the commitments proposed by TME, three calendar years, was very limited compared to the period during which the "Premium Contracts special SME" have been in force (since 2006), which limited the effectiveness and efficiency of the commitments.  </w:t>
        <w:br/>
        <w:t xml:space="preserve">Article 52 of the LDC, which regulates the procedure for conventional termination of the sanctioning procedure regarding prohibited agreements and practices, expressly states that this mode of optional termination for the administration of the sanctioning procedure can only be considered when the alleged offenders propose commitments that resolve the effects on competition arising from the behaviors subject to the file and sufficiently guarantee the public interest.  </w:t>
        <w:br/>
        <w:t xml:space="preserve">There have been many occasions when both Spanish and European courts have had the opportunity to analyze and pronounce on the nature and purpose of this way of concluding sanctioning procedures for restrictive practices of competition. Thus, for example, regarding the specific purpose of this mode of termination, the Judgment of the National Court 4732/2013, of October 31, 2013, considers that:  </w:t>
        <w:br/>
        <w:t xml:space="preserve">“What is intended with this procedure is to accelerate the resolution of matters, favoring the rapid restoration of competition and allowing limited public resources to be dedicated to investigating and processing other offenses, for the benefit of other companies and consumers.  </w:t>
        <w:br/>
        <w:t xml:space="preserve">Therefore, the purpose of the conventional termination procedure is based on considerations of procedural economy, to conclude a procedure initiated more quickly and at a lower cost without requiring a pronouncement on the existence or non-existence of the infringement.”  </w:t>
        <w:br/>
        <w:t xml:space="preserve">In relation to this purpose, it cannot be overlooked that the Communication on the Conventional Termination of Sanctioning Files approved by the CNC in September 2011 emphasizes the positive assessment of an early presentation of the proposal for conventional termination, in the wording of the Communication, “... as soon as possible after the sanctioning file has been initiated,” to ensure the public interest required by Article 52 LDC.  </w:t>
        <w:br/>
        <w:t xml:space="preserve">Thus, in the case at hand, there are no early actions in the file by the reported company for the presentation of a proposal for conventional termination but rather the exhaustion of the limit set in the Communication for its request. Thus, the existence of a possible indictment, even if in the preliminary phase in the PCH, does not contribute to supporting the option of conventional termination to the extent that the benefits of an early termination become blurred. As previously indicated, the Communication itself establishes in its section (11) that, “The more advanced the phase of instruction of a file is, the more blurred the effect of satisfying the public interest obtained through the prompt conclusion of the file becomes, allowing for a rapid implementation of the remedies that put an end to the detected restriction of competition.” And, in fact, since the LDC came into force, in a broad percentage exceeding 85% of sanctioning files with a resolution of conventional termination, the request for conventional termination occurred before the interested parties were notified for allegations regarding the statement of facts.  </w:t>
        <w:br/>
        <w:t xml:space="preserve">On the other hand, the fact that the procedure can be concluded early for reasons of procedural economy, as stated by the National Court, does not detract from the value of the activity that the CNMC must exercise by virtue of the powers conferred on it by the applicable regulations, including, in general, the preservation, guarantee, and promotion of the existence of effective competition in the markets at the national level as well as ensuring the coherent application of competition rules. And this requires that any activity of the CNMC within the framework of its powers, and more specifically within the framework of sanctioning procedures in the presence of prohibited practices, aims, as we have said, to preserve and guarantee that effective competition, a function that can also be carried out through conventional agreements with infringing companies, provided that the identified problems are resolved, and, as we have already pointed out, the public interest is safeguarded. In this regard, see the Judgment of the National Court dated March 20, 2013, which states that “the priority of the CNC is to preserve competition in the markets, which is achieved not only through a sanctioning procedure, as there are other mechanisms that allow for equally effective protection of the public interest, which does not prevent relevant actions for annulment from being exercised in civil proceedings.”  </w:t>
        <w:br/>
        <w:t xml:space="preserve">However, those guarantees required for conventional termination can only be achieved through the presentation of clear commitments and, by their literal tenor, subject to monitoring for compliance by the administration. The National Court, in its Judgment of March 6, 2013 (900/2013), thus requires that “the fundamental element of any conventional termination of an administrative procedure, especially of a sanctioning administrative procedure, is the configuration of commitments. These, on the other hand, must be clear, and by their literal tenor, subject to monitoring for compliance by the Administration, to whom the legal system specifically entrusts such monitoring, in this case, the Law and the Competition Defense Regulation. The commitments must guarantee the constitutional public interest of free competition and avoid, prevent, or compensate for the possible harm that may arise to this public interest from the behaviors that, until the conventional termination was agreed upon, were being investigated for being contrary to the LDC.”  </w:t>
        <w:br/>
        <w:t xml:space="preserve">Indeed, this Chamber shares the considerations of the National Court, as it is a necessary element for the conventional termination of the procedure that the commitments proposed by the companies resolve the identified problems, not only at the present moment but also prospectively, and furthermore, are specified in clear and applicable commitments, and these requirements have not been met in the commitments presented by TME throughout the procedure.  </w:t>
        <w:br/>
        <w:t xml:space="preserve">As previously indicated by the DC, the commitments presented by TME did not eliminate several of the conditions that TME imposed in its contracts subject to the present file and that constituted restrictive elements of competition and, therefore, constituted an infringement. In this regard, this Chamber shares the opinion of the DC, to which we refer to avoid unnecessary repetitions, and considers that, indeed, the commitments presented by TME did not meet the necessary prerequisites for them to be accepted in the first instance by the DC and subsequently by this Chamber. Accepting them would have meant breaking the argued purpose of this type of administrative actions and, ultimately, would not have resolved the competition problems arising from the loyalty contracts analyzed here.  </w:t>
        <w:br/>
        <w:t xml:space="preserve">To conclude, this Chamber wants to emphasize that we are faced with the existence of a discretionary power of the administration, which is the one that must assess, in the first place, whether it is appropriate to initiate the conventional termination procedure and, subsequently, accept or, if applicable, deny the commitments proposed by the parties. In this sense, being a discretionary power of this administration, it is essential and necessary that any decision made in this regard is sufficiently motivated so that TME itself clearly and unequivocally knows the reasons why the DC decided to reject the proposed commitments, and this, in the opinion of this Chamber, has been more than sufficiently fulfilled in the aforementioned Agreement of the Director of Competition.  </w:t>
        <w:br/>
        <w:t>It is appropriate to bring to mind the Judgment of the National Court dated July 5, 2012 (3114/2012), in which, regarding the conventional termination procedure processed by the CNC, it has stated the following:</w:t>
      </w:r>
    </w:p>
    <w:p>
      <w:r>
        <w:rPr>
          <w:b/>
        </w:rPr>
        <w:t>[Pages 52–54]</w:t>
      </w:r>
    </w:p>
    <w:p>
      <w:r>
        <w:t>the economic activity, stating that “the Guidelines apply to all agreements between undertakings that may affect trade between Member States and that have as their object or effect the prevention, restriction or distortion of competition within the internal market.”</w:t>
      </w:r>
    </w:p>
    <w:p>
      <w:r>
        <w:t>In light of the above, it is clear that the definition of vertical agreements encompasses a wide range of relationships, including those that may not fit the traditional notion of a supply chain involving physical goods. The relationship between TME and its clients, as described, does not exclude it from being classified as a vertical agreement simply because it involves services rather than goods.</w:t>
      </w:r>
    </w:p>
    <w:p>
      <w:r>
        <w:t>In conclusion, the arguments presented by TME and ORANGE regarding the nature of the agreements in question do not negate the applicability of the RECAV. The relationships established through the provision of mobile telephony services can indeed be considered vertical agreements under the definitions provided in the relevant legal framework.</w:t>
      </w:r>
    </w:p>
    <w:p>
      <w:r>
        <w:rPr>
          <w:b/>
        </w:rPr>
        <w:t>[Pages 55–57]</w:t>
      </w:r>
    </w:p>
    <w:p>
      <w:r>
        <w:t>type of goods and services and all levels of exchanges, even with final consumers, with the sole exception that these final consumers are not businesses, which is not the case in the present file: "Unless otherwise specified, the analyses and arguments contained in these guidelines apply to all types of goods and services and to all levels of exchanges. The term 'products' encompasses both goods and services. Thus, the terms 'supplier' and 'buyer' are used to refer to all levels of exchanges. These Guidelines and the Block Exemption Regulation do not apply to agreements made with final consumers when they are not businesses, since Article 101 only applies to agreements between businesses."</w:t>
      </w:r>
    </w:p>
    <w:p>
      <w:r>
        <w:t>TME intends to assimilate the SMEs subject to this file as final customers of the services provided by TME, which would lead to the non-application of the RECAV, since SMEs would not assign any specific value to the input (mobile telephony services) in the configuration of their corresponding final manufactured product or service.</w:t>
      </w:r>
    </w:p>
    <w:p>
      <w:r>
        <w:t>However, this Chamber does not share such consideration as it is evident in the present file that the mobile telephony services contracted by SMEs are not used for personal use and are unrelated to their own business activity. It is precisely for this reason that TME configures a series of differentiated mobile telephony services based on the type of subscriber, clearly distinguishing between the business and residential segments, with different characteristics and conditions precisely in relation to the use and destination of the contracted services.</w:t>
      </w:r>
    </w:p>
    <w:p>
      <w:r>
        <w:t>This consideration is also in line with the assessments of the now-defunct CMT, which in its report of October 2011, on the competitive situation in the business segment in Spain (AEM INF 2010/90), states that "Spanish companies demand electronic communications services as an input in their production function to provide their services in the markets in which they operate. Given the impact that the adoption of new technologies can have on the productivity of companies, it is interesting to first present the penetration levels of the different services."</w:t>
      </w:r>
    </w:p>
    <w:p>
      <w:r>
        <w:t>Moreover, if we refer to the very definition of final consumer contained in the consumer and user regulations, both general and those referring to telecommunications services, we observe that these, in a manner analogous to that considered by this Chamber, exclude from the definition of final consumer individuals or legal entities that use the services offered by others for professional purposes.</w:t>
      </w:r>
    </w:p>
    <w:p>
      <w:r>
        <w:t>In this regard, both Law 32/2003, General Telecommunications Law, applicable during the processing of the procedure, and the current Law 9/2014, General Telecommunications Law, define the telecommunications consumer in the following terms: "4. Consumer: any natural or legal person who uses or requests a publicly available electronic communications service for non-professional purposes."</w:t>
      </w:r>
    </w:p>
    <w:p>
      <w:r>
        <w:t>In similar terms, Law 3/2014, of March 27, which amends the consolidated text of the General Law for the Defense of Consumers and Users and other laws, in its Article 3 provides the following definition of consumer or user: "For the purposes of this regulation and without prejudice to the provisions expressly set forth in its third and fourth books, consumers or users are natural persons acting for purposes unrelated to their commercial, business, trade, or profession. Legal persons and entities without legal personality that act without profit in a context unrelated to a commercial or business activity are also considered consumers for the purposes of this regulation."</w:t>
      </w:r>
    </w:p>
    <w:p>
      <w:r>
        <w:t>That is to say, those companies that use the contracted services for business purposes, such as SMEs and self-employed individuals contracting services with TME, cannot be considered final consumers or end customers of such services, with the aim, as noted, of using those services as necessary inputs for their own businesses. In this same sense, the Supreme Court, in its Judgment of December 15, 2005 (2005/230413), has stated the following: "Article 1, paragraphs 2 and 3, of Law 26/1984, of July 19 EDL 1984/8937, delineates the subjective scope of the same by attributing the condition of consumer not to anyone who is in the position of the demander against the offeror, but to the consumer who is the final recipient of the external products or services that he acquires, uses, or enjoys. That is, to the one who uses such services in a personal, family, or domestic context. Not to the one who does so to reintroduce those products or services into the market, whether through their commercialization or provision to third parties, either in the same form in which they were acquired or after transforming them, or using them to integrate them into production or transformation processes of other goods or services."</w:t>
      </w:r>
    </w:p>
    <w:p>
      <w:r>
        <w:t>Thus, as the DC has pointed out in its PR, it is evident that the mobile services of TME contracted by its SME and self-employed clients are a basic and essential input for these clients to develop their business activity. In fact, due to their nature and ubiquity, mobile services are used by almost all companies to carry out their economic activities, so any distortion in the competitive dynamics of the provision of mobile services to businesses in Spain is likely to affect almost all sectors of Spanish economic activity.</w:t>
      </w:r>
    </w:p>
    <w:p>
      <w:r>
        <w:t>The above leads us to conclude that the "Premium Permanence Contracts special for SMEs" signed by TME with its business clients constitute vertical agreements between non-competing companies that are subject to the limitations established by Article 1 of the LDC and 101 of the TFEU.</w:t>
      </w:r>
    </w:p>
    <w:p>
      <w:r>
        <w:t>Furthermore, in the case subject to this file, the necessary conditions for the application of the exemption provided for in Article 2 of the RECAV are not met. In particular, it is necessary to take into account that TME's market share, as a provider in the retail mobile telephony services market, exceeds the 30% threshold established by Article 3 of the Regulation as a necessary condition for the application of the exemption (see Graph 1 and tables 6 and 7 of this resolution).</w:t>
      </w:r>
    </w:p>
    <w:p>
      <w:r>
        <w:t>4.3.- On the object and the restrictive effects on competition derived from the practices subject to this file.</w:t>
      </w:r>
    </w:p>
    <w:p>
      <w:r>
        <w:t>For TME, the investigated clauses do not fit into any of the cases that, according to the European Commission, precedents, and jurisprudence, have been considered as infringements by object of Articles 1 LDC or 101 TFEU. According to the aforementioned entity, the investigated clauses cannot be restrictive by their object when their objective is clear and absolutely legitimate, having nothing to do with introducing a restriction of competition.</w:t>
      </w:r>
    </w:p>
    <w:p>
      <w:r>
        <w:t>On the other hand, TME points out that the DC makes a significant error by analyzing the effects of the investigated behaviors in a segment of the relevant market, and not in the market as a whole, which is where the effects of the behaviors must be analyzed from the perspective of Articles 1 LDC and 101 TFEU.</w:t>
      </w:r>
    </w:p>
    <w:p>
      <w:r>
        <w:t>Moreover, according to TME, even if the investigated clauses affected a significant part of the market, the evidence in the file demonstrates that they have not produced and cannot produce a minimally appreciable restrictive effect on competition.</w:t>
      </w:r>
    </w:p>
    <w:p>
      <w:r>
        <w:t>Regarding the potential exclusion effect of YOIGO and the MVNOs from the SME segment as a consequence of the investigated clauses, TME states that an objective assessment of the facts and allegations in the file conclusively shows that the investigated clauses do not exclude YOIGO and the MVNOs.</w:t>
      </w:r>
    </w:p>
    <w:p>
      <w:r>
        <w:t>If the Commission Regulation (EC) No. 2790/1999 of December 22, 1999, on the application of paragraph 3 of Article 81 of the EC Treaty to certain categories of vertical agreements and concerted practices, in force until May 31, 2010, were applied, TME would also not be able to benefit from the exemption, according to the provisions of Article 3 of that Regulation, as its market share exceeds the 30% threshold.</w:t>
      </w:r>
    </w:p>
    <w:p>
      <w:r>
        <w:rPr>
          <w:b/>
        </w:rPr>
        <w:t>[Pages 58–60]</w:t>
      </w:r>
    </w:p>
    <w:p>
      <w:r>
        <w:t>For its part, ORANGE subscribes to the analysis made by the DC regarding the harm that the discount repayment commitments imposed by TME inflict on competition. According to the aforementioned entity, an important aspect of the mentioned discount repayment commitments is that they not only bind the customer during the initial duration period, but if such contracts are tacitly extended without new improvements in conditions by TME, in the event of cancellation after 4 years before the automatic extension ends, TME requests the customer to return all discounts from the initial term, when neither the commitment to remain nor any additional economic advantage has been expressly renewed. According to ORANGE, in practice, this contractual provision implies claiming the discounts received from the outset, without any additional advantage, which effectively prevents even the portability of customers who have more than fulfilled the initial commitment to remain and have not obtained any additional commercial advantage since their activation. Therefore, without providing additional discounts in the extensions of the contracts, they continue to demand the discounts from the initial moment, making the customer "captive for life."</w:t>
      </w:r>
    </w:p>
    <w:p>
      <w:r>
        <w:t>Response from the Competition Chamber</w:t>
        <w:br/>
        <w:t>In accordance with well-established jurisprudence (see National Court Judgment of November 2, 1998), for there to be a violation of competition rules regarding the behaviors provided for in Articles 1 of the LDC or 101 of the TFEU, one of the following three premises must be met: a) that it has as its "object" to prevent, restrict, or distort competition, even if it does not succeed; b) that it has the "effect" of doing so, even if there was no intent; and c) that, without producing the "effect" or pursuing it, it has the "capacity" to do so.</w:t>
      </w:r>
    </w:p>
    <w:p>
      <w:r>
        <w:t>In the present case, we are faced with a behavior that fits into the prohibited practices provided for in Articles 1 LDC and 101 TFEU, and constitutes, as we will see, a restriction by object, which, additionally, has had the capacity to achieve the end of distorting free competition by TME.</w:t>
      </w:r>
    </w:p>
    <w:p>
      <w:r>
        <w:t>Having noted the above, it is first important to make clear that this Chamber considers that not all the conditions of permanence offered by telecommunications operators are restrictive of competition. This consideration is also in line with the assessments of the former CMT, which stated on several occasions that the subscription to permanence commitments is a general practice in the retail mobile telephony market, which "can have neutral or even favorable effects for the consumer, particularly if the offer represents an improvement over other promotions (as may be the case with the terminal subsidy policy) and provides compensations proportional to the discount received by the user when subscribing to the promotion." Taking into account the current regulatory framework, the CMT also points out that the "subscription by mobile telephony service subscribers to permanence commitments in exchange for certain advantages should not imply a barrier to portability."</w:t>
      </w:r>
    </w:p>
    <w:p>
      <w:r>
        <w:t>However, as the CMT also indicated, "on the contrary, if the minimum permanence period or the amount of penalties are excessive, the switching costs for customers would increase, leading to exclusionary effects."</w:t>
      </w:r>
    </w:p>
    <w:p>
      <w:r>
        <w:t>In this regard, the effects on competition and consumers of telecommunications contracts and, in particular, of automatic renewal clauses, with notice periods and penalties, have been monitored and studied by regulatory and competition authorities due to the concerns raised by their effects on consumers and competitive conditions. In particular, OFCOM in the United Kingdom studied in 2011 the effects of automatic renewal clauses in contracts for the provision of services to fixed telephony consumers (these clauses were not present in the mobile telephony market). Its conclusions, regarding the negative effects of the automatic renewal clause and the notice mechanism, identified a direct effect on switching costs (the user's inability to change providers as new offers arise or their personal circumstances change) and an indirect effect on competition among telecommunications service providers (a reduced number of free users in the market decreases companies' incentives to invest in activities with economies of scale, including marketing campaigns, innovations, and new entries). This led OFCOM to prohibit this type of automatic renewal clause in contracts for fixed telephony services with consumers and with companies with fewer than 10 employees.</w:t>
      </w:r>
    </w:p>
    <w:p>
      <w:r>
        <w:t>Similarly, in the particular case of permanence clauses with increasing penalties, consumer authorities have pointed out their disproportionate nature, as they do not maintain the necessary balance regarding the position of both parties in the contract:</w:t>
      </w:r>
    </w:p>
    <w:p>
      <w:r>
        <w:t>"the possible abusive nature of a clause of this kind must be assessed taking into account the possible advantages that may arise for the consumer and user from the commercial offer specified in the contract, as well as the proportionality of the penalty contemplated therein, so that the necessary balance regarding the position of both parties is maintained. Therefore, it should be emphasized first that to determine whether a clause of this type is abusive or not, it will be necessary to evaluate on a case-by-case basis to verify whether these requirements are met or not. However, generally speaking, it can be stated that none of this occurs in those cases where the measure approaches the final date of compliance with the contract's permanence commitment, and therefore the liberalization of the contractual bond for the consumer, the compensation that the company must pay is greater."</w:t>
      </w:r>
    </w:p>
    <w:p>
      <w:r>
        <w:t>Thus, in accordance with the above, we must consider, as a first conclusion, that not all permanence clauses configured by operators based on their business freedom generate a distortion of the normal functioning of telecommunications markets, nor will they require the action of this Agency. However, on the contrary, those other conditions that, having the same qualification as permanence clauses, instead provoke a distortion in the markets affecting the rest of the competitors and, ultimately, the consumers, will indeed need to be analyzed and intervened, and this is precisely what occurs with the conditions imposed by TME in its Premium Special SME contracts, whose restrictions on competition both by object and by effect have been evident from the instruction of the procedure resolved here, as will be shown below.</w:t>
      </w:r>
    </w:p>
    <w:p>
      <w:r>
        <w:t>4.3.1.-Restriction by object</w:t>
        <w:br/>
        <w:t>This Chamber considers, like the DC, that the design of the conditions of permanence and the penalties associated with the reference contracts are aimed, from an objective point of view, at hindering the capture of TME's SME business customers by alternative competitors and, moreover, do not benefit the subscribers of such services in any way.</w:t>
      </w:r>
    </w:p>
    <w:p>
      <w:r>
        <w:t>The particularities that this Chamber has taken into account to reach the conclusion that the aforementioned vertical restrictions are so by their object and, therefore, pursue a restriction from the very moment they were configured, refer to a) the method of calculating the penalties, b) the automatic renewal of the permanence commitments and the existence of minimum notice periods to avoid such automatic renewal, c) the calculation of the economic support and, finally, d) the reduced transparency with which this type of contracts are marketed.</w:t>
      </w:r>
    </w:p>
    <w:p>
      <w:r>
        <w:t>a) Penalty calculation system</w:t>
      </w:r>
    </w:p>
    <w:p>
      <w:r>
        <w:rPr>
          <w:b/>
        </w:rPr>
        <w:t>[Pages 61–63]</w:t>
      </w:r>
    </w:p>
    <w:p>
      <w:r>
        <w:t>In relation to the system for calculating the penalties contained in the contracts analyzed here, which are of a growing nature (and not very transparent, as explained later), it is evident that their configuration aims to retain the operator's subscribers through the constant increase of the penalty in the event of early termination of the contract, resulting in a paradoxical situation, because the longer the customer fulfills the contract (and, therefore, the greater the benefits they provide to the operator, in this case, TME), the greater the penalty they must pay in the event of changing operators or early termination of the service.</w:t>
      </w:r>
    </w:p>
    <w:p>
      <w:r>
        <w:t>This system of increasing or inverse penalty calculation does not align with the usual practice in other contracts with loyalty commitments, such as those associated with terminal subsidies. In this case, the initial cost of acquiring the terminal is borne by TME, and it recovers this cost progressively or in installments throughout the duration of the loyalty commitment, so that a greater degree of compliance with the loyalty commitment implies a lower penalty for breach, as it is assumed that the company will have already recovered part of the initial "investment" made that justifies the application of the aforementioned penalty.</w:t>
      </w:r>
    </w:p>
    <w:p>
      <w:r>
        <w:t>However, in the contracts subject to this file, as noted, the penalty is increasing, so its purpose cannot be solely to compensate for the expenses or investments made by TME but primarily to hinder the change of operator when it is most likely to occur, that is, at a time close to the end of the loyalty commitment.</w:t>
      </w:r>
    </w:p>
    <w:p>
      <w:r>
        <w:t>No economic logic underlies the examined increasing penalty since there is no explanation for why, in a contract of a certain duration (12 or 24 months, for example), the SME customer can disengage from it at the time of its fulfillment (at the end of month 12 or 24) without paying any compensation (and, therefore, TME expressly acknowledging the achievement of the profitability sought in the completed contract) while in a previous month (for example, in month 11 or 23) the customer must pay a maximum penalty, as if until that moment the contract had not provided any profitability or benefit to TME.</w:t>
      </w:r>
    </w:p>
    <w:p>
      <w:r>
        <w:t>In short, there is no doubt that the penalty system designed in the Premium contracts is per se restrictive of competition as its objective is to retain its customers through the artificial increase of penalties, which evidences a market closure to TME's competitors.</w:t>
      </w:r>
    </w:p>
    <w:p>
      <w:r>
        <w:t>b) The automatic renewal of loyalty commitments and the existence of minimum notice periods to avoid such automatic renewal</w:t>
      </w:r>
    </w:p>
    <w:p>
      <w:r>
        <w:t>The automatic renewal of loyalty commitments and the existence of a minimum notice period to avoid it also represent additional barriers that force TME's SME customers to plan adequately if they want to change providers while avoiding penalty clauses. Therefore, they increase the cost for the SME customer of changing providers.</w:t>
      </w:r>
    </w:p>
    <w:p>
      <w:r>
        <w:t>Moreover, the automatic renewal and the notice period increase the commercial cost for competitors to attract TME's SME customers, as competitors are often forced to pay penalties to get the customer to change providers, as indicated later. Additionally, if the competitor presents the offer to a TME SME customer before the start of the minimum notice period and the SME customer decides to give notice to change supplier coinciding with the end of the commitment period, in order to avoid penalties, TME will have a wide time frame to react to its competitors' offers.</w:t>
      </w:r>
    </w:p>
    <w:p>
      <w:r>
        <w:t>As previously noted, the conclusions of the study conducted by OFCOM in 2011 on automatic renewal clauses in contracts for the provision of services to fixed-line telephone consumers identified negative effects, both direct and indirect, on switching costs (the user's inability to change providers as new offers arise or their personal circumstances change) and on competition among telecommunications service providers (a reduced number of free users in the market decreases companies' incentives to invest in activities with economies of scale, including marketing campaigns, innovations, and new entries). Both effects, direct and indirect, led OFCOM to prohibit this type of automatic renewal clause in fixed-line telephone service contracts with consumers and with companies of fewer than 10 employees.</w:t>
      </w:r>
    </w:p>
    <w:p>
      <w:r>
        <w:t>c) The calculation of the economic support associated with Premium contracts.</w:t>
      </w:r>
    </w:p>
    <w:p>
      <w:r>
        <w:t>Regarding the calculation of the penalty, as already noted, it should be pointed out that it does not take into account that partial compliance with the loyalty commitment by the SME customer also entails, at least partially, a recovery of any eventual economic effort that TME may have incurred to support its SME customers. Indeed, the system designed by TME does not consider that the operator progressively recovers the supposed economic support through the consumption made by the customer.</w:t>
      </w:r>
    </w:p>
    <w:p>
      <w:r>
        <w:t>It is enough to note that in the case of supports consisting of terminal subsidies, it is confirmed that the scheme generally responds to this design. TME incurs an initial cost, in support of the customer, and recovers this cost progressively or in installments throughout the duration of the loyalty commitment. Thus, even if the loyalty commitment is not fully met, a greater degree of compliance with it is associated with a lower penalty for breach.</w:t>
      </w:r>
    </w:p>
    <w:p>
      <w:r>
        <w:t>In contrast, in the examined Premium contracts, the design made by TME seems to presume that the operator does not receive any profitability from the consumption made by the customer during the duration of the contract until the last day of the loyalty commitment is reached. On that date, the TME customer does not have to pay any penalty, but, on the contrary, during the rest of the contractual period, the penalty to be paid is increasing as if TME were not obtaining any benefit from it and were incurring continuous losses.</w:t>
      </w:r>
    </w:p>
    <w:p>
      <w:r>
        <w:t>d) The reduced transparency with which these contracts are marketed.</w:t>
      </w:r>
    </w:p>
    <w:p>
      <w:r>
        <w:t>The reduced transparency associated with the underlying conditions of these contracts may also pose a barrier to access and expansion for competitors as it increases the cost for SME customers to evaluate alternative offers compared to the option of maintaining the existing contract with TME. Thus, the need to consult a personalized advisor from the Customer Service Center to obtain relevant information regarding the conditions of the loyalty commitment, as well as the economic support attributed by TME and the corresponding penalty in case of breach of the contract commitment, generates costs for SMEs that must be added to the taxes for the contract when facing a supplier change process.</w:t>
      </w:r>
    </w:p>
    <w:p>
      <w:r>
        <w:t>The lack of transparency with which the aforementioned Premium contracts are marketed has been evident during the processing of the file with the contradictory allegations made by TME and ORANGE regarding the penalty to be paid in the event of contract extension, which, for TME, would refer successively and exclusively to each of the contractual periods that were contracted and extended (page 1544), while ORANGE estimates that it encompasses the return of all discounts from the initial term, in the event of cancellation after 4 years before the automatic extension ends (page 2561).</w:t>
      </w:r>
    </w:p>
    <w:p>
      <w:r>
        <w:t>In short, it is evident that the conditions that TME has included in the premium contracts constitute anti-competitive behavior by their object, as their impact on competition is evident without the need to measure their effects in the market. It is clear that, considering the characteristics of the conditions described as a whole, one of the objectives that TME pursued with the aforementioned clauses was to close the market to its competitors, as they make it much more difficult for other operators to attract customers.</w:t>
      </w:r>
    </w:p>
    <w:p>
      <w:r>
        <w:rPr>
          <w:b/>
        </w:rPr>
        <w:t>[Pages 64–66]</w:t>
      </w:r>
    </w:p>
    <w:p>
      <w:r>
        <w:t>The use of anti-competitive loyalty clauses through unjustifiably high penalties and lack of transparency for early contract terminations has been considered restrictive of competition by both the now-defunct CNC and the National Court. Thus, in its judgment of February 15, 2012, the National Court dismissed the contentious-administrative appeal filed by Abertis Telecom SAU against the CNC's decision of May 19, 2009 (case 646/08, Axion/Abertis), by which a fine of 22,658,863 euros was imposed for two infringements of abuse of dominant position (arts. 6 LDC and 82 TCE) consisting of (i) demanding, without objective justification, substantial penalties from its clients in the event of early termination of signed contracts in 2006 and establishing an excessive duration of certain contracts to prevent the possible commercial action of new competitors and their entry into the market; and (ii) offering in the context of the negotiation of the contracts signed in 2006, without objective justification, discounts for the joint contracting of broadcasting in all territories or regional plates into which it could be subdivided, with the effect of preventing the entry of new competitors in some of them.</w:t>
      </w:r>
    </w:p>
    <w:p>
      <w:r>
        <w:t>In its analysis of the aforementioned case, the National Court stated that "we also share the CNC's assessment in affirming that an anti-competitive exclusion of an effective competitor from the market is possible through customer loyalty that can be achieved through various behaviors. In this case, both through the signing of long-term contracts that include unjustifiably high penalties for unilateral early termination (ABERTIS contracts from 2006), and through the granting of significant discounts on the agreed price linked to an excessive duration of the contract, those from 2008."</w:t>
      </w:r>
    </w:p>
    <w:p>
      <w:r>
        <w:t>4.3.2.- Restriction by effects</w:t>
        <w:br/>
        <w:t>As the CNC Council has pointed out on previous occasions, in the assessment of behaviors under Article 1 LDC and 101 TFEU, proof of actual effects contrary to competition is not required when it has been determined that they are restrictive by their object.</w:t>
      </w:r>
    </w:p>
    <w:p>
      <w:r>
        <w:t>Likewise, the Court of Justice of the European Union has stated that: "it should be recalled that, according to established case law, for the application of Article 101 TFEU (RCL 2009, 2300), paragraph 1, the weighing of the specific effects of an agreement is superfluous when it is found that they have the object of preventing, restricting or distorting competition (see, in this regard, the judgments of July 13, 1966, Consten and Grundig/Commission, 56/64 and 58/64, Rec. p. 429, and of December 8, 2011 [CJEU 2011, 399], KME Germany and others/Commission, C-272/09 P, Rec. p. I-0000, paragraph 65, and KME Germany and others/Commission, [CJEU 2011, 400] C-389/10 P, Rec. p. I-0000, paragraph 75).</w:t>
      </w:r>
    </w:p>
    <w:p>
      <w:r>
        <w:t>In this regard, the Court of Justice has declared that the distinction between "infringements by object" and "infringements by effect" lies in the fact that certain forms of collusion between companies can be considered, by their very nature, harmful to the proper functioning of normal competition (judgments of November 20, 2008, Beef Industry Development Society and Barry Brothers, C-209/07, Rec. p. I-8637, paragraph 17, and of June 4, 2009, T-Mobile Netherlands and others, C-8/08, Rec. p. I-4529, paragraph 29).</w:t>
      </w:r>
    </w:p>
    <w:p>
      <w:r>
        <w:t>Therefore, it should be considered that an agreement that may affect trade between Member States and has an object contrary to competition constitutes, by its very nature and regardless of its specific effects, a significant restriction of the competition game."</w:t>
      </w:r>
    </w:p>
    <w:p>
      <w:r>
        <w:t>And finally, the Supreme Court in its judgment of December 18, 2007, in a similar sense, has stated that: "Regarding the plaintiff's allegations that its behavior had no negative effects on the market since it did not reflect in prices or in market share nor, ultimately, in that the sanctioned companies maintained, improved or increased their market power, it is enough to point out two things. First, that the sanctioning of behaviors included in Article 1 of the Competition Defense Law does not require that such effects have occurred, but only that they may occur, which would already avoid having to examine such arguments."</w:t>
      </w:r>
    </w:p>
    <w:p>
      <w:r>
        <w:t>As this Chamber has already pointed out in this section, considering the behavior as a restriction by object would make it unnecessary, from the point of view of attributing responsibility, to prove the existence of effects caused by the behaviors subject to this case. However, in light of the conditions contained in the contracts subject to this resolution and the situation in the TME market, whose shares are high, as well as the importance of the Premium special SME contracts in the aforementioned markets, this Chamber notes the existence of potential effects with sufficient substance to consider that they, which derive from the already established anti-competitive practices, must also be taken into account to attribute the due responsibility to TME.</w:t>
      </w:r>
    </w:p>
    <w:p>
      <w:r>
        <w:t>The European Commission Guidelines on the application of Article 81.3 of the TFEU (communication of April 27, 2004) establish, in paragraph 24, that when examining the restrictive effects on competition, both actual and potential effects must be taken into account, since, as the Guidelines themselves indicate, it is sufficient for the conduct to have probable anti-competitive effects to consider the existence of an infringement.</w:t>
      </w:r>
    </w:p>
    <w:p>
      <w:r>
        <w:t>In this sense, the recent judgment of the General Court of the European Union (Seventh Chamber) of June 12, 2014 (case T-286/09 Intel Corp. / Commission), has confirmed that an exclusionary conduct carried out by a company with significant market presence is sufficient to consider the existence of substantial potential effects for competition. The aforementioned Judgment states: "the single and continuous infringement, taken as a whole, has affected on average, according to the calculations made by the plaintiff's advisor, about 14% of the global market, assuming that these calculations are not limited exclusively to the part open to competition, which must be considered as a significant part of the market. This circumstance is sufficient to appreciate that the potential effects of the plaintiff's practices were substantial."</w:t>
      </w:r>
    </w:p>
    <w:p>
      <w:r>
        <w:t>In relation to this, it is evident that in the present case we are faced with a restrictive conduct of competition aimed at closing the market carried out by an operator whose market power has been evident in this procedure, considering the high shares that TME holds in the analyzed markets. The concurrence of both aspects, that is, anti-competitive exclusionary practice per se and high market shares, are sufficient elements to consider that the conduct has the potential to create substantive restrictive effects on competition.</w:t>
      </w:r>
    </w:p>
    <w:p>
      <w:r>
        <w:t>It should be noted that TME's presence in the business area of retail mobile communications services, in terms of revenue shares, is over 50% (54.4% in 2011 and 52.0% in 2012) and according to the available information, its presence in the SME segment is even more intense, with shares that in terms of customers can range between 64% (companies with 10 to 19 employees) and 71% (companies with 50 to 199 employees). Therefore, its market power, despite the entity stating otherwise, is undeniable and must be taken into account for the purposes of considering the existence of potential effects.</w:t>
      </w:r>
    </w:p>
    <w:p>
      <w:r>
        <w:t>It is noteworthy that, given TME's significant presence in the SME segment and the relevance of contracts with Premium commitment among its clients in that segment (which as seen affect the [confidential] of TME's revenues from the SME segment), it is clear that the conduct attributed to TME has potential significant effects on the entire SME segment of retail mobile communications services, by artificially and without objective justification increasing barriers to entry and expansion.</w:t>
      </w:r>
    </w:p>
    <w:p>
      <w:r>
        <w:rPr>
          <w:b/>
        </w:rPr>
        <w:t>[Pages 67–69]</w:t>
      </w:r>
    </w:p>
    <w:p>
      <w:r>
        <w:t>This, moreover, becomes more relevant when we consider the very situation of the market in which the conduct analyzed here has occurred. In this regard, the judgment of the CJEU of February 28, 1991 (case C-234/89, Delimitis Henninger Brau) determined that, to assess whether a non-compete clause in a vertical agreement is prohibited by Article 101 of the TFEU, in a market where other competitors contract with their customers under agreements and contracts that include similar non-compete clauses, it is necessary to examine those contracts in the economic and legal context in which they are offered and verify compliance with two requirements: first, that it is difficult for competitors who can access the reference market to establish themselves or increase their market share therein, and second, that the agreement or agreements to be examined contribute significantly to the market closure effect resulting from such agreements, a contribution that will depend inter alia on the position of the parties in the relevant market and the duration of the agreement. The Court points out that the conditions under which competition operates in the reference market must be taken into account. It is necessary, in this respect, to know not only the number and size of the producers present in the market but also the degree of saturation of this market and the loyalty of consumers to existing brands, since, generally, it is more difficult to penetrate a saturated market characterized by consumer loyalty to a small number of large producers than in a market that is expanding where a large number of small producers operate without strong brands.</w:t>
      </w:r>
    </w:p>
    <w:p>
      <w:r>
        <w:t>Well, the analysis of the data in the file shows that the degree of saturation that the mobile phone market in the business segment has experienced in recent years is evident. Thus, from the data that the DC has been able to access, it is concluded that from 2010 to 2013, the number of mobile phone lines in the business segment has hardly experienced any variation, and in the case of data-only lines, the analysis shows a constant decrease in the number of lines. From the above, it is concluded that we are in a segment that has been experiencing evident signs of saturation, and in which only three mobile operators, out of a total of 26 in 2012 (22 MVNOs and 4 MNOs), accumulate almost all the shares, and the party involved has as clients half of the business segment (in terms of revenue). In a market characterized by this stagnation and dominated solely by the three main mobile operators, the combination of the aforementioned characteristics of the Premium Special SME Contracts creates a series of artificial and disproportionate barriers to changing operators, leading to a high percentage of SMEs being excluded from the market during the duration of the permanence commitments, and furthermore, it closes competition in this segment, penalizing SME clients, who see their range of effectively available providers and competition among them artificially limited.</w:t>
      </w:r>
    </w:p>
    <w:p>
      <w:r>
        <w:t>As indicated, the potential restrictive effect of this network of parallel agreements based on the "Premium Special SME Contracts" also arises from the fact that they can substantially increase the customer acquisition costs that TME's competitors must incur, and grant TME a very wide reaction period (of at least one month) to attempt to retain customers who express their intention to terminate their contractual relationship with TME. In this way, TME can maintain the generation of higher revenues with these contracts, while at the same time, TME's competitors must face higher costs to compete for these SME clients. This, coupled with the fact that VODAFONE develops commercial policies similar to those of TME (which would produce even more negative effects for competition through the existence of parallel networks), fosters the exclusion of YOIGO and full MVNOs from the SMEs and self-employed segment in the retail mobile services market, when it is precisely these alternative operators that have introduced the most competition in the residential segment in recent years. It is therefore evident that we are facing conduct whose potential substantial effects are clear.</w:t>
      </w:r>
    </w:p>
    <w:p>
      <w:r>
        <w:t>In this sense, the low penetration of YOIGO and the other MVNOs in the SME and self-employed segment in recent years is significant, whose market shares are nonexistent in a segment whose revenue level should be of interest to all operators with sufficient capacity to enter it. This, moreover, contrasts with the constant increase in market shares that the aforementioned operators have experienced in the residential segment in recent years, which may be indicative, precisely, of the existence of clear barriers to entry into the business market. Likewise, and without prejudice to the above, this Chamber wishes to warn that the market dynamics in the years subject to the infringement, as reflected in the DC's analysis, in which there has been very little variation in TME's market shares in the SME segment, is very likely due to this type of customer retention practices. In this context, the analysis of the data shows minimal variation in the percentages of line shares corresponding to the operators during the years 2010 to 2013 (see Tables 6 and 7 of this resolution), as well as the data regarding the number of line cancellations or customers that the operators have experienced during the aforementioned years (see Table 17 of this resolution).</w:t>
      </w:r>
    </w:p>
    <w:p>
      <w:r>
        <w:t>The cited data reflect that during the years 2010 to 2012, TME's share remained relatively stable in the business segment, while in the residential segment it lost ground to other operators. Likewise, the loss of lines from TME and VODAFONE was concentrated in the residential segment, while in the business segment the number of lines of these operators remained at relatively stable levels. The lower portability of business lines is presumably one of the reasons that explains this evolution.</w:t>
      </w:r>
    </w:p>
    <w:p>
      <w:r>
        <w:t>On the other hand, regarding the cancellations of lines or customers experienced in the SME and self-employed segment by the three operators, the analysis carried out by the DC shows that, in general terms, the existence of permanence commitments in all the demand segments analyzed is associated with a lower percentage of customer or line cancellations. However, this causal relationship between TME's conduct and the actual effects (minimal presence of YOIGO and the other MVNOs, as well as the stagnation of market shares) has not been able to be substantiated by the DC in its proposed Resolution, for reasons not attributable to it.</w:t>
      </w:r>
    </w:p>
    <w:p>
      <w:r>
        <w:t>In this sense, for a better and more complete analysis of the real effects derived from the practices analyzed here, a greater collaborative attitude from the parties involved in the file would have been necessary when providing the required information for the analysis of the effects. However, this has not happened, and consequently, the DC has been limited in its ability to substantiate the consequences that have arisen from the anti-competitive clauses. In the case of TME, even the successive contradictions in the information provided throughout the file have posed a greater degree of difficulty for the proper development of the procedure, although it has been the operator's exclusive decision regarding the data it has provided to the file, leaving entirely in its hands the possibility of rebutting with objective data the facts substantiated by the instructing body, by providing the required information.</w:t>
      </w:r>
    </w:p>
    <w:p>
      <w:r>
        <w:t>In short, taking into account the content of the clauses subject to this file, the significant presence of TME in the SME segment, the situation of the mobile market in the business segment, as well as the relevance of the contracts with Premium permanence commitments among its clients in that segment (which, as seen, affect the [confidential] of TME's revenues from the SME segment), the existence of substantial potential effects in the market is evident.</w:t>
      </w:r>
    </w:p>
    <w:p>
      <w:r>
        <w:t>Finally, regarding ORANGE's allegation, this Chamber wishes to clarify, as the DC already did, that, contrary to what ORANGE claims in its allegations (without providing evidence to verify them), according to the information in the reference file, in the event of an extension of the permanence and subsequent early termination of the contract by the TME customer, the calculation of the...</w:t>
      </w:r>
    </w:p>
    <w:p>
      <w:r>
        <w:rPr>
          <w:b/>
        </w:rPr>
        <w:t>[Pages 70–72]</w:t>
      </w:r>
    </w:p>
    <w:p>
      <w:r>
        <w:t>penalty is based on the discounts that TME would have granted since the last extension (see what TME stated in its allegations, on page 1544).</w:t>
        <w:br/>
        <w:t>4.4.- On the application of the exemptions provided in Articles 1.3 of the LDC and 101.3 TFEU.</w:t>
        <w:br/>
        <w:t>According to TME, the Second Report by Frontier Economics has demonstrated that the analyzed competition restrictions have a clear pro-competitive rationale and generate efficiencies. It has also demonstrated, beyond any doubt and from an economic perspective, that all the competition restrictions included in the Premium Special SME contract are essential to achieve the intended efficiencies and that they not only allow for price reductions for a significant part of the demand but also facilitate a more efficient management for TME.</w:t>
        <w:br/>
        <w:t>Finally, TME indicates that the aforementioned economic report demonstrates that there are no less restrictive alternatives that would allow TME to achieve the same efficiencies. In fact, neither flat-rate pricing nor a two-part tariff system are equally efficient alternatives.</w:t>
        <w:br/>
        <w:t>Response from the Competition Chamber</w:t>
        <w:br/>
        <w:t>Section 3 of Article 1 of the LDC, which has similar wording to Article 101.3 of the TFEU, establishes that the prohibition in section 1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w:t>
        <w:br/>
        <w:t>a) They allow consumers or users to participate equitably in their benefits.</w:t>
        <w:br/>
        <w:t>b) They do not impose on the interested companies restrictions that are not indispensable for achieving those objectives, and</w:t>
        <w:br/>
        <w:t>c) They do not allow the participating companies the possibility of eliminating competition regarding a substantial part of the products or services concerned.</w:t>
        <w:br/>
        <w:t>This Chamber dismisses the allegation because, from the application of the permanence clauses analyzed here, no efficiency or advantage for the market is derived. As noted by the DC, the conditions linked to permanence (calculation of the associated economic support, automatic renewal, minimum notice period to avoid automatic renewal, method of calculating the penalty, reduced transparency with which the associated contract is marketed) are not essential for TME to offer discounts to its clients, among other reasons because:</w:t>
        <w:br/>
        <w:t>a) The trend in the mobile communications services market has been a decrease in prices in a context where permanence obligations have been eliminated or reduced, especially in the residential segment.</w:t>
        <w:br/>
        <w:t>b) The increasing penalty does not take into account the greater compliance by the client with the permanence obligation and does not respond to any economic logic, lacking justification to explain the extreme difference between the penalty to be paid in the month prior to the fulfillment of the contract (maximum penalty) and at the moment of fulfillment (0 euros).</w:t>
        <w:br/>
        <w:t>c) The automatic extension and the one-month notice period significantly limit the windows of opportunity for SME clients to change operators, and practically extend the effective duration of the permanence obligations.</w:t>
        <w:br/>
        <w:t>d) It has been established by regulation that portability requests must be processed within one day, so the one-month notice periods – under conditions of reduced transparency – are not consistent with this obligation of TME, which is also disincentivized by the artificial increase in penalties.</w:t>
        <w:br/>
        <w:t>Additionally, the requirement for minimum monthly consumption or the establishment of flat rates, which are becoming widespread in the retail mobile communications market, serve to ensure a minimum use of TME's network and minimum monthly revenues, having less restrictive effects on competition, as they do not limit the ability of clients to change operators. In this way, TME could achieve the same objectives it pursues with the discount (ensuring a minimum use of its network and guaranteeing minimum revenues), in a way that is less burdensome for competition.</w:t>
        <w:br/>
        <w:t>In this regard, it is difficult for TME to argue that a flat rate is perceived as detrimental to the interests of its clients when it is the commercial policy that has become most widespread in the market.</w:t>
        <w:br/>
        <w:t>4.5.- On TME's market power</w:t>
        <w:br/>
        <w:t>According to TME, although the DC states on various occasions that TME imposes conditions on its clients in the Premium Special SME contracts that they do not desire, and that it can raise prices on its own or raise artificial barriers to the entry of other operators into the market, at no time does it provide evidence to justify the alleged market power of this company.</w:t>
        <w:br/>
        <w:t>TME refers to paragraph 134 of the Vertical Guidelines, which states that "to assess the market power of the supplier, it is important to consider the market position of its competitors. If they are sufficiently numerous and strong, no significant anti-competitive effect can be expected." Consequently, since TME competes with operators such as VODAFONE and ORANGE, any restrictive effect on competition resulting from the investigated clauses would not be significant on competition, as it would still be facing large companies with resources similar to its own, if not greater.</w:t>
        <w:br/>
        <w:t>Response from the Competition Chamber</w:t>
        <w:br/>
        <w:t>This issue was already duly addressed by the DC in the PR, with this Chamber agreeing with the considerations made at that time.</w:t>
        <w:br/>
        <w:t>In the business segment analyzed here, the three major operators with their own networks (TME, VODAFONE, and ORANGE) accounted for a combined market share of 99% (in terms of revenue) in 2012, according to data from the CMT, without any significant competitive pressure from MVNOs being perceived during the period considered in the file. For its part, within the business segment, TME maintains a higher and more stable leadership share (especially in terms of revenue) than it does in the residential segment: 54.4% in 2011 and 52% in 2012.</w:t>
        <w:br/>
        <w:t>Furthermore, according to the CMT report on the competitive situation in the business segment, from October 2011, TME's share is very high in each of the business size brackets. In particular, as already indicated, it is higher among small and medium-sized enterprises (10 to 199 employees), which correspond mostly to the SME client segment (70%), than among microenterprises (fewer than 10 employees), which mostly correspond to the self-employed client segment (50%), or among large companies (200 or more employees), which mostly correspond to the large client segment (69%).</w:t>
        <w:br/>
        <w:t>Consequently, it is evident, particularly considering TME's market share, that the aforementioned entity has held market power over its competitors in the relevant market during the analyzed years.</w:t>
        <w:br/>
        <w:t>4.6.- On the inappropriateness of limiting the file to TME without considering Vodafone or Orange</w:t>
        <w:br/>
        <w:t>According to TME, even assuming that the Premium Special SME contracts significantly contribute to the closure of the retail mobile telecommunications market, it is not possible to analyze TME's contracts now and leave the analysis of those of VODAFONE and ORANGE for later based on what the Council says. The DC must analyze all equivalent agreements that may be contributing to the alleged effect of</w:t>
      </w:r>
    </w:p>
    <w:p>
      <w:r>
        <w:rPr>
          <w:b/>
        </w:rPr>
        <w:t>[Pages 73–75]</w:t>
      </w:r>
    </w:p>
    <w:p>
      <w:r>
        <w:t>la Sala no comparta su criterio sobre la calificación jurídica, solicita que se valore la posibilidad de aplicar el artículo 3 de la LCD, que establece que las conductas desleales que afecten a la competencia deben ser sancionadas, independientemente de su calificación como infracción de la normativa de competencia.</w:t>
      </w:r>
    </w:p>
    <w:p>
      <w:r>
        <w:t>La Sala de Competencia considera que, aunque ORANGE argumenta que la conducta de TME debe ser analizada bajo el artículo 2 de la LDC y 102 del TFUE, la calificación jurídica realizada por la Dirección de Competencia es adecuada. La Sala sostiene que la conducta de TME, tal como se ha analizado, se enmarca dentro de las infracciones del artículo 1 de la LDC, dado que se ha demostrado que su comportamiento tiene un efecto restrictivo sobre la competencia en el mercado.</w:t>
      </w:r>
    </w:p>
    <w:p>
      <w:r>
        <w:t>En cuanto a la solicitud de ORANGE de extender la actividad infractora de TME, la Sala considera que, si bien es cierto que la CNMC tiene la facultad de actuar contra conductas desleales que afecten al interés público, en este caso, la conducta de TME ya ha sido suficientemente analizada y sancionada bajo la normativa de competencia. Por lo tanto, no es necesario considerar la aplicación del artículo 3 de la LCD en este contexto.</w:t>
      </w:r>
    </w:p>
    <w:p>
      <w:r>
        <w:t>Finalmente, la Sala concluye que la calificación jurídica realizada por la Dirección de Competencia es correcta y que no hay fundamento suficiente para modificarla en función de los argumentos presentados por ORANGE.</w:t>
      </w:r>
    </w:p>
    <w:p>
      <w:r>
        <w:rPr>
          <w:b/>
        </w:rPr>
        <w:t>[Pages 76–78]</w:t>
      </w:r>
    </w:p>
    <w:p>
      <w:r>
        <w:t xml:space="preserve">prohibited conduct, acts of unfair competition that distort free competition and affect the public interest. Specifically, the entity ORANGE invokes the violation of Article 16.1 of Law 3/1991, of January 10, on Unfair Competition (LCD) and subsidiarily, in the event that this cannot be applied, invokes the general clause of unfairness set forth in Article 4.1 of the LDC.  </w:t>
        <w:br/>
        <w:t xml:space="preserve">Response from the Competition Chamber  </w:t>
        <w:br/>
        <w:t xml:space="preserve">It is a jurisprudential criterion to consider that in the context of sanctioning procedures, it is not possible to provide general rules regarding standing, but rather to examine each case. Thus, while there is no standing to abstractly claim the imposition of a sanction and, therefore, to initiate a sanctioning file, it cannot be excluded that in certain matters the applicant may benefit in their rights or interests as a result of the opening of a sanctioning file (recognition of damages, right to compensation), which would grant them standing to request a specific inspection or sanctioning action (in this sense, Judgment of December 14, 2005).  </w:t>
        <w:br/>
        <w:t xml:space="preserve">It is also an accepted criterion by jurisprudence (among others, Judgment of the Supreme Court, Administrative Litigation Chamber, Section 6, of July 15, 2002) that the allegation and proof of that interest, "when questioned, is a burden that falls on the party claiming it" (SSTS February 12, 1996, July 2, 1999, and November 21, 2005).  </w:t>
        <w:br/>
        <w:t xml:space="preserve">Taking the above into account, ORANGE's request to modify the legal qualification derived from the instruction of the file may result in an action that exceeds the rights that ORANGE holds regarding the procedure subject to this resolution, considering, moreover, that the entity does not expressly and in detail substantiate the benefit that the economic sanction against TME may bring to it.  </w:t>
        <w:br/>
        <w:t xml:space="preserve">In this regard, according to jurisprudence, the imposition of the sanction does not in itself constitute the satisfaction of an interest. The existence of a mere interest in legality is the criterion repeatedly applied by jurisprudence to deny the standing of the complainant in administrative sanctioning processes. According to the Judgment of the Supreme Court of November 26, 2002: "the complainant is neither the holder of a subjective right to obtain a sanction against the accused, nor can a legitimate interest in the success of their complaint be recognized, rights and interests that are the prerequisites that configure standing, according to Article 24, 1 of the Constitution (RCL 1978, 2836) and Article 31 of Law 30/92 (RCL 1992, 2512, 2775 and RCL 1993, 246), without the arguments referring to correcting irregularities, or preventing them in the future, or the moral satisfaction that the sanction would entail, or the investigation of the facts, being valid as supporters of that interest for the complainant, (...)".  </w:t>
        <w:br/>
        <w:t xml:space="preserve">To the above, we must add two considerations. Regarding the request to qualify the conduct as an abuse of dominant position, like the DC, this Chamber has not deemed it necessary to define a market formed by the provision of mobile communication services aimed at the business segment for the consideration of the conduct as prohibited action under the LDC, so ORANGE's allegation regarding the existence of a dominant position of TME in that market is not necessary to classify the illicit as an infringement of Article 1 LDC and 101 TFEU. This, on the other hand, is more appropriate considering the oligopolistic economic structure of the national mobile communications market with few operators who cannot act completely independently. Nevertheless, the factors pointed out by ORANGE regarding TME's position in the business segment (size and stability of its market share) have been taken into account in the file when assessing the effect that the investigated clauses have had on it.  </w:t>
        <w:br/>
        <w:t xml:space="preserve">On the other hand, regarding Article 3 of the LCD, in addition to having requested the new qualification after the conclusion of the instruction, which already grants it the consideration of a late request due to the consequences that would arise for the present file to analyze a new legal qualification, there is no observed violation of the provisions of the LCD referred to. Regarding Article 4.1 of the LCD, ORANGE does not adequately invoke the unfair acts that it considers TME has carried out, so according to judicial criteria, the request could not prosper.  </w:t>
        <w:br/>
        <w:t xml:space="preserve">For its part, regarding Article 16.1 of the LCD, it refers to acts of unfairness towards consumers in terms of prices and other sales conditions, so, having noted in this resolution that the companies to which the contracts subject to this file are directed do not have the status of consumers, one of the subjective elements required by the article would not be fulfilled. This criterion is also shared by the courts of our country.  </w:t>
        <w:br/>
        <w:t xml:space="preserve">FIFTH.- Response to other issues requested in the resolution phase  </w:t>
        <w:br/>
        <w:t xml:space="preserve">TME and ORANGE have requested several issues in the resolution phase that, for reasons of opportunity, it is advisable to resolve in this resolution.  </w:t>
        <w:br/>
        <w:t xml:space="preserve">5.1.- TME's request for access to part of the documentation contained in the file  </w:t>
        <w:br/>
        <w:t xml:space="preserve">On October 10, 2014, the entity TME submitted a request for access to the file subject to this Resolution. Specifically, the entity requests that it be allowed access to the conclusions of the European Commission regarding the File, in order to exercise, as it states, its right of defense in the present procedure.  </w:t>
        <w:br/>
        <w:t xml:space="preserve">This Chamber cannot grant the aforementioned request as the second paragraph of Article 42 of the LDC clearly states that communications received from the European Commission in response to the submission of information in accordance with Article 11.4 of Regulation 1/2003 form a separate confidential piece, to which the parties cannot have access.  </w:t>
        <w:br/>
        <w:t xml:space="preserve">"In any case, a separate confidential piece will be formed with the information sent by the European Commission in response to the submission of the draft resolution of the National Competition Commission provided for in Article 11.4 of Regulation 1/2003."  </w:t>
        <w:br/>
        <w:t>This criterion has been ratified by the National Court in its judgment of March 8, 2013 (appeal 540/2010) which dismissed as a reason for annulment the infringement of Article 11.4 of Community Regulation 1/2003 for not being recorded in the file the submission for information by the CNC to the Commission, considering that "There has been no violation of Article 11.4 of Community Regulation 1/2003 since there is indeed in the administrative file but in its confidential part the submission for information by the CNC to the Commission," and previously in its judgment of December 17, 2012 (appeal 6/2012, in the special procedure for the protection of fundamental rights) which expressly dismissed the existence of defenselessness due to lack of access to the file and, specifically, to the exchange of documentation between the Spanish authority and the European Commission in application of Article 11.4 of Regulation 1/2003. As the National Court indicates, the transfer of such documentation "is not pertinent for the defense of the parties since according to Article 11.4 of Regulation 1/2003 the purpose of that report is to ensure the effective, coherent, and uniform application of competition rules and for that purpose, before the competition authorities of the Member States adopt a decision ordering the cessation of an infringement, a summary exposition of the matter and the text of the decision to be adopted is sent to the Commission. Therefore, it is an internal document that, due to its purpose, is not accessible to the parties, without prejudice to the fact that this Chamber, when knowing the ordinary appeal filed, accesses its content in order to assess the expert opinion of the European Commission on the application of competition regulations."</w:t>
      </w:r>
    </w:p>
    <w:p>
      <w:r>
        <w:rPr>
          <w:b/>
        </w:rPr>
        <w:t>[Pages 79–81]</w:t>
      </w:r>
    </w:p>
    <w:p>
      <w:r>
        <w:t>These arguments are consistent with the European rules that regulate access to files in competition defense procedures. Thus, on one hand, Article 27.2 of Regulation 1/2003 (EC) No. 1/2003 of the Council, of December 16, 2002, concerning the application of the competition rules provided for in Articles 81 and 82 of the Treaty states as an exception to the right of access to the file in the procedures of the European Commission that "(...) the right of access to the file does not extend to exchanges of correspondence between the Commission and the competition authorities of the Member States or between the latter, including documents prepared under Articles 11 and 14 (...)." Similarly, the Commission's Communication regarding the rules for access to the Commission's file in cases of application of Articles 81 and 82 of the EC Treaty [currently Articles 101 and 102 of the TFEU], and Articles 53, 54, and 57 of the EEA Agreement, states that it is considered non-accessible documentation for interested parties, among others, internal documents, which include correspondence with other public authorities. In light of all the above, and considering that the requested document is an exchange of correspondence between the competition authorities in accordance with Article 11.4 of Regulation 1/2003, regarding which the LDC provides for the formation of a special confidentiality piece, it is not appropriate to grant access to it to the entity TME. In any case, the denial of access sought by TME does not place the operator in a situation of defenselessness, as TME has been aware of the facts under investigation and has had access to the file during the processing of the procedure, including the documentation related to the evidence obtained by the DC throughout the instruction that has served as the basis for determining the responsibilities for the behaviors analyzed in the present procedure, and moreover, has been able to present the allegations it deemed appropriate to rebut the considerations of the DC, so the allegations of defenselessness due to denial of access to part of the file cannot be upheld. In this regard, the purported correspondence with the European Commission that may be contained in the file does not constitute relevant documentation for the resolution of the present file, as it neither constitutes incriminating evidence nor an exculpatory document that could affect TME. 5.2.- Request for confidentiality of part of the information contained in the submissions to the PR. TME has requested that certain information contained in its submissions to the PR be declared confidential, in application of Article 42 of the LDC. Specifically, it refers to the following information: a) Percentage of lines and revenues of TME associated with the investigated clauses (Page 2,688). b) Percentage of customers lost by TME in one year (Page 2,690). c) Percentage of customers with a Special Premium Contract for SMEs with a duration of 12 months (Page 2,696). d) Percentages of Special Premium Contracts for SMEs concerning the retail mobile telephony market and the SMEs and self-employed segment in number of lines (Page 2,706). e) Percentages of Special Premium Contracts for SMEs with a duration of 12 months and more than 12 months (Page 2,706). f) Percentage of customers and lines lost by TME (Page 2,707). g) Duration of the majority of Special Premium Contracts for SMEs (Pages 2,707 and 2,710). h) Percentage of market share linked by the permanence obligations of TME's Special Premium Contracts for SMEs (Pages 2,710). i) Percentages of customers satisfied with TME's commercial attention and with having a single provider that unifies their communication needs (Page 2,710). j) Percentage of customers who indicate that the reason for not contracting with an MVNO is the permanence contract (Page 2,710). k) Reference to the New model of Special Premium Contract for SMEs (Page 2,713). l) Annex 2, New model of Special Premium Contract for SMEs (Page 2,690). m) Annex 3, Results of a survey of 205 customers with a Special Premium Contract for SMEs (Page 2,690). n) Total consolidated turnover before the application of VAT and other related taxes, of Telefónica Móviles de España, S.A.U. and its subsidiaries in the year 2013 (Page 2,718). o) Turnover of TME before the application of VAT and other related taxes, associated with the "Special Premium Contracts for SMEs," for each of the years of the period 2006 to 2013, inclusive (Page 2,718). p) Confidential information contained in the "Report Comments on the CNMC's Proposal for Resolution on the 'Special Premium Contracts for SMEs' attached to the submission (Pages 2,721 to 2,774). After analyzing the aforementioned information, it is decided to declare it confidential, except for the information referred to in letters i), j), k), l), m), and n) as it does not consist of information that should be protected by TME's commercial and industrial secrecy and, where applicable, confidentiality has been lifted during the processing of the procedure (see, Resolution R/0134/13, T.M.E. PERMANENCE CONTRACTS). SIXTH.- Assessment of the Competition Chamber of the Council. The behaviors analyzed in the present file take place in the electronic communications sector, a fundamental input—as indicated—for the rest of the economic activity and, in particular, in the retail mobile communications services that have been subject to significant technological changes that have occurred rapidly over time determining their development and dynamism and, in general, that of the entire sector. Maintaining competitive conditions and the contestability of a constantly evolving market is essential for the benefits of the efficiencies that these innovations entail to reach businesses and consumers. On the other hand, given the oligopolistic structure that the communications sector generally presents and, in particular, the market for mobile communications services in Spain, it is evident that the actions of the different operators interacting in the market are conditioned by those of others. In these market structures, maintaining and defending the market shares of the participating operators can lead to the development of individual strategic behaviors aimed at creating artificial barriers against current and potential competitors that, especially in evolving market contexts, prevent customers from benefiting from the efficiencies they entail. When such behaviors affect the public interest, the absence of specific regulatory norms contrary to the...</w:t>
      </w:r>
    </w:p>
    <w:p>
      <w:r>
        <w:rPr>
          <w:b/>
        </w:rPr>
        <w:t>[Pages 82–84]</w:t>
      </w:r>
    </w:p>
    <w:p>
      <w:r>
        <w:t xml:space="preserve">the development of such behaviors does not prevent, in any case, the application of competition law. </w:t>
        <w:br/>
        <w:t xml:space="preserve">It should also be noted that automatic renewal clauses in contracts for the provision of services to consumers of fixed telephony have been assessed by foreign authorities (OFCOM in 2011) as causing negative direct and indirect effects on switching costs and competition among telecommunications service providers, which led to the prohibition of such automatic renewal clauses in contracts for fixed telephony services with consumers and with companies of fewer than 10 employees. </w:t>
        <w:br/>
        <w:t xml:space="preserve">Thus, in accordance with what is stated in this resolution, this Chamber considers that it has been established that TME has been committing since 2006 a single and continuous infringement, prohibited in Article 1 of the LDC and 101 of the TFEU, arising from the establishment of a network of parallel agreements with its business clients through the design and implementation of retail mobile communications service contracts called "Premium special SME Contracts." </w:t>
        <w:br/>
        <w:t xml:space="preserve">The "Premium special SME Contracts" agreements of TME with its business clients are subject to Article 1 LDC and 101 TFEU, insofar as, according to Regulation (EU) No. 330/2010, they are vertical agreements between non-competing economic operators that govern the conditions under which TME's business clients acquire retail mobile communications services. This is so because the mobile services of TME contracted by its SME and self-employed clients are a necessary input for these clients to develop their business activity, a consideration that fully aligns with European rules on vertical agreements and is consistent with the considerations previously made by the regulatory authority of telecommunications markets in Spain. </w:t>
        <w:br/>
        <w:t xml:space="preserve">The particularities that this Chamber has taken into account to reach the conclusion that the aforementioned vertical restrictions are so by their object and, therefore, pursue a restriction from the very moment they were configured, refer, first, to the method of calculating penalties, whose increasing nature imposes a burden on the subscriber as it reduces their possibilities of changing operators and, therefore, is an exclusionary conduct of competition and also increases the cost for competitors to attract new subscribers. Secondly, the automatic renewal of the permanence commitments and the existence of a minimum notice period to avoid it also represent additional barriers, which force TME's SME client to adequate planning if they want to change providers while avoiding penalty clauses. Therefore, they increase the cost for the SME client of changing providers and also the switching cost for competitors to attract TME's SME clients. Thirdly, the system does not take into account that partial compliance with the permanence commitment by the SME client also entails, at least partially, a recovery of any eventual economic effort that TME may have incurred to support its SME clients. In the last months of the contract, if the SME terminates it, TME will recover the total benefits granted in addition to what has already been recovered during the months that the permanence lasted. And fourth and finally, the reduced transparency associated with the underlying conditions of these contracts may also pose a barrier to access and expansion for competitors as it increases, for clients, the cost of obtaining information about the operation of the contract. </w:t>
        <w:br/>
        <w:t xml:space="preserve">As argued, TME has not been able to refute the previous considerations nor offer a credible alternative to them that would allow this Chamber to appreciate possible advantages and efficiencies of such contracts and their transfer to companies, or confirm that such measures were essential for the intended objectives. On the contrary, this Chamber considers that such conditions are not essential for TME to offer discounts to its clients in a less burdensome manner for competition. </w:t>
        <w:br/>
        <w:t xml:space="preserve">While it is true that, consequently, the infringement has constituted a restriction of competition by its object and this would have been sufficient to appreciate the administrative illicit act and determine the corresponding liability, it is also evident that there are substantial potential effects in the market. In this sense, the content of the contracts, TME's market position, and the importance of these contracts in the SME market imply that TME's conduct has a potential anti-competitive effect in the market. </w:t>
        <w:br/>
        <w:t xml:space="preserve">In this regard, it is noteworthy that, given TME's significant presence in the SME segment and the relevance of contracts with Premium permanence commitments among its clients in that segment (which, as seen, affect the [confidential] of TME's revenues from the SME segment), it is clear that the conduct attributed to TME has potential significant effects on the entire SME segment of retail mobile communications services, by artificially and without objective justification increasing barriers to entry and expansion. </w:t>
        <w:br/>
        <w:t xml:space="preserve">This becomes even more relevant when we consider the very market situation in which the conduct analyzed here has occurred. </w:t>
        <w:br/>
        <w:t xml:space="preserve">The analysis of the data in the file shows that the degree of saturation that the mobile phone market in the business segment has experienced in recent years is evident. Thus, from the data that the DC has been able to access, it is concluded that from 2010 to 2013, the number of mobile phone lines in the business segment has hardly experienced any variation, and in the case of exclusive data lines, the analysis shows a constant decrease in the number of lines. </w:t>
        <w:br/>
        <w:t xml:space="preserve">From the above, it is concluded that we are in a segment that has been experiencing evident signs of saturation, and in which only three mobile operators, out of a total of 26 in 2012 (22 MVNOs and 4 MNOs) in the entire market, accumulate almost all the shares of the business segment, with TME also holding the number of clients that represents half of the segment (in terms of revenue). </w:t>
        <w:br/>
        <w:t xml:space="preserve">With all this, it is evident that, in a market characterized by this stagnation situation and occupied only by the three main mobile operators, the inclusion of clauses such as those investigated here further complicates the entry of new competitors into the SME market. </w:t>
        <w:br/>
        <w:t xml:space="preserve">It is significant that, given the greater relative importance in terms of revenue of the business segment, the evolution of the shares of the main operators has been much more stable than in other segments, both in general terms and in terms of shares of the main operators. Thus, the presence of operators other than TME, VODAFONE, and ORANGE in this segment is much lower than their participation in retail mobile telecommunications services, with these other operators (MVNOs) having introduced greater dynamism in other segments of the market. </w:t>
        <w:br/>
        <w:t xml:space="preserve">From all the above, it is concluded that the established conduct constitutes a single and continuous infringement contrary to competition law, of a serious nature, in accordance with Article 62.3.a) of the LDC, which states that the development of collusive behaviors in the terms provided in Article 1 of the Law has such consideration when they consist of agreements, decisions, or collective recommendations, concerted practices or consciously parallel practices among companies that are not competitors with each other, real or potential. </w:t>
        <w:br/>
        <w:t xml:space="preserve">SEVENTH.- Determination of the sanction </w:t>
        <w:br/>
        <w:t xml:space="preserve">7.1.- Liability of TME </w:t>
        <w:br/>
        <w:t xml:space="preserve">It is an established jurisprudential criterion that the consideration of fault is structurally part of administrative sanctioning law, so in this area, objective liability is prohibited. Therefore, objective liability cannot be required merely for the fact of an unlawful act, but it is necessary to have at least one principle of fault (STC 246/1991; STS 26/03/86 among others). </w:t>
        <w:br/>
        <w:t>Article 130 of Law 30/1992, of November 26, on the Legal Regime of Public Administrations and the Common Administrative Procedure states that...</w:t>
      </w:r>
    </w:p>
    <w:p>
      <w:r>
        <w:rPr>
          <w:b/>
        </w:rPr>
        <w:t>[Pages 85–87]</w:t>
      </w:r>
    </w:p>
    <w:p>
      <w:r>
        <w:t>"Only individuals and legal entities that are responsible for acts constituting an administrative infringement may be sanctioned, even if only for simple non-compliance." According to the above, the administrative reproach is not limited to cases where there is intent, but is extendable to those cases where the agent of the infringement acts with "simple negligence." It is understood that the subject is culpable if the infringement is a consequence of an action or omission attributable to its author due to malice or imprudence, negligence, or excusable ignorance (among others, this is stated in the Judgment of the Supreme Court Chamber of November 6, 1990, and the Judgment of the Administrative Litigation Chamber of the Supreme Court of July 9, 1994).</w:t>
      </w:r>
    </w:p>
    <w:p>
      <w:r>
        <w:t>In the case, moreover, of restrictive conduct by its object, what is relevant for the concurrence of the subjective element of these infringements is the capacity or suitability of the conduct to produce anti-competitive effects, without the need to prove the existence of a manifest intention on the part of the infringers to cause harm to the legal interest protected by the regulation.</w:t>
      </w:r>
    </w:p>
    <w:p>
      <w:r>
        <w:t>In this regard, the culpability of TME in the commission of the infringement here sanctioned is, in the opinion of this Chamber, unquestionable in light of the established facts and the evidence and other elements of judgment contained in the resolved file.</w:t>
      </w:r>
    </w:p>
    <w:p>
      <w:r>
        <w:t>As has been pointed out throughout this resolution, the anti-competitive conditions contained in the "Premium Contracts special SME" have been, since their configuration, aimed at provoking a restriction of competition, as the model implemented by TME is based, mainly, on the imposition of increasing penalties, indefinite extensions, and short notice periods, added to the lack of transparency, cannot pursue any other objective than the retention of subscribers through techniques that do not conform to those of a fair competitor.</w:t>
      </w:r>
    </w:p>
    <w:p>
      <w:r>
        <w:t>This Chamber considers that TME must have been fully aware that the conditions contained in the contracts subject to this procedure would produce or, at least could produce, a restriction in the market, even if only potentially, as this type of customer retention practice has never been a peaceful issue in the sector, and evidence of this are the continuous complaints filed with other State Bodies in recent years.</w:t>
      </w:r>
    </w:p>
    <w:p>
      <w:r>
        <w:t>Thus, it is necessary to recall that previously the then regulatory authority for telecommunications in Spain, whose resolutions TME must have been fully aware of, has highlighted the anti-competitiveness of such clauses when the minimum duration period or the amount of penalties are excessive, as this increases the switching costs for customers, leading to exclusionary effects.</w:t>
      </w:r>
    </w:p>
    <w:p>
      <w:r>
        <w:t>But even if there had not been that volitional element in TME's conduct, the entity, within its business freedom and its free configuration of telecommunications services, must always observe with sufficient diligence, especially given the magnitude and means available to the operator, these types of circumstances so that its actions are not contrary to the proper functioning of the market, and this diligent attitude is more exigible in certain strategic sectors, such as telecommunications.</w:t>
      </w:r>
    </w:p>
    <w:p>
      <w:r>
        <w:t>In this sense, as jurisprudence has pointed out, the analysis of the concurrence of fault or negligence must take into account the social sector on which the actions and omissions that are proven are projected, which, in this case, refers to electronic communications and this also requires behavior with a higher degree of responsibility and diligence. This is established by a consolidated jurisprudential criterion reflected, among many others, in the Judgment of the Civil Chamber of the Supreme Court of January 25, 1985.</w:t>
      </w:r>
    </w:p>
    <w:p>
      <w:r>
        <w:t>“(...) as the jurisprudence of this Chamber has repeatedly sanctioned in its judgments, among others, of June 15, 1967 (RJ 1967\3487) and March 5, 1982 (RJ 1982\1286) and as this latter states, ‘to qualify a conduct as culpable, it must not only be attended to the diligence required according to the circumstances of persons, time, and place, but also to the sector of traffic or social life in which the conduct is projected, and determine whether the agent acted with the care, attention, or perseverance required and with the necessary reflection to avoid harm to legally protected third-party goods, considering not only the individual aspect of human conduct but also its social sense, determined by the function of this conduct in communal life’.”</w:t>
      </w:r>
    </w:p>
    <w:p>
      <w:r>
        <w:t>In light of the above, this Chamber considers that all elements are present to conclude that TME's infringing conduct is fully culpable, and therefore, it is directly responsible for the serious infringement provided for in Article 62.3.a) of the LDC.</w:t>
      </w:r>
    </w:p>
    <w:p>
      <w:r>
        <w:t>7.2.- Criteria for determining the fine.</w:t>
      </w:r>
    </w:p>
    <w:p>
      <w:r>
        <w:t>As previously expressed, this Competition Chamber considers that the existence of a single and continuous infringement, prohibited in Article 1 of the LDC and 101 of the TFEU, has been proven, developed since 2006 through the establishment by TME of a network of parallel agreements with its business clients through the design and implementation of retail mobile communications service contracts called "Premium Contracts special SME."</w:t>
      </w:r>
    </w:p>
    <w:p>
      <w:r>
        <w:t>According to Article 62.3 a) of the LDC, the proven conduct constitutes a serious infringement, as the network of agreements mentioned is developed between companies that are not competitors of each other.</w:t>
      </w:r>
    </w:p>
    <w:p>
      <w:r>
        <w:t>Article 63.1.b) of the LDC states that serious infringements may be punished with a fine of up to 5 percent of the total turnover of the infringing company in the financial year immediately preceding the imposition of the fine.</w:t>
      </w:r>
    </w:p>
    <w:p>
      <w:r>
        <w:t>The Communication on the setting of sanctions derived from infringements of Articles 1, 2, and 3 of Law 15/2007, of July 3, on the Defense of Competition and Articles 101 and 102 of the TFEU, adopted by the CNC in 2009, aims to establish guidelines that, in general, guide the application of the criteria for determining the amount of sanctions provided for in Article 64 of the LDC. These guidelines for specifying the application of the criteria of Article 64 of the LDC have been used for determining the sanction in this Resolution.</w:t>
      </w:r>
    </w:p>
    <w:p>
      <w:r>
        <w:t>The LDC, therefore, first sets a legal maximum for the sanction (art. 63 LDC), whose purpose is to limit the maximum fine based on the infringer's ability to pay to avoid that the payment of the fine leads to the disappearance of the company - hence Article 63 LDC refers to the total turnover figure of the period closest to the sanctioning resolution, regardless of the affected market and when the infringement occurred - and then establishes criteria for the graduation of the sanction along with aggravating and mitigating circumstances (art. 64 LDC).</w:t>
      </w:r>
    </w:p>
    <w:p>
      <w:r>
        <w:t>That being said, without prejudice to compliance with said legal maximum (5% of total turnover of the previous financial year), the process of determining the fine follows what is provided in the aforementioned Communication, which serves as a parameter for specifying Article 64 of the LDC and provides objectivity and transparency to the methodology followed for setting sanctions, in line with the application of European Union competition regulations.</w:t>
      </w:r>
    </w:p>
    <w:p>
      <w:r>
        <w:t>Given the serious nature of the conduct, the limit under Article 63 of the LDC is 5% of the total revenue of the operator in 2013, which according to TME corresponds to €5,121,447,000 (folio 2553). According to this amount, the maximum fine to be imposed would be €256,072,350.</w:t>
      </w:r>
    </w:p>
    <w:p>
      <w:r>
        <w:t>Article 64 of the LDC states that the amount of the sanctions will be set taking into account, among others, the following criteria: a) The size and characteristics of the market affected by the infringement; b) The market share of the responsible company or companies; c) The scope of the infringement; d) The duration of the infringement; e) The effect of the infringement on the rights and legitimate interests of consumers and users or on other economic operators; f) The illicit benefits obtained as a result of the infringement; g) The aggravating and mitigating circumstances that occur in relation to each of the responsible companies.</w:t>
      </w:r>
    </w:p>
    <w:p>
      <w:r>
        <w:rPr>
          <w:b/>
        </w:rPr>
        <w:t>[Pages 88–90]</w:t>
      </w:r>
    </w:p>
    <w:p>
      <w:r>
        <w:t>Furthermore, due to their temporal proximity and closeness to the sector or the sanctioned practice, the following resolutions and decisions, at both national and community levels, could also be taken into consideration for determining the amount of the fine, without losing sight of the differences in terms of the type and severity of the behaviors regarding which this file is concerned:</w:t>
        <w:br/>
        <w:t>- The Decision of the European Commission of January 23, 2013, regarding the procedure under Article 101 TFEU (case COMP/38.839 – Telefónica / Portugal Telecom) in which an infringement of Article 101 TFEU was sanctioned, consisting of a non-compete agreement, included as clause 9 of the share purchase agreement entered into on July 28, 2010, whose duration extended for approximately four months (from September 27, 2010, to February 4, 2011), with no recorded effects. The Decision imposed the following fines on the companies involved: €66,894,000 on Telefónica, and €12,290,000 on Portugal Telecom.</w:t>
        <w:br/>
        <w:t>- The Resolution of the CNC of December 19, 2012 (Exp. S/0248/10 SHORT MESSAGES), in which TME was fined €46,490,000 for an infringement of Articles 2 of the LDC and 102 TFEU, consisting of an abuse of dominant position in its wholesale market for the termination of short messages, SMS, and MMS, developed since 2006. In this same resolution, VODAFONE and ORANGE were sanctioned for similar conduct with fines of €43,525,000 and €29,950,000, respectively.</w:t>
        <w:br/>
        <w:t>- The Resolution of the CNC of May 19, 2009 (Exp. 646/08, Axion/Abertis) by which Abertis Telecom SAU was fined €22,658,863 for two infringements of abuse of dominant position, prohibited in Articles 6 of Law 16/1989 and 82 of the TFEU, consisting of demanding, without objective justification, substantial penalties from its clients in the event of early termination of contracts signed in 2006 and establishing an excessive duration for certain contracts to prevent potential commercial action from new competitors and their entry into the market; and offering, within the framework of the negotiation of contracts signed in 2006, without objective justification, discounts for the joint contracting of broadcasting in all territories or regional plates into which it could be subdivided, with the effect of preventing the entry of new competitors in some of them.</w:t>
        <w:br/>
        <w:t>This last resolution has been confirmed by the National Court, in its judgment of February 15, 2012 (appeal 333/2009).</w:t>
      </w:r>
    </w:p>
    <w:p>
      <w:r>
        <w:t>The cited decisions and resolutions do not reflect identical cases to the one analyzed here: the first mentioned constitutes a horizontal agreement, albeit of short duration and unproven effects; the second refers to a conduct of abuse of dominant position, although there is an identity of sector and subject; the third also constitutes an abuse of dominant position, although it sanctions a practice with similar effects. Therefore, such decisions and resolutions serve as valid comparison parameters as they contain elements that bear significant analogy with the case analyzed here.</w:t>
        <w:br/>
        <w:t>7.3. Determination of the fine</w:t>
        <w:br/>
        <w:t>For the determination of the fine, according to the provisions of Article 64.a) of the LDC, it is pertinent to start from the amount of the turnover obtained by TME in the market affected by the conduct during the period of its duration.</w:t>
        <w:br/>
        <w:t>According to the information provided by TME at the request of this Commission (folios 2553-2554), the company's turnover, before the application of VAT and other related taxes, in the period from 2007 to 2013, associated with the "Special Premium SME Contracts" ranges between €500 million and €750 million per year. It should be noted that the market thus defined is the narrowest possible as it exclusively incorporates the revenues obtained by TME by virtue of the contracts that include the loyalty clauses under investigation in this file.</w:t>
        <w:br/>
        <w:t>Given that the infringement has a duration of more than one year, it is necessary to apply the reduction coefficient based on duration as provided in paragraph 15 of the Communication. In this case, a weighting factor equivalent to 1 is applied to the last twelve months in which the infringement is known to have occurred. The volumes corresponding to the successive periods of 12 months prior to the first will receive a decreasing weighting (0.75 for the 2nd period, 0.50 for the 3rd, and 0.25 for the 4th), which implies that only a decreasing proportion of the turnover of the affected market is taken into account as the infringement becomes older.</w:t>
        <w:br/>
        <w:t>The sum of the turnover in the affected market during the different periods in which the infringement occurred (weighted, as mentioned, in a decreasing manner according to the age of the periods) yields a result of €1,719 million. This amount serves as the basis on which to apply the percentage (%) of the fine.</w:t>
        <w:br/>
        <w:t>For the determination of the percentage (%) to be applied, it should be noted that, both due to the severity of the conduct and the way in which the sum of the revenues in the affected market can serve to quantify in this case the negative effect of the conduct or the illegality of the benefit obtained from it, the criteria usually applied by this Commission in cartels or other typical infringements of Article 1 (horizontal restrictions) or abuses prohibited by Article 2 of the LDC cannot be mimetically transferred to the case analyzed here. Thus, on one hand, the conduct, of a vertical nature, is classified by Article 62 as serious, and not very serious. And, on the other hand, the sum of the revenues derived from the "Special Premium SME Contracts" during the years 2007 to 2013 reflects the turnover affected by the infringement but, however, the amount of the illicit revenues obtained by the infringing company on that turnover is not equivalent to that obtained or calculated usually in cartels or other horizontal restrictions, among other reasons, fundamentally because not all customers consider changing operators in each period. Given this, this Chamber has considered it appropriate to the principle of proportionality, both to the economic capacity of the infringing subject and to the negative effect of the conduct and the circumstances of the case, to set the applicable percentage at 1.5%.</w:t>
        <w:br/>
        <w:t>Thus, the fine is determined at 1.5% of €1,718,956,116, that is, €25,784,341, which is within the legally established limit, as previously indicated (€256,072,350).</w:t>
        <w:br/>
        <w:t>In virtue of all the above, the Competition Chamber of the National Commission of Markets and Competition,</w:t>
        <w:br/>
        <w:t>HAS RESOLVED</w:t>
        <w:br/>
        <w:t>FIRST.- To declare that in this file an infringement of Article 1 of Law 16/1989, of Article 1 of Law 15/2007, of July 3, on the Defense of Competition, and of Article 1 of the TFEU has been proven, in the terms set out in the Sixth Legal Basis of this Resolution.</w:t>
        <w:br/>
        <w:t>SECOND.- To declare TELEFONICA MÓVILES DE ESPAÑA, S.A.U. responsible for the aforementioned infringement.</w:t>
        <w:br/>
        <w:t>THIRD.- To impose on TELEFONICA MÓVILES DE ESPAÑA, S.A.U., as responsible for the infringing conduct, a fine of €25,784,341.</w:t>
        <w:br/>
        <w:t>FOURTH.- To order TELEFONICA MÓVILES DE ESPAÑA, S.A.U. to refrain in the future from carrying out the sanctioned practices and any other practices of equivalent effect.</w:t>
      </w:r>
    </w:p>
    <w:p>
      <w:r>
        <w:rPr>
          <w:b/>
        </w:rPr>
        <w:t>[Pages 91–93]</w:t>
      </w:r>
    </w:p>
    <w:p>
      <w:r>
        <w:t xml:space="preserve">FIFTH.- Urge the Competition Directorate of this National Commission of Markets and Competition to monitor and ensure the full compliance with this Resolution.  </w:t>
        <w:br/>
        <w:t xml:space="preserve">SIXTH.- Urge the Competition Directorate of this National Commission of Markets and Competition to investigate the practices of other operators, as indicated in the Legal Basis Fourth (section 4.6).  </w:t>
        <w:br/>
        <w:t xml:space="preserve">SEVENTH.- Resolve on the confidentiality regarding the documentation provided by the companies in accordance with what is stated in the Legal Basis Fifth (section 5.2).  </w:t>
        <w:br/>
        <w:t>Communicate this Resolution to the Competition Directorate of the National Commission of Markets and Competition and notify the interested parties, informing them that no administrative appeal can be filed against it, being able to file a contentious-administrative appeal before the National Court, within two months from the day following its notification.</w:t>
      </w:r>
    </w:p>
    <w:p>
      <w:r>
        <w:t xml:space="preserve">PARTICULAR DISSENTING VOTE formulated by Counselor Mr. Fernando Torremocha y García-Sáenz to the Resolution approved today, October 29, 2014, by simple majority, by this COMPETITION CHAMBER of the National Commission of Markets and Competition, within the framework of the Sanctioning File S/0422/12 Contracts of Permanence.  </w:t>
        <w:br/>
        <w:t xml:space="preserve">DISSENT which I develop in the following REASONS  </w:t>
        <w:br/>
        <w:t xml:space="preserve">I.-  </w:t>
        <w:br/>
        <w:t xml:space="preserve">PRELIMINARY QUESTION: INITIAL REPORT  </w:t>
        <w:br/>
        <w:t xml:space="preserve">FIRST.- At the time and by distribution turn, the Sanctioning File S/0422/12 Contracts of Permanence was assigned to Counselor Mr. Benigno Valdés Díaz and myself.  </w:t>
        <w:br/>
        <w:t xml:space="preserve">Our Report was brought to deliberation and decision to the Plenary of this COMPETITION CHAMBER of the National Commission of Markets and Competition, which took place in the city of Barcelona, on October 16, 2014.  </w:t>
        <w:br/>
        <w:t xml:space="preserve">For the appropriate legal purposes, I attach to this Particular Dissenting Vote a copy of it, solely to avoid unnecessary reiterations and only as a simple citation of facts or legal grounds. A copy that I relate and number as ANNEX I.-  </w:t>
        <w:br/>
        <w:t xml:space="preserve">In our Proposal for Resolution, we established in its Dispositive Part “HAS RESOLVED  </w:t>
        <w:br/>
        <w:t xml:space="preserve">SOLE.- To declare the inadmissibility of initiating a sanctioning file and the filing of the proceedings against TELEFÓNICA MÓVILES DE ESPAÑA S.A.U., for the non-existence of prohibited conduct under Article 1 of Law 15/2007 of July 3, on the Defense of Competition, described and instructed within the framework of the Sanctioning File S/0422/12 Contracts of Permanence.”  </w:t>
        <w:br/>
        <w:t xml:space="preserve">SECOND.- We reached such a conclusion for the following preliminary considerations:  </w:t>
        <w:br/>
        <w:t>1st In this Sanctioning File, the parties accused were (1) VODAFONE ESPAÑA S.A.U.; (2) ORANGE ESPAÑA S.A.U. (formerly France Telecom España S.A.U.); and (3) TELEFÓNICA MÓVILES DE ESPAÑA S.A.U.</w:t>
      </w:r>
    </w:p>
    <w:p>
      <w:r>
        <w:t xml:space="preserve">According to the information contained in this Sanctioning File (paragraphs 139, 140, and 141 of the Statement of Facts and Proposal for Resolution submitted to us by the Competition Directorate), “during the period from 2008 to mid-2012, the three main operators in the relevant market included in their commercial offer the possibility of subscribing to a commitment of permanence in exchange for: (a) the acquisition of a subsidized terminal or (b) other types of economic advantages, such as discounts on the prices of contracted services (=tariffs) or (c) duration of the permanence 12, 18, or 24 months.  </w:t>
        <w:br/>
        <w:t xml:space="preserve">“In the retail mobile communications service contracts with residential customers, these commitments of permanence are mainly associated with the subsidy of mobile terminals; they generally have a duration of 12, 18, and 24 months (depending on the type and cost of the subsidized terminal and the contracted tariff) and are not automatically renewed, unless the customer remains silent for a period of thirty days (non-acceptance of extension).”  </w:t>
        <w:br/>
        <w:t xml:space="preserve">“Each operator designs its own penalty system for cases of breach of the contractual commitment of permanence.”  </w:t>
        <w:br/>
        <w:t xml:space="preserve">“The conditions of the commitments of permanence appear in the General Conditions Models of the mobile services contracts of each of the three operators (Telefónica Móviles de España S.A.U.; Vodafone España S.A.; and Orange Espagne S.A.U.) published on their websites and in the media.”  </w:t>
        <w:br/>
        <w:t xml:space="preserve">-----0-----  </w:t>
        <w:br/>
        <w:t xml:space="preserve">Previously, in the PROVEN FACT THREE, we detailed the response given by VODAFONE ESPAÑA S.A. to the information request made by the Directorate of Investigation “regarding the contracts of permanence.”  </w:t>
        <w:br/>
        <w:t xml:space="preserve">In PROVEN FACT FOUR, we related the response given by ORANGE ESPAGNE S.A.U. to the information request made by the Directorate of Investigation “regarding the contracts of permanence.”  </w:t>
        <w:br/>
        <w:t xml:space="preserve">And in PROVEN FACT FIVE, we related the response given by TELEFONICA MOVILES DE ESPAÑA S.A.U. to the request made by the Directorate of Investigation “regarding the contracts of permanence.”  </w:t>
        <w:br/>
        <w:t>-----0-----</w:t>
      </w:r>
    </w:p>
    <w:p>
      <w:r>
        <w:rPr>
          <w:b/>
        </w:rPr>
        <w:t>[Pages 94–96]</w:t>
      </w:r>
    </w:p>
    <w:p>
      <w:r>
        <w:t xml:space="preserve">In the THIRD OF THE LEGAL GROUNDS of our Proposal for Resolution, we literally stated:  </w:t>
        <w:br/>
        <w:t xml:space="preserve">“THIRD.- By virtue of what is established, this COMPETITION CHAMBER understands that the so-called loyalty contracts in no way affect competition and cannot therefore be classified or categorized as infringing behaviors under Article 1 of Law 15/2007 of July 3, on the Defense of Competition.  </w:t>
        <w:br/>
        <w:t xml:space="preserve">And so understood, at the time, by the very Directorate of Investigation of the National Competition Commission (now both defunct) when it made the decision agreeing not to charge ORANGE ESPAGNE S.A.U., and VODAFONE ESPAÑA S.A.  </w:t>
        <w:br/>
        <w:t xml:space="preserve">And this, despite the fact that the behaviors attributable to the three operators were initially and essentially the same: the loyalty contracts, which have the same reciprocally binding elements: consent, object, and cause; and which produce the same effects, among themselves and vis-à-vis third parties with erga omnes value.  </w:t>
        <w:br/>
        <w:t xml:space="preserve">The attribution that the Directorate of Investigation (now defunct) maintains exclusively against TELEFÓNICA MÓVILES DE ESPAÑA S.A.U. lacks legal justification due to the absence of cause; at the same time, it is discriminatory and arbitrary and violates what is provided in Article 9 of the Spanish Constitution, which expressly guarantees: on one hand “the fundamental principles of legality and legal certainty”; and on the other hand requires “responsibility” and prohibits and punishes “the prohibition of arbitrariness of public powers.”  </w:t>
        <w:br/>
        <w:t xml:space="preserve">This development had a prior consideration in the text forming the PROVEN FACT SIX.  </w:t>
        <w:br/>
        <w:t xml:space="preserve">2nd The second line of argument was developed in the FIFTH LEGAL GROUND of our Proposal for Resolution (ANNEX I) by establishing:  </w:t>
        <w:br/>
        <w:t xml:space="preserve">“FIFTH.- Furthermore, the Telecommunications Market Commission until the creation of this National Commission of Markets and Competition (under Law 3/2013 of June 4) was by virtue of its founding Law the only competent authority to know and resolve on the telecommunications market.  </w:t>
        <w:br/>
        <w:t xml:space="preserve">Even currently, and after the creation of this Commission, its provisions, reports, and market assessments have relevant value and must be taken into consideration as doctrine to follow.  </w:t>
        <w:br/>
        <w:t xml:space="preserve">The Telecommunications Market Commission since the year 2000 has been issuing Resolutions and Circulars that apply to this File. Thus, and without the intention of exhausting them (not numerus clausus), it is appropriate to record the following:  </w:t>
        <w:br/>
        <w:t xml:space="preserve">- RESOLUTION RO 2006/422 in which it addresses the establishment of loyalty clauses… and agrees not to initiate sanctioning proceedings… examining the contracts of Telefónica Móviles de España S.A.U. and Vodafone España S.A.  </w:t>
        <w:br/>
        <w:t xml:space="preserve">And concluding that “for all these reasons and given the analyzed elements, it is not inferred that it is appropriate to initiate the corresponding procedure by this Commission. WITHOUT PREJUDICE to the fact that the reported facts may be examined, if applicable, by the ordinary courts of civil jurisdiction in light of the current regulations on consumer and user protection.  </w:t>
        <w:br/>
        <w:t xml:space="preserve">- AGREEMENT of the Council of the Telecommunications Market Commission of December 18, 1997 in the context of File R 3946.  </w:t>
        <w:br/>
        <w:t xml:space="preserve">“In light of the above, it can be concluded that the COMPETENCE to address this claim does not correspond to the Telecommunications Market Commission, BUT TO THE ORDINARY JURISDICTION in relation to the defense of consumers and users and to the Ministry of Industry, Trade and Tourism.”  </w:t>
        <w:br/>
        <w:t xml:space="preserve">3rd The third line of argument was developed in the SECOND LEGAL GROUND of our Proposal for Resolution “by establishing that the contracts subject to examination and instruction in this Sanctioning File fall within the field of autonomy of will, characteristic of Private Law.”  </w:t>
        <w:br/>
        <w:t xml:space="preserve">“Thus, Positive Law, residing in the Civil Code, as the primary source of reciprocal rights and obligations states that “every obligation consists of giving, doing, or not doing something” (Article 1088) and that “the obligations arising from contracts have the force of Law between the contracting parties and must be fulfilled according to their terms” (Article 1091) and, consequently, “the validity and fulfillment of contracts cannot be left to the discretion of one of the contracting parties” (Article 1256).  </w:t>
        <w:br/>
        <w:t xml:space="preserve">“Contracts are perfected by the mere consent of the parties” (Article 1258) and “are binding regardless of the form in which they were concluded, as long as the conditions required for their validity are met” (Article 1278) that is: consent, object, and cause.  </w:t>
        <w:br/>
        <w:t xml:space="preserve">Hence, “the consent given under error, violence, intimidation, or deceit shall be null” (Article 1265) and for “the error to invalidate the consent, it must relate to the substance of the thing that was the object of the contract (the cause) or to those conditions of it that gave rise to its celebration” (Article 1266).  </w:t>
        <w:br/>
        <w:t xml:space="preserve">“There is violence when an irresistible force is used to obtain consent” (Article 1267) and consequently “violence or intimidation shall annul the obligation” (Article 1268).  </w:t>
        <w:br/>
        <w:t xml:space="preserve">“There is deceit when, through insidious words or machinations by one of the contracting parties, the other is induced to enter into a contract that, without them, would not have been made” (Article 1269) and for “the deceit to produce the nullity of contracts it must be serious” (Article 1270).  </w:t>
        <w:br/>
        <w:t xml:space="preserve">Having established the playing field, it is necessary to conclude that the contracts signed between the parties (Operators and Clients) were made with full consent and knowledge of what they were doing and without the mediation of error, violence, intimidation, or deceit, which in the World of Law, as a creator of reciprocal rights and obligations, have validity among them (the contracting parties), with erga omnes value against third parties.  </w:t>
        <w:br/>
        <w:t xml:space="preserve">-----0-----  </w:t>
        <w:br/>
        <w:t>“Validly concluded contracts may be rescinded in the cases established by Law” (Article 1290) and “the rescission obliges the return of the things that were the object of the contract with their fruits… and compensation for damages may be claimed from the party causing the injury” (Article 1295).</w:t>
      </w:r>
    </w:p>
    <w:p>
      <w:r>
        <w:rPr>
          <w:b/>
        </w:rPr>
        <w:t>[Pages 97–99]</w:t>
      </w:r>
    </w:p>
    <w:p>
      <w:r>
        <w:t>the validly concluded contracts may be terminated in the cases established by law” (Article 1290) and “the termination obliges the return of the things that were the object of the contract with their fruits… and compensation for damages may be claimed from the party causing the injury” (Article 1295).</w:t>
        <w:br/>
        <w:t>96</w:t>
      </w:r>
    </w:p>
    <w:p>
      <w:r>
        <w:t>And in terms of the effects they produce, those clauses that develop and link the termination/resolution to compensations/penalties are valid, in order to avoid harm to one of the parties (compensation) or, in other words, the Law does not protect unjust enrichment.</w:t>
        <w:br/>
        <w:t>4th Finally, the fourth line of argument is of legal order and protection: the General Telecommunications Law, in exercising the competence granted in Article 48.3.g) through the RESOLUTION of the Telecommunications Market Commission of February 2, 2006 (published in the BOE on February 10), approved the definition and analysis of the market for access and origination of calls in public mobile telephone networks, the designation of operators with significant market power, and the imposition of specific obligations (AEM 2005/933).</w:t>
        <w:br/>
        <w:t>The RESOLUTION highlights the importance of portability between mobile telephone operators at the retail level – a market that is not subject to ex ante obligations according to the criteria defined in the new regulatory framework – as a tool for defending competition.</w:t>
        <w:br/>
        <w:t>The RESOLUTION also refers to the policy of subsidizing terminals as a competitive variable. As a result of this policy, the subscription to permanence commitments has developed as a general practice in the retail mobile telephone market, adopted not only by traditional mobile network operators but also by new entrants such as XFERA (Yoigo) or EUSKALTEL.</w:t>
        <w:br/>
        <w:t>The permanence clause can therefore have neutral or even favorable effects for the consumer, particularly if the offer represents an improvement over other promotions (as may be the case with the terminal subsidy policy) and provides for compensations proportional to the discount received by the user when subscribing to the promotion.</w:t>
        <w:br/>
        <w:t>From the aforementioned Resolutions, it follows that the subscription by mobile telephone service subscribers to permanence commitments in exchange for certain advantages should not imply a barrier to portability.</w:t>
        <w:br/>
        <w:t>It can therefore be concluded that the contractual modifications introduced by Telefónica Móviles de España S.A.U. and Vodafone España S.A. do not constitute a cause that could delay the execution of portability.</w:t>
        <w:br/>
        <w:t>97</w:t>
      </w:r>
    </w:p>
    <w:p>
      <w:r>
        <w:t>Consequently, the Resolution RO 2006/422, as we have established earlier, concludes by stating that “for all these reasons and given the elements analyzed, the convenience of initiating the corresponding procedure by this Commission is not deduced. Without prejudice to the fact that the reported facts may be examined, if applicable, by the ordinary courts of civil jurisdiction…”</w:t>
        <w:br/>
        <w:t>II.-</w:t>
        <w:br/>
        <w:t>CURRENT REPORT</w:t>
        <w:br/>
        <w:t>FIRST.- Our Report was defeated in the deliberation held in the city of Barcelona on October 16, obtaining three Votes (President and two Counselors), which was the cause of a new round of Reporting.</w:t>
        <w:br/>
        <w:t>The dissent was not clearly expressed, and it could be concluded that the dissenting thesis was “simply that what was proposed by the Competition Directorate and Telefónica Móviles de España S.A.U. should be sanctioned.”</w:t>
        <w:br/>
        <w:t>It must obviously be understood that the Three Dissenting Votes were “having full knowledge of the Sanctioning File,” which in essence, whoever the Counselor and/or President turned “was in immediate disposition to draft a Proposal for Resolution.”</w:t>
        <w:br/>
        <w:t>SECOND.- The Report of this Sanctioning File S/0422/12 Contracts of Permanence was assigned to Counselor Mrs. Zenarrutzabeitia, who included it in the Agenda to be held on October 23, 2014.</w:t>
        <w:br/>
        <w:t>The Proposal for Resolution was developed over 70 pages and, once again, came incomplete as I will demonstrate below:</w:t>
        <w:br/>
        <w:t>“Page 69</w:t>
        <w:br/>
        <w:t>SEVENTH.- Assessment of the Competition Chamber of the Council.</w:t>
        <w:br/>
        <w:t>The Council considers that TME, in the market for providing retail mobile communication services to business customers, has established clauses in contracts directed at the business customer segment, including permanence commitments with increasing penalties for discounts on prices, automatic renewals, and notice periods, which collectively have a restrictive effect on competition, as they would be limiting disproportionately the ability of a significant portion of TME's business customers to change service providers for retail mobile communications, losing opportunities to contract similar services at lower prices with other operators. At the same time, TME with this practice would be artificially increasing the costs that competitors must incur to win customers at TME's expense, while also making it difficult for other potential operators to access this market, so that in practice this conduct would be favoring the closure of this market to other potentially incoming operators while protecting anti-competitively its high market share from its competitors and without any significant investments for TME at any time.”</w:t>
        <w:br/>
        <w:t>IT HAS RESOLVED</w:t>
        <w:br/>
        <w:t>FIRST.- To declare that in this file an infringement of Article 1 of Law 16/1989, of Article 1 of Law 15/2007 of July 3, on the Defense of Competition, and of Article 1 of the TFEU, has been established, in the terms set out in the Legal Basis XXXX of this Resolution.</w:t>
        <w:br/>
        <w:t>SECOND.- In accordance with the responsibility attributed in the Sixth Legal Basis, to declare the following companies responsible for the aforementioned infringements:</w:t>
        <w:br/>
        <w:t>THIRD.- To impose on the authors responsible for the infringing conduct the following fines:</w:t>
        <w:br/>
        <w:t>FOURTH.- To order TME to refrain in the future from carrying out the sanctioned practices and any others of equivalent effect. To urge the Competition Directorate of this National Commission of Markets and Competition to monitor and ensure the full compliance with this Resolution.</w:t>
        <w:br/>
        <w:t>FIFTH.- To declare confidentiality of…..</w:t>
        <w:br/>
        <w:t>To communicate to DC to notify interested parties and the right to appeal.”</w:t>
        <w:br/>
        <w:t>To say, prima facie, that we are not in the presence of a draft, which is not a Proposal for Resolution, not only incomplete but mimetic of cut and paste.</w:t>
        <w:br/>
        <w:t>THIRD.- Given the aforementioned, in that Plenary of the Competition Chamber of this National Commission of Markets and Competition,</w:t>
      </w:r>
    </w:p>
    <w:p>
      <w:r>
        <w:rPr>
          <w:b/>
        </w:rPr>
        <w:t>[Pages 100–102]</w:t>
      </w:r>
    </w:p>
    <w:p>
      <w:r>
        <w:t>THIRD.- Given the aforementioned, in that Plenary of the Competition Chamber of this National Commission of Markets and Competition, it was agreed to hold an Extraordinary Plenary on October 29 at 11:00 AM, focused on deliberating and ruling on a fully completed Proposal for Resolution. Consequently, through the Secretary of this Competition Chamber, a Proposal for Resolution was distributed, which reached this Dissenting Counselor at 12:36 PM on Monday, October 27. After the presentation by the Rapporteur, Counselor Ortiz intervened to include in that text a series of arguments that she expressed orally, considering that they enriched the text. The oral arguments ranged from (1) a modification of the relevant market, which at this stage of the procedure would constitute a violation of Article 50 of Law 15/2007 of July 3, on the Defense of Competition, and (2) a modification of the percentage applied to the sanction, which while the Rapporteur and the President maintained at 1.50% of the turnover, the Counselor proposed to reduce it to 1%. All of this without any justification. Given the abnormality of such a proposal, this Dissenting Counselor intervened to suggest that it would be appropriate and proper for the Counselor to formulate a Concurrent Particular Vote. This was rejected by a simple majority (President and two Counselors), agreeing that a written Note would be sent to us via the Secretary, which would include such a proposal. At 7:07 PM on October 29, this Dissenting Counselor received an initial email stating, "attached is the documentation corresponding to Point No. 2.2." Subsequently, at that same hour, another email was received stating, "the final text (with track changes) of the RESOLUTION Expte S/0422/12 CONTRACTS OF STAY is attached."</w:t>
      </w:r>
    </w:p>
    <w:p>
      <w:r>
        <w:t>At this moment, being 3:55 PM on October 30, I receive a new email that literally says, "attached is the FINAL VERSION, without track changes." No comments.</w:t>
      </w:r>
    </w:p>
    <w:p>
      <w:r>
        <w:t>It is now time to specify MY DISSENT regarding the administrative resolution approved, finally, on October 29 with the addenda consented to by the simple majority of this COMPETITION CHAMBER of the National Commission of Markets and Competition, and this throughout two groups of REASONS: (1) for violation of fundamental rights concerning the classification of the conduct attributed to TELEFÓNICA MÓVILES DE ESPAÑA S.A.U.; and (2) for violation of fundamental rights concerning the sanctioning regime applied to the attributed conduct.</w:t>
      </w:r>
    </w:p>
    <w:p>
      <w:r>
        <w:t>III.-</w:t>
        <w:br/>
        <w:t>FIRST GROUP OF REASONS</w:t>
        <w:br/>
        <w:t>FOR VIOLATION OF FUNDAMENTAL RIGHTS</w:t>
        <w:br/>
        <w:t>CONCERNING THE CLASSIFICATION OF THE CONDUCT</w:t>
        <w:br/>
        <w:t>FIRST.- Article 50 Instruction of the sanctioning file, of Law 15/2007 of July 3, on the Defense of Competition, states "1. The Directorate of Investigation, once the file is initiated, shall carry out the necessary instructional acts for the clarification of the facts and the determination of responsibilities; 3. The facts that may constitute an infringement shall be included in a STATEMENT OF FACTS that shall be notified to the interested parties so that, within a period of fifteen days, they may respond and, if applicable, propose the evidence they consider pertinent; 4. Once the necessary acts have been carried out, the Directorate of Investigation shall formulate a PROPOSAL FOR RESOLUTION that shall be notified to the interested parties so that, within a period of fifteen days, they may make any allegations they deem appropriate; and 5. Once the file has been instructed, the Directorate of Investigation shall send it to the Council of the National Competition Commission, accompanying it with a report that will include the Proposal for Resolution, as well as, in cases where appropriate, a proposal regarding the exemption or reduction of the fine, in accordance with the provisions of Articles 65 and 66 of this Law."</w:t>
      </w:r>
    </w:p>
    <w:p>
      <w:r>
        <w:t>The STATEMENT OF FACTS is, therefore, the administrative act that establishes the proven facts that constitute the accusation and the persons (natural or legal) charged, so that the entire subsequent procedure cannot deviate from what is established therein, as has always been established by the Competition Defense Tribunal (see, among others, the Resolution of September 4, 2000, Sanctioning File AENOR).</w:t>
      </w:r>
    </w:p>
    <w:p>
      <w:r>
        <w:t>In it, it is recalled that the Court of Justice of the Communities has repeatedly declared that "the respect for the rights of defense requires that, from the phase of the administrative procedure, the interested company be offered the possibility to adequately express its point of view on the reality and relevance of the facts, accusations, and circumstances alleged by the Commission, so that the Statement of Charges must provide the company with all the necessary elements to defend itself effectively. The Statement of Charges must clearly mention all essential elements..." (among other judgments, the Hoffman-La Roche of February 11, 1979; Cimentieres CBR and others/Commission of December 18, 1992; CB and Europe/Commission of November 23, 1994).</w:t>
      </w:r>
    </w:p>
    <w:p>
      <w:r>
        <w:t>In the European Community regulations REGULATION 99, the Statement of Charges is the document in which the Commission, after gathering the elements that allow it to establish sufficient evidence of the existence of an infringement, collects the proven facts and formulates the accusation that it communicates to the accused parties for allegations (Article 2.1).</w:t>
      </w:r>
    </w:p>
    <w:p>
      <w:r>
        <w:t>Section 2 of Article 2 states that "the Commission may only take into account, in its decisions, the charges regarding which the companies have been able to express their points of view. Thus, the Statement of Charges has the effect of crystallizing the position of the Commission, preventing it from maintaining in its Decision other charges different from those communicated" (see all the judgments IBM of November 11, 1981 and Order Reynolds of June 18, 1986).</w:t>
      </w:r>
    </w:p>
    <w:p>
      <w:r>
        <w:t>Therefore, the crystallization effect entails (a) that the Commission cannot base its decision on other factual data than those communicated; (b) that in order to base its decision on a factual element, the Commission must clearly indicate in the Statement of Charges what it intends to use and present such document against the company; (c) that the Commission cannot accuse a company of an infringement different from that stated in the Statement of Charges and, in particular, giving the facts a different qualification than that specified in the Statement of Charges; (d) that the Commission cannot accuse the companies of an infringement whose duration is longer than that considered in the Statement of Charges, nor can it expand the scope or modify the nature of the charges; (e) that the Commission cannot base its decision on a legal conception different from those on which the Statement of Charges is based; and (f) that the Commission cannot impose fines without announcing its intention to do so (see all the judgments Wood Pulp II of March 3, 1986; Pioneer of June 7, 1983; and Europay of February 23, 1994).</w:t>
      </w:r>
    </w:p>
    <w:p>
      <w:r>
        <w:rPr>
          <w:b/>
        </w:rPr>
        <w:t>[Pages 103–105]</w:t>
      </w:r>
    </w:p>
    <w:p>
      <w:r>
        <w:t>-----0-----</w:t>
        <w:br/>
        <w:t>In light of the above, this Dissenting Counselor understands that Article 9 of the Spanish Constitution has been blatantly violated, concerning the fundamental principles of legality and legal certainty, as the Resolution approved by a simple majority has arbitrarily distorted the definition of the relevant market, as specified in the Statement of Facts, expanding it solely for the purpose of sanctioning TELEFÓNICA MÓVILES DE ESPAÑA S.A.U., constituting an alternative use of the Law. SECOND.- Law 30/1992 of November 26, on the Legal Regime of Public Administrations and the Common Administrative Procedure, in its Article 24 Motivation states that "administrative acts 1. Shall be motivated, with a succinct reference to facts and legal grounds." In its Article 218 Exhaustiveness and consistency. Motivation states that "1. The resolutions must be clear, precise, and consistent (……); 2. They shall be motivated by expressing the factual and legal reasoning that leads to the appreciation and evaluation of the evidence, as well as the application and interpretation of the law. The motivation must address the different factual and legal elements (…) considered individually and as a whole, always adhering to the rules of logic and reason; 3. When there are several points, the court shall make the corresponding pronouncement for each one with due separation." The Constitutional Court, in the development of the aforementioned legal normative provisions "in order to ensure that judicial and/or administrative bodies do not violate the duty to motivate judicial and/or administrative decisions" guaranteed by Articles 24.1 and 120.3 of the Spanish Constitution, as they constitute an essential guarantee for the litigant/administrated, states repeatedly, emphatically, and uniformly that "through which it is possible to verify that the decision made is the result of the reasoned application of the Legal System and not the product of arbitrariness and that it imposes not only the obligation to provide a reasoned response to the claims made, but also that this must have a legal content" (among others, SSTC 118/2006 of April 24; 67/2007 of March 27; 44/2008 of March 20; 139/2009 of June 25; 160/2009 of June 29).</w:t>
        <w:br/>
        <w:t>-----0-----</w:t>
        <w:br/>
        <w:t>In light of all the above, this Dissenting Counselor understands that the fundamental principles of legal certainty and legality have been violated due to the non-application of the aforementioned legal normative provisions, making it impossible for the sanctioned company to understand the what and why of it, which causes a notable and evident defenselessness that must be corrected. Furthermore, the response given by the three investigated mobile operators regarding the permanence contracts does not conform as Proven Facts. This ignorance of the main revealing fact of the conduct to be sanctioned is not irrelevant, but rather discriminatory and arbitrary. THIRD.- The Spanish Constitution in its Article 9 states that "1. Citizens and public authorities are subject to the Constitution and the rest of the Legal System (…) 3. The Constitution guarantees the principle of legality….legal certainty, responsibility, and the prohibition of arbitrariness by public authorities." In its Article 24.1 it states that "all persons have the right to obtain effective judicial protection from judges and courts in the exercise of their rights, without any case leading to defenselessness." And in Article 103 that "Public Administrations serve the general interests objectively (…..) with full compliance with the law and the Law."</w:t>
        <w:br/>
        <w:t>-----0-----</w:t>
        <w:br/>
        <w:t>It is a proven fact that there were three mobile service operators (Vodafone España S.A., Orange Espagne S.A.U., and Telefónica Móviles de España S.A.U.) investigated in this Sanctioning File; it is a proven fact that my initial Presentation transcribed in detail the permanence contracts; it is a proven fact that neither in the Statement of Facts, nor in the subsequent Proposal for Resolution are they mentioned or developed, and, on the contrary, the Investigation Directorate got lost in a lengthy and unnecessary digression, which has been mimetically and literally adopted by the Presentation and in the Resolution approved today, by simple majority. It is a proven fact that in the three administrative acts (Statement, Proposal for Resolution, and Resolution) Vodafone España S.A. and Orange Espagne S.A.U. are exempted for the same causes, behaviors, and effects for which Telefónica Móviles de España S.A.U. is sanctioned, which causes a discriminatory arbitrariness, violating what is provided in Article 9 of the Spanish Constitution, as it is a protector of fundamental rights, which must be corrected. FOURTH.- The principle of legitimate trust in and from the acts emanating from the Administration, derived from the fundamental principle of legal certainty under Article 9 of the Spanish Constitution "is an inspiring principle of administrative action," recognized today by Article 3.1 of Law 30/1992 of November 26, on the Legal Regime of Public Administrations and the Common Administrative Procedure, following the reform made by Law 4/1999 of January 13. Law 4/1999 establishes in its Explanatory Memorandum that "firstly, in the Preliminary Title, the principles of action of Public Administrations, derived from legal certainty, are introduced. On the one hand, the principle of good faith, applied by the contentious-administrative jurisdiction, even before its reception by the Preliminary Title of the Civil Code. On the other hand, the well-known principle in European procedural law and also included by the contentious-administrative jurisprudence of the trust of citizens that the actions of Public Administrations cannot be altered arbitrarily."</w:t>
        <w:br/>
        <w:t>-----0-----</w:t>
        <w:br/>
        <w:t>It is a proven fact that both the mobile operator now sanctioned, TELEFÓNICA MÓVILES DE ESPAÑA S.A.U., and another operator (Vodafone España S.A.), were previously reported to the Telecommunications Market Commission, which in an ad hoc Resolution concluded that "the permanence contracts were not constitutive of a sanctioning procedure, referring them to the civil jurisdiction." This Resolution was subsequently ratified by another with the same sense and content. In light of all the above, this Dissenting Counselor understands that the Resolution approved today, by simple majority, violates the principles of legitimate trust and administrative good faith, causing a defenselessness, as a consequence of the arbitrariness of such pronouncement, which must be corrected.</w:t>
      </w:r>
    </w:p>
    <w:p>
      <w:r>
        <w:rPr>
          <w:b/>
        </w:rPr>
        <w:t>[Pages 106–108]</w:t>
      </w:r>
    </w:p>
    <w:p>
      <w:r>
        <w:t>FIFTH.- In our Presentation, we developed the General Telecommunications Law and its application by the now-defunct National Telecommunications Commission. It is a proven fact that the Resolution approved today by a simple majority ignores the mandate of a Law and its application and development, concerning the requirements of permanence contracts, as we have previously established. Therefore, once again, this Resolution violates the fundamental principle of legality and, consequently, that of legal certainty (ex Article 9 CE), which ultimately generates defenselessness (ex Article 24.1 CE).</w:t>
      </w:r>
    </w:p>
    <w:p>
      <w:r>
        <w:t>IV.-</w:t>
        <w:br/>
        <w:t>SECOND GROUP OF REASONS</w:t>
        <w:br/>
        <w:t>FOR VIOLATION OF FUNDAMENTAL RIGHTS</w:t>
        <w:br/>
        <w:t>REGARDING THE APPLICABLE SANCTION REGIME</w:t>
        <w:br/>
        <w:t>FIRST.- Law 15/2007 of July 3, on the Defense of Competition, in its Article 61 Infringing Subjects states that “1. Individuals or legal entities that carry out actions or omissions classified as infringements by this Law shall be infringing subjects; 3. When a fine is imposed on an association, union, or grouping of companies and it is not solvent, the association shall be obliged to collect contributions from its members until covering the amount of the fine. In the event that such contributions are not provided to the association within the established deadline (…) payment of the fine may be demanded from any of the companies whose representatives are members of the governing bodies of the association in question. However, payment as contemplated in the second and third paragraphs shall not be demanded from companies that demonstrate that they did not apply the decision or recommendation of the association constituting an infringement and that either they were unaware of its existence or actively distanced themselves from it before the investigation of the case began.”</w:t>
      </w:r>
    </w:p>
    <w:p>
      <w:r>
        <w:t>In its Article 62 Infringements states that “4. Very serious infringements are (a) the development of collusive behaviors classified in Article 1 of the Law, consisting of cartels or other agreements, decisions, or collective recommendations, concerted practices or consciously parallel practices among competing companies, whether real or potential.”</w:t>
      </w:r>
    </w:p>
    <w:p>
      <w:r>
        <w:t>Article 63 Sanctions states “1c. Very serious infringements with a fine of up to 10 percent of the total turnover of the infringing company in the fiscal year immediately preceding the imposition of the fine.” “The total turnover of associations, unions, or groupings of companies shall be determined by considering the turnover of their members.”</w:t>
      </w:r>
    </w:p>
    <w:p>
      <w:r>
        <w:t>In light of all the above and the provisions of Article 3 of the Civil Code and harmonizing and relating the provisions in the first and third sections of the aforementioned Article 63, it must be concluded, stating prima facie and abstracting from the existence of modifying circumstances of liability that:</w:t>
        <w:br/>
        <w:t>a) The quantification segment for minor infringements ranges from 0.001% to 1%.</w:t>
        <w:br/>
        <w:t>b) The quantification segment for serious infringements ranges from 1.001% to 5%.</w:t>
        <w:br/>
        <w:t>c) And the quantification segment for very serious infringements ranges from 5.001% to 10%.</w:t>
      </w:r>
    </w:p>
    <w:p>
      <w:r>
        <w:t>The contrary would be an interpretation against the law that would lead to the absurdity that, once the conduct is classified and typified as very serious, a sanction/fine quantified in the segment of serious conduct would be imposed; or the serious conduct quantified in the segment of minor conduct. And thus to infinite absurdity.</w:t>
      </w:r>
    </w:p>
    <w:p>
      <w:r>
        <w:t>SECOND.- Jurisprudential doctrine develops this normative precept in order that “the discretion that the Law grants must be executed by weighing the concurrent circumstances in each case, in order to achieve the necessary and due proportionality between the imputed facts and the required liability, the effects on the market, the existence of modifying circumstances of the conduct, etc., given that every sanction must be determined in congruence with the principles of proportionality and individualization of the sanction, to adapt it to the severity of the conduct.”</w:t>
      </w:r>
    </w:p>
    <w:p>
      <w:r>
        <w:t>For merely indicative purposes, we cite the Judgments of the Supreme Court, including all SSTS of December 1, 2010, Appeal 2685/2008; of January 29, 2013, Appeal 2495/2012; and of June 28, 2013, Appeal 1947/2010.</w:t>
      </w:r>
    </w:p>
    <w:p>
      <w:r>
        <w:t>And from the National Court, including all SSAN of November 10, 2010, Appeal 637/2009; of November 22, 2010, Appeal 365/2009; of January 18, 2011, Appeal 266/2009; of February 10, 2011, Appeal 318/2010; of October 13, 2011, Appeal 795/2009; of November 10, 2011, Appeal 846/2009.</w:t>
      </w:r>
    </w:p>
    <w:p>
      <w:r>
        <w:t>THIRD.- One more item, the National Court in the very recent Judgment of January 30, 2014, Appeal 422/2012 establishes in the Sixth Legal Ground that “nevertheless, when quantifying sanctions in the field of competition law, the concept of a company must be taken into account as an economic unit.”</w:t>
      </w:r>
    </w:p>
    <w:p>
      <w:r>
        <w:t>And regarding the violation of the principle of proportionality of sanctions and without prejudice to the provisions of Article 63.1.a) of Law 15/2007 of July 3, on the Defense of Competition that “that is the maximum figure to be imposed, according to the declaration of the severity of the conduct, which does not necessarily mean that it must be proceeded in this way,” which is called the sanctioning level threshold.</w:t>
      </w:r>
    </w:p>
    <w:p>
      <w:r>
        <w:t>And for this purpose, it recalls that “an essential principle of Spanish punitive law is the division into degrees (minimum, medium, and maximum) depending on the determination of the amount of the fine in concurrence or not of modifying circumstances of liability.”</w:t>
      </w:r>
    </w:p>
    <w:p>
      <w:r>
        <w:t>Hence, the following must be assessed: (a) the modality and scope of the restriction of competition; (b) the size and characteristics of the affected market; (c) the effects of the infringement on consumers and users or on other economic operators; (d) the duration of the restrictive conduct of competition; and (e) the reiteration and other modifying circumstances of liability: aggravating and/or mitigating.</w:t>
      </w:r>
    </w:p>
    <w:p>
      <w:r>
        <w:t>FOURTH.- Article 1 of the Civil Code sanctions the principle of normative hierarchy. That is to say, it becomes unimaginable that a Communication, as a norm of lower rank, could be applicable to the detriment of legal provisions with the rank of Law: either Article 10 of Law 16/1989 of July 17, on the Defense of Competition; or Articles 63, previous and subsequent, of Law 15/2007 of July 3, on the Defense of Competition.</w:t>
      </w:r>
    </w:p>
    <w:p>
      <w:r>
        <w:t>In this regard, the Constitutional Court in Judgment 100/2003 of June 2, regarding the reservation of law in the determination of administrative sanctions establishes the following:</w:t>
      </w:r>
    </w:p>
    <w:p>
      <w:r>
        <w:rPr>
          <w:b/>
        </w:rPr>
        <w:t>[Pages 109–111]</w:t>
      </w:r>
    </w:p>
    <w:p>
      <w:r>
        <w:t>“Thus, the possibility opens up for laws to refer to regulatory norms in this area, with the unbreachable limit, in any case, that such referral does not facilitate &lt;an independent regulation that is not clearly subordinate to the Law&gt; (SSTC 42/1987 of April 7; 101/1988 of June 8; 61/1990 of March 29; 341/1993 of November 18; 25/2002 of February 11). Ultimately, as highlighted in STC 113/2002 of May 9, reiterating what was already stated in Legal Ground Three of STC 305/1993 of October 25 &lt;Article 25 of the Constitution obliges the legislator to regulate by itself the types of administrative infringement and the sanctions applicable to them, without it being possible, from the Constitution, to typify new infringements or introduce new sanctions or alter the framework of the already existing ones by a regulatory norm whose content is not sufficiently predetermined or delimited by another with the rank of Law. The same Constitutional Court previously recalls what was stated in the doctrine expressed in its STC 42/1987 of April 7: “The fundamental right thus enunciated (...) comprises a double guarantee. The first, of a material nature and absolute scope, both regarding the strictly penal sphere and that of administrative sanctions, reflects the special significance of the principle of legal certainty in these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since, as this Court has repeatedly pointed out, the term “current legislation” contained in Article 25.1 of the Spanish Constitution expresses a reservation of Law in sanctioning matters” (for all, SSTC 133/1999 of July 15; 276/2000 of November 16; 25/2002 of February 11; 75/2002 of April 8 and 113/2002 of May 9). FIFTH.- The Statement of Facts (page 52) establishes that “in view of all that has been done and in accordance with Article 33.1 of the Competition Defense Regulation, it is considered that: It constitutes an infringement of Article 1 of the LDC (Law 15/2007)”.</w:t>
      </w:r>
    </w:p>
    <w:p>
      <w:r>
        <w:t>And in the Proposal for Resolution (page 111) in Section THREE “that the prohibited conduct be classified, for the purposes of determining the sanction to be imposed, as a serious infringement of Article 62.3.a) of Law 15/2007”. And in Section FOUR “that the sanction provided for in Article 63 of the LDC be imposed, taking into account the criteria for determining the sanction provided for in Article 64 of the LDC”. The citation is literal, with all its procedural consequences and effects, which I leave stated. Based on this evidence, I consider it necessary to establish the following pronouncements: 1st this sanctioning file has been instructed, in a unitary act, in order to examine and classify the conducts under the protection of a law, fulfilling the principle of typification: Law 15/2007. 2nd hence, the examined conducts have the legal protection of Law 15/2007 of July 3, on Competition Defense: typified conduct, qualification and sanction to be imposed. 3rd and consequently, the typification and qualification of said conducts have been made in light of what is provided in Article 62.3.a) of Law 15/2007, being classified as serious. 4th and finally, the Proposal for Resolution that the Competition Directorate submits to this Competition Chamber of the National Commission of Markets and Competition, in Section Four proposes, in harmony and unity of action, that the conducts be sanctioned in light of what is provided in Articles 62.3.a) and 64 of said Law 15/2007 of July 3, on Competition Defense. 5th obviously, both Laws develop the infringing conducts, their qualification, and therefore, the imposition of sanctions.</w:t>
      </w:r>
    </w:p>
    <w:p>
      <w:r>
        <w:t>-----0-----</w:t>
      </w:r>
    </w:p>
    <w:p>
      <w:r>
        <w:t>AS A RESULT and with the fundamental principles of legality and legal certainty of our Legal System, one must ask why the Resolution (once approved by a simple majority and always by the same simple majority) deviates from the principle of LEGAL UNIT OF ACTION and opts to resort to the Communication, abstracting from Law 15/2007 under which this Sanctioning File has been instructed? In light of the above, this Dissenting Counselor in the procedural act of the DELIBERATION of the Proposal for Resolution presented to us, made the following questions: 1st whether the Presentation and the majority of the Competition Chamber voting with it, have taken into account and applied what is provided in Article 1.2 of the Civil Code, which enshrines the principle of normative hierarchy as a source of the Legal System. 2nd whether the Presentation and the majority of the Competition Chamber voting with it, have taken into account and applied what is provided in Article 1.6 of the Civil Code, which enshrines jurisprudence as a source of the Legal System. 3rd whether the Presentation and the majority of the Competition Chamber voting with it, have taken into account and applied the Spanish Constitution. And specifically, what is provided in Articles 9 (fundamental principles of legality, legal certainty, and prohibition of arbitrariness), Article 24.1 (effective judicial protection, in terms of defenselessness), Article 103 (Public Administrations are subject to the law and to Law), Article 25 (lex certa and current legislation). 4th whether the Presentation and the majority of the Competition Chamber voting with it, have taken into account and applied the doctrine of the Constitutional Court issued in this regard.</w:t>
      </w:r>
    </w:p>
    <w:p>
      <w:r>
        <w:t>-----0-----</w:t>
      </w:r>
    </w:p>
    <w:p>
      <w:r>
        <w:t>This Dissenting Counselor, having received no response to any of his questions, posed in the deliberative framework of this Sanctioning File, “declared to be released from any possible actions of administrative liability and even criminal (for prevarication) that the sanctioned companies might file, in this File and in any others, as a consequence of the above”. SIXTH.- In any case and to further emphasize, I continue to reiterate my opinion, previously expressed in previous Dissenting Votes in the sense that the mother formula on which the Communication is based and supported is an ad hoc creation; it lacks scientific rigor; and what is worse in terms of the sanctioning scope.”</w:t>
      </w:r>
    </w:p>
    <w:p>
      <w:r>
        <w:rPr>
          <w:b/>
        </w:rPr>
        <w:t>[Pages 112–114]</w:t>
      </w:r>
    </w:p>
    <w:p>
      <w:r>
        <w:t>“the basic amount will be obtained by applying to the sales volume affected by the infringement a percentage that, STARTING FROM 10% MAY BE INCREASED considering the following criteria CUMULATIVELY</w:t>
        <w:br/>
        <w:t>(a) if the infringement is classified as very serious, the percentage MAY BE INCREASED BY UP TO TEN PERCENTAGE POINTS.</w:t>
        <w:br/>
        <w:t>(b) if the market or markets related to the infringement correspond to an input likely to cause cascading effects in different markets, the percentage MAY BE INCREASED BY UP TO TEN PERCENTAGE POINTS.</w:t>
        <w:br/>
        <w:t>Therefore, the basic amount will be between 10% and 30% of the sales volume affected by the infringement.”</w:t>
        <w:br/>
        <w:t>-----0-----</w:t>
        <w:br/>
        <w:t>The above corresponds to Paragraph (14) of the Communication, in literal citation of it.</w:t>
        <w:br/>
        <w:t>Given the clarity and semantic precision, I am relieved from interpretation and only reiterate that its application violates the fundamental principles of legality and, therefore, legal certainty (ex Article 9 CE), which ultimately generates defenselessness (ex Article 24.1 CE).</w:t>
        <w:br/>
        <w:t>SEVENTH.- In conclusion:</w:t>
        <w:br/>
        <w:t>1º I understand that our Initial Presentation, in which we established in our Proposal for Resolution (Dispositive Part) that it was appropriate to “Declare the inadmissibility of initiating sanctioning proceedings and the filing of the actions taken against TELEFÓNICA MÓVILES DE ESPAÑA S.A.U., for the non-existence of conduct prohibited by Article 1 of Law 15/2007 of July 3, on the Defense of Competition, described and instructed within the framework of the Sanctioning File S/0422/12 Contracts of Permanence.”</w:t>
        <w:br/>
        <w:t>And this based on and supported by the argumentation that developed it and we consider fully reproduced, for the purpose of avoiding unnecessary repetitions.</w:t>
        <w:br/>
        <w:t>2º I understand that the approved Resolution is contrary to law and should never have been approved, for the considerations and arguments previously specified: for violation of fundamental rights.</w:t>
        <w:br/>
        <w:t>112</w:t>
      </w:r>
    </w:p>
    <w:p>
      <w:r>
        <w:t>3º ADDENDUM.- In any case, I adopt all the arguments (background and consequential) that make up the Dissenting Particular Vote of the Counselor of this Competition Chamber, of the National Commission of Markets and Competition, Mr. Benigno Valdés Díaz.</w:t>
        <w:br/>
        <w:t>Thus, by this MY DISSENTING PARTICULAR VOTE I pronounce, order, and sign in Madrid, at ten o'clock in the morning on Friday, October 31, 2014.</w:t>
        <w:br/>
        <w:t>113</w:t>
      </w:r>
    </w:p>
    <w:p>
      <w:r>
        <w:t>UNAPPROVED PRESENTATION</w:t>
        <w:br/>
        <w:t>ANNEX I</w:t>
        <w:br/>
        <w:t>“</w:t>
        <w:br/>
        <w:t>RESOLUTION</w:t>
        <w:br/>
        <w:t>(Sanctioning File S/0422/12 CONTRACTS OF PERMANENCE)</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October 16, 2014</w:t>
        <w:br/>
        <w:t>THE COMPETITION CHAMBER of the National Commission of Markets and Competition, with the composition mentioned above, has issued a RESOLUTION in the Sanctioning File S/0422/Contracts of Permanence instructed by the Directorate of Investigation, of the National Competition Commission (now both defunct) against TELEFÓNICA MÓVILES DE ESPAÑA SAU, “for restrictive competition practices prohibited in Article 1 of Law 15/2007 of July 3, on the Defense of Competition.”</w:t>
        <w:br/>
        <w:t>The Rapporteur has been the Counselor, Mr. Fernando Torremocha y García-Sáenz.</w:t>
        <w:br/>
        <w:t>BACKGROUND</w:t>
        <w:br/>
        <w:t>FIRST.- On March 12, 2012, two small business clients of TELEFÓNICA MÓVILES DE ESPAÑA SAU and VODAFONE ESPAÑA SAU, submitted writings, through which the Directorate of Investigation, of the National Competition Commission (now both defunct) became aware of “the existence of permanence conditions in certain contracts of 114</w:t>
      </w:r>
    </w:p>
    <w:p>
      <w:r>
        <w:rPr>
          <w:b/>
        </w:rPr>
        <w:t>[Pages 115–117]</w:t>
      </w:r>
    </w:p>
    <w:p>
      <w:r>
        <w:t>the submission of allegations to the Statement of Facts (folios 1516-1517). This request has been denied, as communicated in the notification dated October 31, 2013 (folios 1529 to 1531) with the following literal text: "In relation to the reference file, I am obliged to notify you of the instructor's agreement dated October 31, 2013, which is transcribed literally below: On October 28, 2013, a document from Telefónica Móviles de España SAU (TME) was received by the National Commission of Markets and Competition (CNMC) in which, in accordance with the provisions of Article 49 of Law 30/1992 of November 26, on the Legal Regime of Public Administrations and the Common Administrative Procedure, a request for an extension of the deadline set for the submission of allegations to the Statement of Facts is made."</w:t>
      </w:r>
    </w:p>
    <w:p>
      <w:r>
        <w:rPr>
          <w:b/>
        </w:rPr>
        <w:t>[Pages 118–120]</w:t>
      </w:r>
    </w:p>
    <w:p>
      <w:r>
        <w:t>provider, limitando así la competencia en el mercado.</w:t>
      </w:r>
    </w:p>
    <w:p>
      <w:r>
        <w:t>Segundo.- Que el día 10 de diciembre de 2013, Telefónica Móviles de España SAU presenta una propuesta de compromisos con el objetivo de resolver las preocupaciones planteadas por la Dirección de Competencia en relación con el expediente sancionador mencionado.</w:t>
      </w:r>
    </w:p>
    <w:p>
      <w:r>
        <w:t>Tercero.- Que la propuesta de compromisos incluye medidas que buscan facilitar la movilidad de los clientes, mejorar la transparencia en la información sobre las condiciones de permanencia y fomentar la competencia en el mercado de servicios móviles.</w:t>
      </w:r>
    </w:p>
    <w:p>
      <w:r>
        <w:t>Cuarto.- Que, en virtud de lo anterior, se solicita a esta Comisión Nacional de los Mercados y la Competencia que considere la propuesta de compromisos presentada y que, en su caso, se acuerde su aceptación, con el fin de poner fin al procedimiento sancionador.</w:t>
      </w:r>
    </w:p>
    <w:p>
      <w:r>
        <w:t>Quinto.- Que se pone de manifiesto la disposición de Telefónica Móviles de España SAU para colaborar con la Comisión en la mejora de la competencia en el mercado de servicios móviles y para garantizar los derechos de los consumidores.</w:t>
      </w:r>
    </w:p>
    <w:p>
      <w:r>
        <w:t>Sexto.- Que se solicita que se notifique la resolución que se adopte en relación con la propuesta de compromisos presentada, así como cualquier otra actuación que se considere pertinente en el marco del expediente sancionador.</w:t>
      </w:r>
    </w:p>
    <w:p>
      <w:r>
        <w:t>Por todo lo expuesto,</w:t>
      </w:r>
    </w:p>
    <w:p>
      <w:r>
        <w:t>Solicito a esta Comisión Nacional de los Mercados y la Competencia que tenga por presentado este escrito, lo admita y, en su virtud, acuerde lo que en derecho corresponda.</w:t>
      </w:r>
    </w:p>
    <w:p>
      <w:r>
        <w:rPr>
          <w:b/>
        </w:rPr>
        <w:t>[Pages 121–123]</w:t>
      </w:r>
    </w:p>
    <w:p>
      <w:r>
        <w:t xml:space="preserve">mobile phone operator change by the business client and would not have an objective justification.  </w:t>
        <w:br/>
        <w:t xml:space="preserve">Second.- On November 20, 2013, TME was notified by DC of the Agreement of the Director of Competition from the previous day, which agreed to initiate actions aimed at the conventional termination of the File, setting a deadline for TME to submit a proposal for commitments that ends on December 10, 2013, in accordance with the provisions of Article 39 of the Competition Defense Regulation approved by Royal Decree 261/2008 of February 22.  </w:t>
        <w:br/>
        <w:t xml:space="preserve">Third.- By means of this document and in the terms provided in Article 52 of LDC and the aforementioned Article 39 of the Regulation, I hereby submit, on behalf of TME, a Proposal for Commitments that, in the opinion of my represented party, can resolve the effects on competition of the agreements subject to the File, sufficiently guaranteeing the public interest.  </w:t>
        <w:br/>
        <w:t xml:space="preserve">In light of the above and within the indicated timeframe, TME proceeds to make the following  </w:t>
        <w:br/>
        <w:t xml:space="preserve">ALLEGATIONS  </w:t>
        <w:br/>
        <w:t xml:space="preserve">Preliminary.- Background  </w:t>
        <w:br/>
        <w:t xml:space="preserve">On October 18, the DC notified TME of the Statement of Facts of the File (hereinafter PCH). In it, after analyzing the recent dynamics in the retail market for mobile communications services provided in Spain, paying special attention to what it calls the "business segment" or "business" and particularly within this to the "subsegment" of self-employed and SMEs, the DC concludes that the loyalty obligations agreed upon by TME with its clients in the SME subsegment of the market linked to a reduction in prices or rates applicable to clients constitute a restriction of competition by their object and by their effects. Specifically, the DC states in the PCH that the loyalty clauses negotiated by TME with its clients in the Premium Loyalty Contracts special for SMEs, which include loyalty commitments with increasing penalties for discounts on prices, automatic renewals, and notice periods (hereinafter, the Investigated Clauses):  </w:t>
        <w:br/>
        <w:t xml:space="preserve">(a) Are vertical agreements to which Article 1 LDC would apply  </w:t>
        <w:br/>
        <w:t xml:space="preserve">(b) Would be a restriction of competition by "object."  </w:t>
        <w:br/>
        <w:t xml:space="preserve">(c) Would be a restriction of competition by their effects; and  </w:t>
        <w:br/>
        <w:t xml:space="preserve">(d) Would not meet the conditions established by Article 1.3 LDC.  </w:t>
        <w:br/>
        <w:t xml:space="preserve">Very specifically, what particularly concerns the DC are four very specific practical aspects of the Investigated Clauses that could be contributing to generate, in its opinion, a potential market foreclosure effect and not their existence as such. The DC is concerned about the following:  </w:t>
        <w:br/>
        <w:t xml:space="preserve">(a) That the compensation that a client must pay who assumes a loyalty commitment with TME is increasing  </w:t>
        <w:br/>
        <w:t xml:space="preserve">(b) That the calculation of the compensation is not transparent  </w:t>
        <w:br/>
        <w:t xml:space="preserve">(c) That the contracts that include the Investigated Clauses are automatically renewed; and  </w:t>
        <w:br/>
        <w:t xml:space="preserve">(d) The existence of a minimum notice period that clients must respect if they wish to stop using TME's services.  </w:t>
        <w:br/>
        <w:t xml:space="preserve">Consequently, the DC concludes and expresses this in the PCH stating that:  </w:t>
        <w:br/>
        <w:t xml:space="preserve">"It constitutes an infringement typified in Article 1 of the LDC the conduct of TME consisting of establishing a network of parallel agreements with its business clients, through the design and adoption of retail mobile communications service contracts based on the 'Premium Loyalty Contracts special for SMEs' aimed at the SME segment, in which loyalty commitments with increasing penalties for discounts on prices, automatic renewals, and notice periods are included.  </w:t>
        <w:br/>
        <w:t xml:space="preserve">This set of parallel agreements is restrictive of competition by their object and effect, and has been in force since September 19, 2006, until at least December 31, 2012.  </w:t>
        <w:br/>
        <w:t xml:space="preserve">Telefónica Móviles de España SAU is responsible for this infringement."  </w:t>
        <w:br/>
        <w:t xml:space="preserve">Thus, in TME's opinion, the DC distances itself from the position that until now was defended by the now-defunct Telecommunications Market Commission (now the CNMC), which on previous occasions stated that the subscription of loyalty commitments is a general practice in the retail mobile phone market that "can have neutral or even favorable effects for the consumer, particularly if the offer represents an improvement compared to other promotions (as may be the case with the terminal subsidy policy) and provides for compensations proportional to the discount received by the user when subscribing to the promotion" (paragraph 51 of the PCH).  </w:t>
        <w:br/>
        <w:t xml:space="preserve">Notwithstanding the above, with all due respect and in strict terms of defense, TME is in radical disagreement with the conclusions of the DC, as it firmly believes that it has not violated either Article 1 of the LDC or Article 101 of the Treaty on the Functioning of the EU (hereinafter TFEU).  </w:t>
        <w:br/>
        <w:t xml:space="preserve">In particular, the issues for which TME considers that the PCH reaches incorrect conclusions are, among others, the following: (i) the conduct of TME under investigation is not a vertical agreement in the sense of Competition Law (something that Orange itself agrees with, according to its written allegations to the PCH) and must be assessed not only from the perspective of national competition law but also from the perspective of EU law; (ii) the clauses of the loyalty agreements investigated by the DC are outside the scope of application of Articles 1 LDC and 101 TFEU; (iii) even if they were within the scope of application of these rules, they would be evidently and directly exempt under Articles 1.3 LDC and 101.3 TFEU; (iv) a Resolution of the CNMC Council in the sense anticipated by the PCH would cause irreparable harm to the competitive process in the retail mobile telecommunications services market in Spain (the relevant market) and to TME's clients.  </w:t>
        <w:br/>
        <w:t xml:space="preserve">In fact, from the perspective of economic analysis, it has been convincingly demonstrated in the File that the Investigated Clauses do not constitute an infringement of Competition Law (See the external expert report provided by TME to the File by means of a document dated November 26, 2013, after authorization for it) and it is evident that through the increasing compensation for breach of the loyalty obligation, TME strictly complies with what is indicated in this regard by the only competition authority of the ECN (European Competition Network) that has analyzed penalties for breach of loyalty obligations: the British Office of Fair Trading). This authority published a report in 2008 in which it describes on page 8 what it considers a fair penalty (http://stakeholders.ofcom.org.uk/binaries/consultations/addcharges/statement/addcharges atement.pdf)  </w:t>
        <w:br/>
        <w:t xml:space="preserve">(a) The fair value that would be recoverable – that is, the income that would otherwise have been recoverable under the prematurely terminated contract, less any expenses, less the value obtained from reselling the service, and less the benefit or advantage obtained by "early payment"; or  </w:t>
        <w:br/>
        <w:t xml:space="preserve">(b) The reasonable costs that would be recoverable – that is, the recovery by an operator of unrecovered expenses in the prematurely terminated contract.  </w:t>
        <w:br/>
        <w:t xml:space="preserve">TME respects and values the concerns of the DC and although it understands that the Investigated Clauses raise some doubts from the perspective of Articles 1 LDC and 101 TFEU, the reasons why such doubts could arise are different from those raised by the DC in the PCH, specifically, in Regulation (EU) No. 330/2010 of the Commission of April 20, 2010, regarding the application of Article 101, paragraph 3, of the TFEU to certain categories of vertical agreements and concerted practices (hereinafter REAV) does not apply to agreements between suppliers of goods or services and their end customers, which would not prevent them from producing restrictive effects on competition (at least theoretically); the existence of parallel networks of contracts of this type (of TME, Vodafone, and Orange) that affect a very relevant part of the SME segment of the market; and the absence of precedents at the national level in which clauses like those subject to the File have been analyzed.  </w:t>
        <w:br/>
        <w:t xml:space="preserve">Consequently, despite not sharing the assessment made of the Investigated Clauses, nor the conclusions of the PCH, and in order to avoid any doubt and to collaborate constructively with the CNMC, this company has decided to address the concerns of the DC through this proposal for commitments.  </w:t>
        <w:br/>
        <w:t xml:space="preserve">FIRST.- CONDITIONS FOR APPLICATION OF THE PROPOSAL.  </w:t>
        <w:br/>
        <w:t xml:space="preserve">In line with the "de minimis" rules both nationally and communally, the commitments will apply if more than 15% of the SME segment of the retail mobile communications services market in Spain has subscribed loyalty commitments with TME.  </w:t>
        <w:br/>
        <w:t>To ensure that the limitation of TME's behavior does not disproportionately harm it compared to its competitors, that it can continue to compete with them on equal terms, and that the Resolution of the Council that ends the File does not end up causing an arbitrary</w:t>
      </w:r>
    </w:p>
    <w:p>
      <w:r>
        <w:rPr>
          <w:b/>
        </w:rPr>
        <w:t>[Pages 124–126]</w:t>
      </w:r>
    </w:p>
    <w:p>
      <w:r>
        <w:t>obligación de permanencia, que será de un importe fijo y no creciente, y que será comunicada a los clientes de manera clara y transparente en el momento de la firma del contrato.</w:t>
      </w:r>
    </w:p>
    <w:p>
      <w:r>
        <w:t>Tercero.- TME ofrecerá a sus clientes del nuevo Contrato Premium Especial PYME la opción de elegir entre un compromiso de permanencia de 12 meses o de 24 meses, garantizando que en ambos casos las condiciones serán las mismas y que no habrá penalizaciones crecientes.</w:t>
      </w:r>
    </w:p>
    <w:p>
      <w:r>
        <w:t>Cuarto.- TME se compromete a informar a sus clientes del nuevo Contrato Premium Especial PYME, en el momento de la firma, sobre la posibilidad de no aceptar la renovación automática del compromiso de permanencia, así como sobre el procedimiento a seguir para manifestar su decisión.</w:t>
      </w:r>
    </w:p>
    <w:p>
      <w:r>
        <w:t>Quinto.- TME se compromete a proporcionar información clara y accesible sobre las condiciones del nuevo Contrato Premium Especial PYME, incluyendo las penalizaciones aplicables en caso de incumplimiento de la obligación de permanencia, a través de sus canales de comunicación habituales.</w:t>
      </w:r>
    </w:p>
    <w:p>
      <w:r>
        <w:t>Sexto.- TME se compromete a revisar y adaptar sus prácticas comerciales en relación con el nuevo Contrato Premium Especial PYME, asegurando que se alineen con las expectativas de los clientes y con la normativa vigente en materia de competencia.</w:t>
      </w:r>
    </w:p>
    <w:p>
      <w:r>
        <w:t>Séptimo.- TME se compromete a presentar un informe anual a la Dirección de Competencia sobre la implementación de los compromisos asumidos en el presente procedimiento, así como sobre el impacto de estos compromisos en la competencia en el mercado de servicios móviles para PYMEs.</w:t>
      </w:r>
    </w:p>
    <w:p>
      <w:r>
        <w:t>En virtud de lo anterior, TME solicita a la Dirección de Competencia de la Comisión Nacional de los Mercados y la Competencia que tenga por presentada en tiempo y forma la presente propuesta de compromisos y que, tras los trámites oportunos, la eleve al Consejo de la CNMC para su adopción e incorporación a la Resolución que ponga fin al procedimiento.</w:t>
      </w:r>
    </w:p>
    <w:p>
      <w:r>
        <w:t>Madrid, a 27 de enero de 2014.</w:t>
      </w:r>
    </w:p>
    <w:p>
      <w:r>
        <w:rPr>
          <w:b/>
        </w:rPr>
        <w:t>[Pages 127–129]</w:t>
      </w:r>
    </w:p>
    <w:p>
      <w:r>
        <w:t>commitment to permanence and regardless of the timing of such breach. The wording of the clause for the case of breach of the commitment to permanence will be reflected in the contract as follows: “In the event of breach of the obligation of permanence of this contract, the customer must reimburse Movistar, for each line in which this breach occurs, a single compensation amounting to (X euros). Third.- TME will apply in its new Premium Special SME Contract a penalty individualized based on the characteristics of the customer, the duration of the commitment to permanence, and the amount of the discounts applied. In any case, the amount of the penalty shall not exceed half of the sum of the discounts provided for the total duration of the agreed permanence period. Fourth.- Once the new Premium Special SME Contract is adapted to the commitments agreed upon in the Resolution of Conventional Termination, TME commits to publish its new conditions on its website. Fifth.- Before February 1, 2015, TME commits to have signed a new contract that includes the present commitments assumed by TME, with the customer base that has signed the Premium Special SME Contract on the date of the Resolution of Conventional Termination. In the event that after February 1, 2015, there remains any customer still bound by the current Premium Special SME Contract, TME will waive the application of the penalty agreed upon in the contract in the event of early termination of the contract by that customer. Sixth.- In order to facilitate the Competition Directorate's monitoring of the commitments, from the date of the Resolution approving the Conventional Termination and on a bi-monthly basis until February 1, 2015, TME commits to send the Competition Directorate the following documentation:  Models of the new types of Premium Special SME Permanence contracts.  The number of lines that currently have the Premium Special SME Contract in force. Seventh.- The currently valid contracts that will be affected by the proposed commitments will be the Premium Special SME Contracts of 12, 18, and 24 months duration, which enjoy discounts related to the provision of voice services, mobile broadband, and, where applicable, M2M. Eighth.- The validity of the proposed commitments will be three calendar years from the date of notification of the Resolution approving the Conventional Termination. II.- SUFFICIENCY OF THE PROPOSED COMMITMENTS In TME's opinion, these commitments are adequate and more than sufficient to address the concerns of the DC, expressed in the PCH and in the Agreement dismissing the initial commitments proposed by TME, since: (a) They will prevent TME from entering into permanence agreements with increasing indemnities in case of breach by customers. (b) They will significantly increase the transparency of commercial conditions and penalties for customers who subscribe to permanence clauses. (c) They will limit the negative effects of parallel networks of contracts with permanence obligations in the SME segment of the retail mobile communications services market in Spain, as the other operators will have a clear precedent establishing limits on such agreements to avoid incompatibility with articles 1 LDC and 101 TFEU; and (d) They can be applied quickly and effectively, and their monitoring would be viable, possible, and effective. SIXTEENTH.- The Competition Directorate in its Agreement of February 14, 2014 understood that the second Proposal of Commitments presented by Telefónica Móviles de España SAU does not adequately resolve the competition problems arising from the behaviors subject to the reference file because “1st they do not sufficiently guarantee the public interest (93). 2nd they expressly maintain one of the provisions of the Premium Special SME Contracts: the establishment of permanence obligations associated with discounts on prices, which entail the application of penalties in case of breach (94). 3rd they do not sufficiently specify either the amount or the criteria that will be used to set penalties, although the increasing nature of the same is eliminated, replacing them with fixed penalties (95). 4th that although the automatic extension of the permanence obligations is nominally eliminated, there are no mechanisms established to prevent the establishment of measures of equivalent effect, which would lead to the tacit chaining of contracts with business customers (96). 5th that the scope of application of the commitments has been artificially limited to its current customers who have signed Premium Special SME Contracts, which implies that the door is left open for future customers to maintain an equivalent contractual system (97). 6th not enough mechanisms are introduced to ensure rapid and effective compensation for the harm to competition (98) nor would there be an immediate exit to the market of all customers who are bound by competition obligations due to discounts on prices, so that they can consciously and effectively choose whether to remain or contract with another operator (99 and 100). 7th finally, the validity of the proposed commitments, three calendar years, is very limited compared to the period during which the Premium Special SME Contracts have been in force, which limits the effectiveness and efficiency of the commitments (101).” SEVENTEENTH.- The dismissal of the Second Proposal of Commitments presented by Telefónica Móviles de España SAU led to two administrative actions: the first, the closure of the conventional termination procedure; and the second, the resumption of the maximum computation to resolve the file. Consequently, the Competition Directorate on April 1, 2014, under the provisions of Article 50.4 of Law 15/2007 of July 3, on Defense of Competition, submitted to this Competition Chamber the following Proposal for Resolution “PROPOSAL First.- That the existence of behaviors prohibited by article 1 of the LDC be declared, which give rise to a single and continuous conduct of this article, derived from the establishment by Telefónica Móviles de España SAU of a network of parallel agreements with its business customers, through the design and adoption of retail mobile communications service contracts based on the “Premium Special SME Contracts,” aimed at the SME segment, in which permanence commitments with increasing penalties for discounts on prices, automatic renewals, and notice periods are included, conditions that collectively have a restrictive object and effect on competition, by unduly and disproportionately limiting the ability of a significant portion of the business customers of Telefónica Móviles de España SAU, especially in the SME segment, to change their retail mobile communications service provider. Second.- That Telefónica Móviles de España SAU be declared responsible for said infringement. Third.- That the prohibited conduct be classified, for the purposes of determining the penalty to be imposed, as a serious infringement of Article 62.3.a) of the LDC. Fourth.- That the penalty provided for in article 63 of the LDC be imposed, taking into account the criteria for determining the penalty provided for in article 64 of the LDC. Fifth.- That the other pronouncements referred to in article 53 of the LDC be adopted, to the extent that they are relevant.”</w:t>
      </w:r>
    </w:p>
    <w:p>
      <w:r>
        <w:rPr>
          <w:b/>
        </w:rPr>
        <w:t>[Pages 130–132]</w:t>
      </w:r>
    </w:p>
    <w:p>
      <w:r>
        <w:t xml:space="preserve">to the sanction provided for in Article 63 of the LDC, taking into account the criteria for determining the sanction set forth in Article 64 of the LDC.  </w:t>
        <w:br/>
        <w:t xml:space="preserve">Fifth.- That the other pronouncements referred to in Article 53 of the LDC be adopted, as far as they are relevant.”  </w:t>
        <w:br/>
        <w:t>129</w:t>
      </w:r>
    </w:p>
    <w:p>
      <w:r>
        <w:t xml:space="preserve">Previously, the Competition Directorate established that “this set of parallel agreements has been in effect since September 19, 2006, until presumably the present” (299); and that, according to the provisions of Article 63 of the LDC, “the sanction may not exceed 5% of the total consolidated turnover in the previous year” (300) for which the turnover will be required along with the notification of this proposed resolution; and that for the calculation of the sanction “the provisions of Article 64 of the LDC, as well as the Communication from the National Competition Commission on the quantification of sanctions arising from infringements of Articles 1, 2, and 3, must be taken into account” (301).  </w:t>
        <w:br/>
        <w:t xml:space="preserve">To the detriment and contradiction of the above, the Competition Directorate establishes that “among other issues, it considers that for setting the amount, the retail turnover from mobile communications of Telefónica Móviles de España SAU, associated with the Premium Special SME Contracts, during the years 2006 to 2013 may be taken into account. This information will be required along with the notification of this Proposal for Resolution” (302).  </w:t>
        <w:br/>
        <w:t xml:space="preserve">EIGHTEENTH.- The Proposal for Resolution was notified to Telefónica Móviles de España SAU and to Orange, in compliance with the provisions of Article 50.4 of Law 15/2007 of July 3, on the Defense of Competition, for the purposes provided therein, with the possibility for them to submit any allegations they deem appropriate, practice evidence, and hearing within a period of fifteen days.  </w:t>
        <w:br/>
        <w:t xml:space="preserve">On March 31, 2014, a written statement of allegations from Telefónica Móviles de España SAU, requesting a hearing, was received by this National Commission of Markets and Competition. As well as a response to the request for information regarding its turnover.  </w:t>
        <w:br/>
        <w:t xml:space="preserve">On April 1, 2014, a written statement of allegations from Orange was received by this National Commission of Markets and Competition.  </w:t>
        <w:br/>
        <w:t xml:space="preserve">NINETEENTH.- This Competition Chamber on July 10, 2014, took the following Agreement of Requalification within the framework of this Sanctioning File S/0422/12 Contracts of Permanence:  </w:t>
        <w:br/>
        <w:t xml:space="preserve">“IT HAS AGREED  </w:t>
        <w:br/>
        <w:t xml:space="preserve">First.- To expand, prima facie, the field of legal norms by which the behaviors attributed to Telefónica Móviles de España SAU must be examined and resolved, in light of the provisions of Article 101 of the Treaty on the Functioning of the European Union under Regulation (EC) 1/2003 and this, without prejudice to the provisions of Article 1 of Law 15/2007 of July 3, on the Defense of Competition.  </w:t>
        <w:br/>
        <w:t xml:space="preserve">Second.- The requalification agreement is made under the provisions of Article 50 of Law 15/2007 of July 3, on the Defense of Competition and is duly communicated to all interested parties in this Sanctioning File: Telefónica Móviles de España SAU, Vodafone España S.A. (VODAFONE) and France Telecom España S.A. (ORANGE) so that they may submit any allegations they deem appropriate, within fifteen days following the notification of this Agreement.  </w:t>
        <w:br/>
        <w:t xml:space="preserve">Third.- In order to comply with the above, it is appropriate to suspend the maximum resolution period of this Sanctioning File.”  </w:t>
        <w:br/>
        <w:t xml:space="preserve">TWENTIETH.- In harmony with the Requalification Agreement adopted on July 10, 2014 (incorporation of the behaviors into Article 101 of the TFEU), on September 2, 2014, it was agreed to notify the Commission of the initiation of this Sanctioning File for the purposes provided in Article 11.4 of Regulation (EC) 1/2003, as well as the suspension of the maximum period for issuing this Resolution.  </w:t>
        <w:br/>
        <w:t xml:space="preserve">PROVEN FACTS  </w:t>
        <w:br/>
        <w:t xml:space="preserve">FIRST.- The parties in this Sanctioning File are:  </w:t>
        <w:br/>
        <w:t xml:space="preserve">1º TELEFÓNICA MÓVILES DE ESPAÑA SAU, a 100% subsidiary of Telefónica S.A., the parent company of the Telefónica Group.  </w:t>
        <w:br/>
        <w:t xml:space="preserve">In Spain, the main activities of the Telefónica Group are the operation of retail mobile telephony and fixed broadband services, as well as the provision of related wholesale services.  </w:t>
        <w:br/>
        <w:t xml:space="preserve">In Spain, Telefónica Móviles de España SAU operates mobile telephony services and markets them under the Movistar brand.  </w:t>
        <w:br/>
        <w:t xml:space="preserve">2º Other interested parties in the File are:  </w:t>
        <w:br/>
        <w:t>131</w:t>
      </w:r>
    </w:p>
    <w:p>
      <w:r>
        <w:t xml:space="preserve">- VODAFONE ESPAÑA S.A., a subsidiary of the Vodafone Group, the second mobile telephony operator worldwide, both by number of customers and by revenue.  </w:t>
        <w:br/>
        <w:t xml:space="preserve">In Spain, the main activity of VODAFONE is the operation of retail mobile telephony services, although it also provides retail fixed telephony and fixed broadband services. It also provides wholesale mobile telephony services.  </w:t>
        <w:br/>
        <w:t xml:space="preserve">- FRANCE TELECOM ESPAÑA S.A. (ORANGE) is a company controlled by the France Telecom Group, the third mobile telephony operator and the third ADSL internet access provider in Europe.  </w:t>
        <w:br/>
        <w:t xml:space="preserve">In Spain, the main activities of ORANGE are the provision of fixed telephony, mobile telephony, and internet access services, and it also provides wholesale mobile telephony services.  </w:t>
        <w:br/>
        <w:t xml:space="preserve">SECOND.- For the purposes of delineating the relevant market in this Sanctioning File, based on the investigated behaviors, it is stated that they “develop in the field of retail mobile communications services” and “their assessment will not be affected by the delineation of the upstream wholesale services markets.”  </w:t>
        <w:br/>
        <w:t xml:space="preserve">And it is stated that “from the demand perspective, it would be possible to differentiate between the residential segment and the business segment and, within the latter, between self-employed, SMEs, and large clients.”  </w:t>
        <w:br/>
        <w:t xml:space="preserve">Regarding the geographical market, it is national in scope, in accordance with both community and national precedents. Because, in general and homogeneously, mobile communications service operators maintain competitive strategies of a national nature, both in the retail field and in wholesale mobile communications services.  </w:t>
        <w:br/>
        <w:t xml:space="preserve">THIRD.- It is an undisputed fact that is beyond doubt that the Investigation Directorate of the National Competition Commission (now both defunct) “having become aware of certain conditions included in the contracts of VODAFONE ESPAÑA SAU, for the provision of mobile telephony services to end users and, specifically, some of the conditions applied in postpaid contracts with a commitment to permanence, which could unjustifiably hinder the change of operator, restricting competition in the retail field of telephony services.”  </w:t>
        <w:br/>
        <w:t>132</w:t>
      </w:r>
    </w:p>
    <w:p>
      <w:r>
        <w:rPr>
          <w:b/>
        </w:rPr>
        <w:t>[Pages 133–135]</w:t>
      </w:r>
    </w:p>
    <w:p>
      <w:r>
        <w:t>mobile”, on April 12, 2012, it requests that you provide information regarding this matter and submit the data specified in detail (pages 2 to 8). VODAFONE ESPAÑA SAU, on May 3, 2012, responds to the request (pages 153 to 306) which we consider fully reproduced, in order to avoid unnecessary repetitions and in which, for the purposes of this Sanctioning File, it summarizes:</w:t>
      </w:r>
    </w:p>
    <w:p>
      <w:r>
        <w:t>1. Prima facie, it specifies that it is important to differentiate between those customers who are registering for the first time “to whom the General Conditions of Postpaid Mobile Communication Services for Individuals apply, which will include permanence conditions, when applicable” and those existing customers of the Company “to whom, as a result of loyalty actions, the Special Loyalty Offer Contract for individual customers applies and which may also include permanence conditions.”</w:t>
      </w:r>
    </w:p>
    <w:p>
      <w:r>
        <w:t>“Both contracts are standardized generic texts that regulate, at the time of signing, the specific conditions of permanence: benefit, term, and maximum penalty, to which the customer may be obliged based on the benefit obtained, whether due to the subsidy on the terminal price or the application of discounts.”</w:t>
      </w:r>
    </w:p>
    <w:p>
      <w:r>
        <w:t>2. The permanence obligations (of 12, 18, or 24 months) as well as the penalties associated with their possible breach are linked to (i) the subsidy on the terminal price and/or (ii) the customer's choice of a specific pricing plan that would result in a greater subsidy of the terminal; or (iii) the contracting of a pricing plan corresponding to one of the VODAFONE tariffs ordered by tiers with a 20% discount on it, without terminal acquisition (hereinafter, “SIN-Only”, launched in May 2011 for acquisition customers and on April 10, 2012, for existing customers with a maximum permanence period of 12 months and which only involves the contracting of a SIM card both in acquisition and in loyalty).</w:t>
      </w:r>
    </w:p>
    <w:p>
      <w:r>
        <w:t>3. The penalties applied to individual customers, in the event that the permanence conditions linked to terminal subsidies are not met (either due to mere acquisition and/or due to acquisition along with the contracting of a specific tariff with a maximum of 18 or 24 months in both cases) aim to recover the investment made by VODAFONE in subsidizing the terminal to the end customer. Such penalties will be applied on a case-by-case basis, based on the following parameters:</w:t>
        <w:br/>
        <w:t>(a) Commitment period of permanence subscribed by the customer subject to acquisition or loyalty (before February 1, 2012: 18 or 24 months depending on the range of the subsidized terminal; from February 1, 2012: 24 months for all terminals; from April 10, 2012, only for loyalty customers as terminals are not subsidized in acquisition).</w:t>
        <w:br/>
        <w:t>(b) Range of the terminal acquired (high, medium, or low range) which will determine the amount subsidized to the customer.</w:t>
        <w:br/>
        <w:t>(c) Contracted tariff (when it is accompanied by a supplementary terminal reduction).</w:t>
        <w:br/>
        <w:t>(d) Time remaining to fulfill the permanence obligation: scaling of penalties based on the moment in which the breach of permanence occurs corresponding to: a) 3 segments of 6 months for 18-month permanences; b) 4 segments of 6 months for 24-month permanences; and c) 4 segments of 3 months for 12-month permanences; and whether the customer breaching the permanence period is new (acquisition) or existing (loyalty).</w:t>
      </w:r>
    </w:p>
    <w:p>
      <w:r>
        <w:t>The penalties that correspond to be applied for the breach of the permanence commitment linked to a specific pricing plan will be added, if applicable, to the penalties that correspond to be applied for failing to comply with the permanence commitment linked to the terminal subsidy.</w:t>
      </w:r>
    </w:p>
    <w:p>
      <w:r>
        <w:t>4. Similarly, the penalties that are applied to individual customers in the event that the 12-month permanence conditions in VODAFONE linked to SIM-Only are not met aim to recover part of the discount applied to the customer on the contracted tariff. As described in the previous point, the application of such penalties is also applied in segments (4 segments of 3 months). However, in this case, VODAFONE's “agreement” with the customer is that IF they remain with VODAFONE for 12 months, a 20% discount will be applied each month on the contracted tariff without terminal subsidy; if this commitment is NOT respected, at the time of the breach, the customer will be required to return the discount they have benefited from (in this case, the longer the time passes before the 12 months, the greater the penalty for breach of permanence, because the customer will have enjoyed greater discounts over the months).</w:t>
      </w:r>
    </w:p>
    <w:p>
      <w:r>
        <w:t>5. Currently, and unlike what happens with individual customers, VODAFONE continues to subsidize both in acquisition and in loyalty the mobile terminals to its business customers (except for mobile customers in acquisition) and therefore they will be subject to the permanence conditions that, in their case, apply to them. To this end, VODAFONE classifies business customers into four groups:</w:t>
        <w:br/>
        <w:t>- Self-employed: understood as such is any self-employed worker who regularly, personally, and directly carries out an economic activity for profit, without being subject to an employment contract and who, at the time of contracting electronic communication services from VODAFONE, has a CIF associated with their activity.</w:t>
        <w:br/>
        <w:t>- SOHO: small and medium enterprises that have a number of employees ranging from 1 to 5.</w:t>
        <w:br/>
        <w:t>- SMEs: small and medium enterprises that have a number of employees ranging from 6 to 50.</w:t>
        <w:br/>
        <w:t>- Corporate: large companies with 51 or more employees.</w:t>
      </w:r>
    </w:p>
    <w:p>
      <w:r>
        <w:t>6. According to VODAFONE, THE OBJECTIVE of these obligations arising (1) from the permanence commitments; (2) as well as the penalties for their possible breach, linked to the subsidy on the terminal price (maximum of 18 or 24 months); or (3) in certain cases linked to a discount on the tariff (only in SIM-Only) is none other than to recover the investment made by VODAFONE in acquiring the terminal from the manufacturer and delivering it subsidized to the end customer and/or the recovery of the costs derived from the application of discounts on the tariff to the customer.</w:t>
      </w:r>
    </w:p>
    <w:p>
      <w:r>
        <w:t>FOURTH.- It is an undeniable fact that the Investigation Directorate of the National Competition Commission (now both defunct) “having become aware of certain conditions included in the contracts of FRANCE TELECOM ESPAÑA SAU, Sole Proprietorship, (currently, ORANGE ESPAGNE SAU) for the provision of mobile phone services to end users and, specifically, some of the conditions that apply to postpaid contracts with permanence commitments, which could unjustifiably hinder the change of operator, restricting competition in the retail sector of mobile phone services,” on April 12, 2012, requests that you provide information regarding this matter and submit the data specified in detail (pages 2 to 8). FRANCE TELECOM ESPAÑA SAU, (currently, ORANGE ESPAGNE SAU) on April 26, 2012, responds to the request (pages 15 to 20) which we consider fully reproduced, in order to avoid unnecessary repetitions and in which, for the purposes of this Sanctioning File, it summarizes:</w:t>
      </w:r>
    </w:p>
    <w:p>
      <w:r>
        <w:t>1. Attached as DOCUMENT TWO is the mobile phone company contract where on the reverse side are the different existing permanence commitments in ORANGE, which the customer knows and accepts at the time of contracting. In the specific case that a customer wishes to acquire a terminal at a promotional price along with the contracting of a “SPEAK” or “SPEAK AND BROWSE” tariff, the customer may acquire based on the discount they have benefited from in the acquisition of the terminal or either a permanence commitment of 18 months in the postpaid service of Orange with a maximum charge of €150 for breach (€200 in case the duration is 24 months) for non-compliance; or additionally a permanence commitment of 18 months in voice tariff with a maximum charge of €50 for breach and if they acquire a high-end data terminal, an additional permanence commitment of 18 months in data tariff with a maximum charge of €100 for breach, since being higher-cost terminals...</w:t>
      </w:r>
    </w:p>
    <w:p>
      <w:r>
        <w:rPr>
          <w:b/>
        </w:rPr>
        <w:t>[Pages 136–138]</w:t>
      </w:r>
    </w:p>
    <w:p>
      <w:r>
        <w:t xml:space="preserve">subsidized, the customer must remain on the data plan along with the subsidized terminal for that plan.  </w:t>
        <w:br/>
        <w:t xml:space="preserve">2nd The only existing differences currently regarding the permanence commitments in the Residential market and the Business market are as follows:  </w:t>
        <w:br/>
        <w:t xml:space="preserve">- Regarding the Operator Permanence Commitment: in the Business market, there are always two commercial offers for the same terminal: one, with a greater discount than the other on the terminal price, which results in a 24-month operator permanence commitment if there is a greater discount; and 18 months for cases where the discount is lower. It is the customer who chooses whether they prefer a greater discount associated with a longer permanence commitment or, on the contrary, a shorter permanence commitment that will entail a lower discount on the acquisition of the terminal.  </w:t>
        <w:br/>
        <w:t xml:space="preserve">- Regarding the Tariff Permanence Commitment: while in the Residential market there is a single permanence commitment for the voice tariff (which would also apply in the case of a voice and data tariff on mobile, such as the DELFIN tariff) and a single permanence commitment for the data tariff on the computer (such as the IEW tariff) without them being cumulative; in the Business market, there are two permanence commitments for tariffs: one for voice and another different for data, which can accumulate both commitments.  </w:t>
        <w:br/>
        <w:t xml:space="preserve">Such differences are based on the differences in the amount of the discount that the customer benefits from in the acquisition of the terminal at a promotional price, as to ensure its recovery, the permanence commitment must be conditioned to the value of the contracted tariff.  </w:t>
        <w:br/>
        <w:t xml:space="preserve">FIFTH.- It is a certain fact that enjoys undoubted veracity that the Investigation Directorate of the National Competition Commission (both now defunct) "having become aware of certain conditions included in the contracts of TELEFÓNICA MÓVILES DE ESPAÑA SAU, for the provision of mobile telephony services to end users and, specifically, some of the conditions that apply to postpaid contracts with permanence commitment, which could unjustifiably hinder the change of operator, restricting competition in the retail field of mobile telephony services," on April 12, 2012, requests that it provide information in this regard and submit the data that it specifies in detail (pages 2 to 8). TELEFÓNICA MÓVILES DE ESPAÑA SAU, on April 25, 2012, responds to the request (pages 82 to 129) which we consider fully reproduced, in order to avoid unnecessary repetitions and in which, for the purposes of this Sanctioning File, it summarizes:  </w:t>
        <w:br/>
        <w:t xml:space="preserve">1st When requested for the specific conditions of the "Habla Movistar" tariff, my represented party understands that it refers to tariffs with specific conditions for calls made to Movistar (mobile and fixed). Within this tariff modality, the portfolio of Telefónica Móviles de España SAU indeed includes the "Habla Movistar" and "Habla Movistar y Navega" tariffs whose conditions are provided. And as can be seen in ANNEX I, the current tariffs have no type of permanence commitment. In the residential segment, this type of permanence commitments only apply when there is financial support in the acquisition of the terminal. Therefore, there are no clauses regarding the permanence obligations associated with the requested-contracted tariffs, nor extensions or prolongations of such permanence obligations, nor penalties provided in case of early termination.  </w:t>
        <w:br/>
        <w:t xml:space="preserve">2nd Regarding the "Con tu Negocio 24h" and "Con tu Negocio 24H+Internet" Models, just as happened with the previous request (=question), the conditions of the requested models do not refer to contracts but to a type of tariffs that do not carry any type of permanence commitment.  </w:t>
        <w:br/>
        <w:t xml:space="preserve">3rd In the "Premium Special SMEs Permanence Contract," the parties agree on a permanence period of 12, 18, or 24 months depending on the financial support received. And in ANNEX III, a copy of the models of "General Conditions for the provision of mobile communications services for SMEs" is provided. And the permanence commitment in the "General Conditions for the provision of mobile communications services for SMEs" is contemplated in the First Particular Condition.  </w:t>
        <w:br/>
        <w:t xml:space="preserve">I.- Permanence Commitment. In those cases where the customer receives from MOVISTAR financial support for the acquisition of a Terminal or other particularly advantageous conditions (hereinafter "the financial support") and when this has been expressly agreed and accepted by the customer, they commit to maintain the line that has been linked to the financial support in the Services and in a Price Plan that implies a commitment equal to or greater than that contracted for a certain number of months (hereinafter "permanence commitment"). The amount of financial support received and the number of months of their permanence commitment will be agreed with the customer on the front of the contract. The customer may unsubscribe from the Services at any time or switch to a Price Plan that implies a lower consumption commitment, although in these cases they must pay MOVISTAR an amount proportional to the financial support received and the number of months they have respected their permanence commitment. The aforementioned amount will be charged to the customer on their bill.  </w:t>
        <w:br/>
        <w:t xml:space="preserve">The above will also apply in the event of suspension of the Services and change of numbering. In the event of taking advantage of an offer of a terminal associated jointly with a certain Service Price Plan or associated modules, the customer must remain subscribed to that Plan or other compatible Plans, specifically detailed in the Blue Zone offer.  </w:t>
        <w:br/>
        <w:t xml:space="preserve">In the event that the financial support consists of the waiver or subsidy of part of the monthly fees for the services contracted by the customer, the amounts that the customer must return to MOVISTAR in case of any of the aforementioned breaches will consist, for each line in which this breach occurs, of the amount of the monthly fees whose waiver or subsidy they have enjoyed. The Contract entered into with this type of financial support will be automatically renewed for successive periods of 12 months. Regarding the financial support itself, the renewal will be carried out according to the conditions in force for the contracted services at the time of each renewal.  </w:t>
        <w:br/>
        <w:t xml:space="preserve">The contract will be renewed unless expressly notified otherwise by the Customer or MOVISTAR with a minimum notice of 1 month prior to the expiration date of the initial permanence period or the corresponding to each of its extensions.  </w:t>
        <w:br/>
        <w:t xml:space="preserve">The customer is informed that there is the possibility of acquiring the same or other terminals or contracting the same Services without receiving financial support and, therefore, without permanence commitment.  </w:t>
        <w:br/>
        <w:t xml:space="preserve">SIXTH.- It is an objective fact, that enjoys undoubted veracity, that the Investigation Directorate, based on the permanence contracts that the three operators have signed with their customers, which have been detailed in the previous proven facts, proceeded  </w:t>
        <w:br/>
        <w:t xml:space="preserve">(1) To exempt VODAFONE ESPAÑA S.A., and ORANGE ESPAGNE SAU, understanding implicitly that their conduct did not constitute a violation of Article 1 of Law 15/2007 of July 3, on the Defense of Competition.  </w:t>
        <w:br/>
        <w:t xml:space="preserve">(2) Without any express motivation in this regard.  </w:t>
        <w:br/>
        <w:t xml:space="preserve">SEVENTH.- In harmony and concordance with all the above and as proven in this Sanctioning File (paragraphs 139, 140, and 141), it must be undoubtedly CONCLUDED by saying:  </w:t>
        <w:br/>
        <w:t>(1) According to the information contained in the File, during the period from 2008 to mid-2012, the three</w:t>
      </w:r>
    </w:p>
    <w:p>
      <w:r>
        <w:rPr>
          <w:b/>
        </w:rPr>
        <w:t>[Pages 139–141]</w:t>
      </w:r>
    </w:p>
    <w:p>
      <w:r>
        <w:t>Mercado de las Telecomunicaciones, determinar si las condiciones de los</w:t>
        <w:br/>
        <w:t>compromisos de permanencia son similares o no entre los tres operadores</w:t>
        <w:br/>
        <w:t>analizados” y, por otro lado, en el mismo contexto, sostiene que “la</w:t>
        <w:br/>
        <w:t>documentación aportada por Telefónica Móviles de España SAU no permite</w:t>
        <w:br/>
        <w:t>determinar si las condiciones de los compromisos de permanencia son</w:t>
        <w:br/>
        <w:t>similares o no entre los tres operadores analizados”.</w:t>
        <w:br/>
        <w:t>Por lo tanto, la Dirección de Investigación no puede sostener que la</w:t>
        <w:br/>
        <w:t>documentación presentada por Telefónica Móviles de España SAU es</w:t>
        <w:br/>
        <w:t>insuficiente para determinar la similitud de las condiciones de los</w:t>
        <w:br/>
        <w:t>compromisos de permanencia, cuando previamente ha afirmado que no es</w:t>
        <w:br/>
        <w:t>posible determinar dicha similitud con la información de un informe</w:t>
        <w:br/>
        <w:t>externo.</w:t>
        <w:br/>
        <w:t>7º En conclusión, la Dirección de Investigación ha llevado a cabo una</w:t>
        <w:br/>
        <w:t>instrucción adecuada y conforme a derecho, habiendo respetado los</w:t>
        <w:br/>
        <w:t>derechos de defensa de las partes interesadas y garantizando el</w:t>
        <w:br/>
        <w:t>principio de legalidad en el procedimiento. Por lo tanto, se desestiman</w:t>
        <w:br/>
        <w:t>las alegaciones formuladas por las partes interesadas en este</w:t>
        <w:br/>
        <w:t>Expediente Sancionador.</w:t>
      </w:r>
    </w:p>
    <w:p>
      <w:r>
        <w:rPr>
          <w:b/>
        </w:rPr>
        <w:t>[Pages 142–144]</w:t>
      </w:r>
    </w:p>
    <w:p>
      <w:r>
        <w:t>la Competencia, en el ámbito de la autonomía de la voluntad, y por tanto, su validez y cumplimiento no pueden ser cuestionados, siempre que se respeten las condiciones de validez establecidas en el Código Civil.</w:t>
      </w:r>
    </w:p>
    <w:p>
      <w:r>
        <w:t>8º En conclusión, los contratos de permanencia suscritos entre las operadoras y los clientes son válidos y vinculantes, y cualquier incumplimiento de las obligaciones asumidas por las partes puede dar lugar a la aplicación de las penalizaciones pactadas, así como a la reclamación de daños y perjuicios que se deriven de dicho incumplimiento.</w:t>
      </w:r>
    </w:p>
    <w:p>
      <w:r>
        <w:t>9º Por lo tanto, es necesario que las partes actúen de buena fe y cumplan con las obligaciones contractuales asumidas, en aras de mantener la estabilidad y la confianza en las relaciones comerciales en el sector de las telecomunicaciones.</w:t>
      </w:r>
    </w:p>
    <w:p>
      <w:r>
        <w:rPr>
          <w:b/>
        </w:rPr>
        <w:t>[Pages 145–147]</w:t>
      </w:r>
    </w:p>
    <w:p>
      <w:r>
        <w:t xml:space="preserve">Competitiveness, protected by the provisions in paragraphs 2, 3, 4, and 5 of Article 1, under which this Sanctioning File has been instructed. For the triple cause required iuris tantum and iuris et de iure. </w:t>
        <w:br/>
        <w:t xml:space="preserve">1st. To be contracts protected by private law. </w:t>
        <w:br/>
        <w:t xml:space="preserve">2nd. To be contracts that, in any case, have legal protection in accordance with the provisions of the Competition Defense Law. </w:t>
        <w:br/>
        <w:t xml:space="preserve">3rd. To be contracts that, in no way and in any case, affect the general interest, nor that of consumers and users. </w:t>
        <w:br/>
        <w:t xml:space="preserve">4th. And to be contracts that have been known and authorized ex ante by the former Telecommunications Market Commission, as we will subsequently demonstrate. </w:t>
        <w:br/>
        <w:t xml:space="preserve">An additional item establishes in the legal norm a maximum initial duration of 24 months for electronic communications service contracts. </w:t>
        <w:br/>
        <w:t xml:space="preserve">THIRD.- By virtue of what is established, this Competition Chamber understands that the so-called loyalty contracts in no way affect competition and therefore cannot be classified as infringing conduct under Article 1 of Law 15/2007 of July 3, on Competition Defense. </w:t>
        <w:br/>
        <w:t xml:space="preserve">And so understood, at the time, by the very Investigation Directorate of the National Competition Commission (now both defunct) when it made the decision agreeing not to charge ORANGE ESPAGNE SAU and VODAFONE ESPAÑA S.A. And this, when the conduct attributable to the three operators was initially and essentially the same: the loyalty contracts, which have the same reciprocally binding elements: consent, object, and cause; and which produce the same effects, among themselves and vis-à-vis third parties with erga omnes value. </w:t>
        <w:br/>
        <w:t xml:space="preserve">The charge that the Investigation Directorate (now defunct) maintains against TELEFÓNICA MÓVILES DE ESPAÑA SAU lacks legal justification due to the absence of cause; at the same time, it is discriminatory and arbitrary and violates what is provided in Article 9 of the Spanish Constitution, which expressly guarantees, on the one hand, "the principles of legality and legal certainty" and, on the other, requires "the responsibility and the prohibition of arbitrariness of public powers." </w:t>
        <w:br/>
        <w:t xml:space="preserve">And in argumentation to the contrary, the exoneration of the other two operators, without motivation, constitutes a violation of what is provided in Article 54 of Law 30/1992 of November 26, on the Legal Regime of Public Administrations and the Common Administrative Procedure. </w:t>
        <w:br/>
        <w:t xml:space="preserve">FOURTH.- It is pertinent to note the established doctrine of the Third Chamber, of Administrative Litigation, of the Supreme Court when addressing the prohibition of administrative and/or judicial bodies from violating the duty to motivate judicial and/or administrative decisions that guarantee Articles 24.1 and 120.3 of the Spanish Constitution, as it constitutes an essential guarantee for the litigant "by which it is possible to verify that the decision made is the result of the reasoned application of the Legal Order and not the fruit of arbitrariness and that it imposes not only the obligation to provide a reasoned response to the claims made, but also that this must have a legal content" (among others, SSTC 118/2006 of April 24; 67/2007 of March 27; 44/2008 of March 10; 139/2009 of June 15; 160/2009 of June 29). </w:t>
        <w:br/>
        <w:t xml:space="preserve">And this in order not to produce defenselessness to the party. </w:t>
        <w:br/>
        <w:t xml:space="preserve">Consequently, this COMPETITION CHAMBER understands it appropriate to expressly declare the non-initiation of sanctioning proceedings and the filing of the actions, by virtue and under the protection of the previous establishments. </w:t>
        <w:br/>
        <w:t xml:space="preserve">FIFTH.- Furthermore, the Telecommunications Market Commission until the creation of this National Commission of Markets and Competition (under Law 3/2013 of June 4) was by the mandate of its creation law the only competent authority to know and resolve on the telecommunications market. </w:t>
        <w:br/>
        <w:t xml:space="preserve">Even currently, and after the creation of this Commission, its provisions, reports, and market assessments have relevant value and must be taken into consideration as doctrine to follow. </w:t>
        <w:br/>
        <w:t xml:space="preserve">The Telecommunications Market Commission since the year 2000 has been issuing Resolutions and Circulars that apply to this File. Thus, without the intention of exhausting them (numerus clausus), it is appropriate to record the following: </w:t>
        <w:br/>
        <w:t xml:space="preserve">1st Resolution RO 2006/422. </w:t>
        <w:br/>
        <w:t xml:space="preserve">"The Telecommunications Market Commission has assessed the establishment of loyalty clauses in File RO 2006/422 opened by virtue of the complaint filed by the ASSOCIATION FOR CIVIL, ECONOMIC AND SOCIAL RIGHTS and by THE UNION OF CONSUMERS OF SPAIN against Telefónica Móviles de España SAU and Vodafone España S.A." </w:t>
        <w:br/>
        <w:t xml:space="preserve">In said file, the AGREEMENT was made in which the following RESOLUTION is approved, which ends the prior information period regarding certain clauses of the standard contracts of Telefónica Móviles de España SAU and VODAFONE ESPAÑA S.A., and it is agreed not to initiate sanctioning proceedings." </w:t>
        <w:br/>
        <w:t xml:space="preserve">AND RESOLVES: FIRST.- To proceed with the filing of the file in relation to the complaints filed by the Association for Civil, Economic and Social Rights and by the Union of Consumers of Spain against TELEFÓNICA MÓVILES DE ESPAÑA SAU and VODAFONE ESPAÑA S.A., and to declare the reference prior information period concluded. </w:t>
        <w:br/>
        <w:t xml:space="preserve">Previously, in the Legal Basis Third "Assessment of the actions carried out during the prior information period" it is literally established: </w:t>
        <w:br/>
        <w:t xml:space="preserve">a) Regarding the effects of the loyalty clause introduced by TME and Vodafone. </w:t>
        <w:br/>
        <w:t xml:space="preserve">By virtue of the competence enabling provision established by Article 48.3.g) of the General Telecommunications Law, by Resolution of this Commission of February 2, 2006 (published in the BOE of February 10, 2006) the definition and analysis of the market for access and origination of calls in public mobile telephone networks was approved, the designation of operators with significant market power, and the imposition of specific obligations (AEM 2005/933). </w:t>
        <w:br/>
        <w:t xml:space="preserve">The aforementioned Resolution highlights the importance that at the retail level – a market that is not subject to ex ante obligations according to the criteria defined in the new regulatory framework – portability between mobile phone operators has as an instrument to promote competition. The Resolution also refers to the terminal subsidy policy as a competitive variable. As a consequence of this policy, the subscription to loyalty commitments has developed as a general practice in the retail mobile phone market, adopted not only by traditional mobile network operators but also by new entrants such as Xfera (Yoigo) or Euskaltel. The loyalty clause can therefore have neutral or even favorable effects for the consumer, particularly if the offer represents an improvement over other promotions (as may be the case with the terminal subsidy policy) and provides for compensations proportional to the discount received by the user when subscribing to the promotion. </w:t>
        <w:br/>
        <w:t>From the aforementioned Resolutions, it follows, therefore, that the subscription by mobile phone service subscribers</w:t>
      </w:r>
    </w:p>
    <w:p>
      <w:r>
        <w:rPr>
          <w:b/>
        </w:rPr>
        <w:t>[Pages 148–150]</w:t>
      </w:r>
    </w:p>
    <w:p>
      <w:r>
        <w:t>commitments to remain in exchange for certain advantages should not imply a barrier to portability.</w:t>
      </w:r>
    </w:p>
    <w:p>
      <w:r>
        <w:t>It can therefore be concluded that the contractual modifications introduced by TME and VODAFONE do not constitute a cause that could delay the execution of portability.</w:t>
      </w:r>
    </w:p>
    <w:p>
      <w:r>
        <w:t>b) Regarding the recent modifications introduced by TME and VODAFONE in the permanence clause.</w:t>
      </w:r>
    </w:p>
    <w:p>
      <w:r>
        <w:t>The permanence clause introduced by TME and VODAFONE is part of the relationship established between mobile phone operators and their subscribers, through the corresponding contracts. TME indicates that the permanence clause is only applicable when expressly agreed upon and always in the presence of financial support from the operator whose service is contracted (terminal subsidy; special price offers compared to those marketed generally, such as the contracting of a rate that generally entails a monthly fee of 3 euros, which is eliminated in exchange for a commitment to remain with the Movistar service for a certain number of months). Similar considerations are made by VODAFONE regarding the permanence clause subscribed with its subscribers in the case of a terminal subsidy by this operator.</w:t>
      </w:r>
    </w:p>
    <w:p>
      <w:r>
        <w:t>The minimum content of the contract regulating the relationship between the subscriber and the mobile phone operator, including the commitment to remain as a particular condition, has been subject to recent modifications sponsored by the relationships established between operators and the Secretary of State for Telecommunications and the Information Society. The ultimate goal of these modifications has been, according to the operators, to clarify the terms in which the operator-subscriber relationship is framed.</w:t>
      </w:r>
    </w:p>
    <w:p>
      <w:r>
        <w:t>In particular, it is relevant to reproduce the recent modifications related to the commitment to remain to be subscribed by the subscribers, effective from March 1, 2007, made within the framework of the adaptation process to the new legal framework established by the entry into force of Law 44/2006 of December 30, which modifies Law 26/1984 of July 19, General for the Defense of Consumers and Users.</w:t>
      </w:r>
    </w:p>
    <w:p>
      <w:r>
        <w:t>According to the new wording in TME contracts, "in those cases where the customer receives from TELEFÓNICA MÓVILES DE ESPAÑA SAU financial support for the acquisition of a terminal or other particularly advantageous commercial conditions (hereinafter 'financial support') and when this has been expressly agreed and accepted by the customer, the customer commits to maintain the line linked to the financial support in the Movistar service and in a pricing plan that implies a consumption commitment equal to or greater than that contracted, for a specified number of months (hereinafter 'commitment to remain'). The amount of the financial support received and the number of months of the commitment to remain will be those agreed with the customer on the front of the contract. The customer may unsubscribe from the Movistar service at any time or switch to a pricing plan that implies a lower consumption commitment; however, in these cases, they must pay TELEFÓNICA MÓVILES DE ESPAÑA SAU an amount proportional to the financial support received and the number of months they have respected their commitment to remain. The aforementioned amount will be charged to the customer on their bill. The above will also apply in the case of definitive service interruption, change of ownership, and change of number. The customer is informed that there is the possibility of acquiring the same or other terminals or contracting the same services without receiving financial support and, therefore, without a commitment to remain."</w:t>
      </w:r>
    </w:p>
    <w:p>
      <w:r>
        <w:t>According to TME, the specific amount to be paid by the subscriber in the event of non-compliance with the commitment to remain will in any case be proportional to the financial support received/economic savings from which the customer has benefited and to the number of months that the commitment to remain has been respected.</w:t>
      </w:r>
    </w:p>
    <w:p>
      <w:r>
        <w:t>Regarding VODAFONE, the new commitment to remain is worded as follows: "The customer commits to remain registered under this Contract with the line linked to it for the following eighteen (18) months, counted from the date of signing the Contract. In the event of early termination by the Customer for any reason, definitive suspension of the Service due to the Customer's non-payment of amounts owed to Vodafone, or switching from the contracted pricing plan to another pricing plan with a lower minimum consumption commitment, the Customer will pay Vodafone an amount that may be up to a maximum of 150 euros (excluding indirect taxes) as compensation for the subsidy obtained from Vodafone as a discount on the market price of the terminal. All of the above is understood without prejudice to what may be agreed upon in a subsequent particular condition between Vodafone and the Customer, if applicable."</w:t>
      </w:r>
    </w:p>
    <w:p>
      <w:r>
        <w:t>According to VODAFONE, the specific amount to be paid by the subscriber in the event of non-compliance with the commitment to remain is calculated proportionally to the degree of non-compliance with the commitment, depending therefore on the moment when the customer requests to unsubscribe from the service, and there is a scale of the amount to be paid starting from the sixth and twelfth month of the contract.</w:t>
      </w:r>
    </w:p>
    <w:p>
      <w:r>
        <w:t>According to Article 105 of the General Telecommunications Law, "consumers who are natural persons and other end users shall have the right to enter into contracts with operators that provide connection or access to the public telephone network. The general regulations on consumer and user protection shall apply to the formalization of the contract." For the purposes of this file, it is particularly relevant to reiterate the applicability of Law 26/1984 of July 19, General for the Defense of Consumers and Users, recently modified by Law 44/2006 of December 29.</w:t>
      </w:r>
    </w:p>
    <w:p>
      <w:r>
        <w:t>For all these reasons and given the analyzed elements, it is not inferred that it is advisable to initiate the corresponding procedure by this Commission. Without prejudice to the fact that the reported facts may be examined, if applicable, by the ordinary courts of civil jurisdiction in light of the current regulations on consumer and user protection.</w:t>
      </w:r>
    </w:p>
    <w:p>
      <w:r>
        <w:t>-----0-----</w:t>
      </w:r>
    </w:p>
    <w:p>
      <w:r>
        <w:t>2nd AGREEMENT of the Council of the Telecommunications Market Commission of December 18, 1997, within the framework of File R 3946.</w:t>
      </w:r>
    </w:p>
    <w:p>
      <w:r>
        <w:t>"On November 2, 2006, a letter was received at the Registry of the Telecommunications Market Commission from the CONSUMERS IN ACTION ASSOCIATION-FACUA (hereinafter FACUA) requesting this Telecommunications Market Commission to take appropriate sanctioning and corrective measures regarding the billing of invoices to certain users of ESTO ES ONO SAU (hereinafter, ONO), in which a certain amount has been improperly billed to its subscribers as a penalty for unsubscribing from the service.</w:t>
      </w:r>
    </w:p>
    <w:p>
      <w:r>
        <w:t>FACUA understands that ONO has committed an infringement of Law 26/1984 of July 19, General for the Defense of Consumers and Users."</w:t>
      </w:r>
    </w:p>
    <w:p>
      <w:r>
        <w:rPr>
          <w:b/>
        </w:rPr>
        <w:t>[Pages 151–153]</w:t>
      </w:r>
    </w:p>
    <w:p>
      <w:r>
        <w:t>Consumers and Users, as the penalties for early termination do not appear in the contracts or, even if they do appear, they have not been duly communicated to the subscribers. In the case at hand, regardless of the legal qualification of the practices within the framework of consumer protection, this Commission considers that the facts presented by FACUA are not within the competence of this Commission and must therefore be analyzed by the ordinary courts of civil jurisdiction in light of the current regulations on consumer and user protection. In light of the above, it can be concluded that the competence to address this complaint does not correspond to the Telecommunications Market Commission, but rather to the ordinary jurisdiction in relation to the defense of consumers and users and to the Ministry of Industry, Trade and Tourism. SIXTH.- This Sanctioning File is, in any case, subject to the doctrine of the principle of legitimate trust in and in acts emanating from the Administration, derived from the constitutional principle of legal certainty under Article 9 CE, as it "is an inspiring principle of administrative action" recognized today by Article 3.1 of Law 30/1992 of November 26, on the Legal Regime of Public Administrations and the Common Administrative Procedure, following the reform carried out by Law 4/1999 of January 13. Law 4/1999 establishes in its Explanatory Memorandum that "firstly, in the Preliminary Title, the principles of action of Public Administrations, derived from legal certainty, are introduced. On the one hand, the principle of good faith, applied by the contentious-administrative jurisdiction, even before its reception by the Preliminary Title of the Civil Code. On the other hand, the well-known principle in European procedural law and also recognized by the contentious-administrative jurisprudence of the legitimate trust of citizens that the actions of Public Administrations cannot be arbitrarily altered." "And they must also respect the principles of good faith in their actions" "serving the general interests objectively... with full submission to the law and to the Law" under Article 103 of the Spanish Constitution. SEVENTH.- By way of conclusion, this Competence Chamber considers it appropriate to make some observations as obiter dictum: 1st As this newly formed National Commission of Markets and Competition (formerly Law 3/2013 of June 4) constitutes a uniform whole, encompassing all sectors of economic activity, including Competition and Telecommunications (in this specific case and File), it would be incomprehensible for this Competence Chamber to knowingly and arbitrarily ignore the Resolutions and Circulars issued by the former Telecommunications Market Commission, now the General Directorate, and consequently issue Resolutions against logic and reason (jurisprudential and constitutional doctrine). 2nd The Directorate of Investigation qualifies the conduct of Telefónica Móviles de España S.A.U. as serious. Certainly, the file lacks prior and sufficient motivation to reach such a conclusion, which would constitute a violation, among others, of Article 54 of Law 30/1992 of November 26, on the Legal Regime of Public Administrations and the Common Administrative Procedure. 3rd Finally, in light of the previous statements, this COMPETENCE CHAMBER, in any case, understands that it is not appropriate to examine the conduct attributed to TELEFÓNICA MÓVILES DE ESPAÑA SAU, for alleged infringing practices of Article 1 of Law 15/2007 of July 3, on the Defense of Competition and Article 101 of the Treaty on the Functioning of the European Union, as they have not affected free competition. Without prejudice to the above and ad cautelam, let the exclusive mandates of the cited articles in their sections three and three, respectively, be recorded. Having seen the cited precepts and others of general application, this COMPETENCE CHAMBER of the National Commission of Markets and Competition, in the Plenary Session held today HAS RESOLVED UNIQUE.- To declare the non-appropriateness of initiating sanctioning proceedings and the filing of the actions taken against TELEFÓNICA MÓVILES DE ESPAÑA SAU, for the non-existence of conduct prohibited by Article 1 of Law 15/2007 of July 3, on the Defense of Competition, described and instructed within the framework of the Sanctioning File S/0422/12 Contracts of Permanence. Communicate this Resolution to the Directorate of Competition and notify all interested parties, informing them that there is no appeal against it in this prior administrative route, which can be done within TWO MONTHS counted from the day following its notification, before the contentious-administrative jurisdiction: the National Court.”</w:t>
      </w:r>
    </w:p>
    <w:p>
      <w:r>
        <w:rPr>
          <w:b/>
        </w:rPr>
        <w:t>[Pages 154–156]</w:t>
      </w:r>
    </w:p>
    <w:p>
      <w:r>
        <w:t>DISSENTING OPINION formulated by Counselor Mr. Benigno Valdés Díaz regarding the present Resolution, approved in the Plenary Session of the COMPETITION ROOM of the CNMC on October 29, 2014, within the framework of File S/0422/12 CONTRACTS OF STAY.</w:t>
        <w:br/>
        <w:t>My disagreement is expressed as follows:</w:t>
        <w:br/>
        <w:t>PREAMBLE.</w:t>
        <w:br/>
        <w:t>For the determination of the sanction, the Resolution applies the Communication on Sanctions approved by the Council of the now-defunct CNC on February 6, 2009. For the reasons set forth in this PREAMBLE, I consider that this method of determining sanctions is inappropriate as it does not conform to what is established in Law 15/2007, of July 3, on the Defense of Competition.</w:t>
        <w:br/>
        <w:t>ON THE SANCTIONING REGIME PROVIDED IN THE CURRENT LEGISLATION ON DEFENSE OF COMPETITION</w:t>
        <w:br/>
        <w:t>(I) “Sales volume” vs. “total business volume” of the infringing company</w:t>
        <w:br/>
        <w:t>Article 10 of Law 16/1989, of July 17, on the Defense of Competition, states:</w:t>
        <w:br/>
        <w:t>“[...] fines of up to 150,000,000 pesetas, an amount that may be increased by up to 10% of the sales volume corresponding to the economic year immediately prior to the resolution of the Court.”</w:t>
        <w:br/>
        <w:t>And Article 63.1 (a), (b), and (c) of Law 15/2007, of July 3, on the Defense of Competition, states:</w:t>
        <w:br/>
        <w:t>“The competent authorities may impose [...] the following sanctions: Minor infringements [...] with a fine of up to 1% [...], serious infringements with a fine of up to 5% [...], [and] very serious infringements with a fine of up to 10% of the total business volume of the infringing company in the year immediately prior to the imposition of the fine.”</w:t>
        <w:br/>
        <w:t>What difference exists between “sales volume” and “total business volume” of a company? In my opinion, from a linguistic point of view, none: the sales volume of a company is its business volume, and the term “total” adds nothing to that concept; it merely makes its name a pleonasm (“I have seen it.” “I have seen it with my own eyes”). However, the matter is of enormous importance in the application of the sanctioning regime provided in Law 15/2007: What should we understand by the total business volume of the infringing company, the company's turnover in all markets in which it operates or only in the market in which it commits the infringement?</w:t>
        <w:br/>
        <w:t>There are those who believe that the incorporation of the term “total” in Law 15/2007 makes it much more precise than its predecessor, Law 16/1989, which does not incorporate that term. The argument is that the word “total” implies that the concept “sales volume” or “business volume” refers to the entirety of the income obtained by the company, regardless of the number of goods it produces and the markets affected by the infringement. That the same question could have been raised in relation to Law 16/1989 (See STS, Administrative Chamber, November 11, 2009, in cassation appeal number 1246/2006), which does not incorporate that term, demonstrates that the real problem (should a infringing company be sanctioned based on the income obtained in the market in which it has committed the infringement, or based on the income obtained in all markets in which it operates, including those in which it has not committed any infringement?) does not have a semantic solution. We must address the issue with instruments other than merely linguistic; and, as we will see, those instruments exist.</w:t>
        <w:br/>
        <w:t>My starting point is, first, Article 3 of the Civil Code, which establishes: “1. The norms shall be interpreted [...] fundamentally considering [their] spirit and purpose”; and second, the Preamble of Law 15/2007, of July 3, on the Defense of Competition, which summarizes “the spirit and purpose” of the Law itself: to provide a well-articulated system that, “without unnecessarily intervening in the free decision-making of businesses, [allows us] to have the appropriate instruments to ensure the proper functioning of the market.”</w:t>
        <w:br/>
        <w:t>In order to apply those principles to the present case, let us classify companies into two groups: those that produce a good and operate in a single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As the analysis is analogous in all cases, we will stick to the proposed one).</w:t>
        <w:br/>
        <w:t>Well then, let us consider a company that produces three goods: B1, B2, and B3 and operates in the corresponding markets: MB1, MB2, and MB3. Let us imagine that it commits an infringement that disrupts the proper functioning of market MB1, but without affecting markets MB2 and MB3, in which the company behaves exemplary. To determine the sanction, should we use the “business volume” in market MB1 (whose “proper functioning” the company has distorted), or the “business volume” in all markets in which it operates, including MB2 and MB3, whose “proper functioning” it has not distorted at all?</w:t>
        <w:br/>
        <w:t>If the answer is “all” the business volume, then the Law becomes absurd. Indeed: as we have pointed out, its purpose is to provide a well-articulated system that, “without unnecessarily intervening in the free decision-making of businesses, [allows us] to have the appropriate instruments to ensure the proper functioning of the market.” Based on that,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that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the free decision-making of businesses.”</w:t>
        <w:br/>
        <w:t>In summary, if, as Article 3 of the Civil Code states, norms must be interpreted “fundamentally considering [their] spirit and purpose,” then by “total business volume of the infringing company” it must be understood, exclusively, “the income obtained by the company in the market affected by the infringement.”</w:t>
        <w:br/>
        <w:t>(II) Process for determining sanctions</w:t>
        <w:br/>
        <w:t>Law 15/2007, on the Defense of Competition, establishes the mathematical intervals in which sanctions must be situated in terms of the % of the business volume of the infringing company in the market [affected by the infringement] in the year immediately prior to the imposition of the fine, and taking into account the elements considered in its Article 64.</w:t>
        <w:br/>
        <w:t>Indeed, that Law, and its interpretation by the National Court (see SAN 4598/2012, Appeal 188/2012, of December 23, 2013), establish that, based on Articles 62, 63, and 64, the sanctioning body determines a specific percentage within the interval (0%,1%) when the infringement is minor, (0%,5%) when it is serious, and (0%,10%) when it is very serious, a percentage that, when applied to the “business volume of the infringing company [in the affected market] in the year immediately prior to the imposition of the fine,” results in the amount of the fine. In other words, the Law operates in the sense of “% of the business volume in the year... → amount of the fine.”</w:t>
        <w:br/>
        <w:t>It is not provided in it that the sanctioning body endows itself with a method for determining the fine that operates in the opposite direction, that is, to first determine the amount of the fine and then, as a residue, the percentage it represents over the “business volume of the infringing company in the year immediately prior to the imposition of the sanction”: “amount of the fine → % of the business volume in the year...”</w:t>
        <w:br/>
        <w:t>Setting aside whether that way of proceeding is in accordance with the Law or not, the truth is that, when it operates in that way, the sanctioning body exposes itself to facing certain “anomalies”; for example, that the percentage thus obtained is higher than the 1%, 5%, or 10% that the Law establishes as a ceiling for, respectively, minor, serious, and very serious infringements.</w:t>
        <w:br/>
        <w:t>An example of the above is the method for determining fines present in the Communication on Sanctions approved by the Council of the now-defunct CNC on February 6, 2009, and to which I will proceed to analyze next.</w:t>
      </w:r>
    </w:p>
    <w:p>
      <w:r>
        <w:rPr>
          <w:b/>
        </w:rPr>
        <w:t>[Pages 157–159]</w:t>
      </w:r>
    </w:p>
    <w:p>
      <w:r>
        <w:t xml:space="preserve">(III) "Communication" of the now-defunct CNC on the quantification of sanctions.  </w:t>
        <w:br/>
        <w:t xml:space="preserve">(1) The method used by the now-defunct CNC consists of obtaining what the Communication refers to as the "basic amount" of the sanction, as follows: where, depending on the severity of the infringement and whether the good or service in question is an input capable of producing cascading effects in the production of other goods or services; i=1, the last year in which we know the infringement occurred, so that i=2 is the penultimate, i=3 the antepenultimate,..., i=T the first; is the value of the sales of the infringing company in the affected market in year i; and is a weighting factor that takes the value 1 when i=1, 0.75 when i=2, 0.50 when i=3, 0.25 when i=4, etc.; that is: represents the weighted value of the sales of the infringing company in the affected market in the last year in which it committed the infringement, 75% of the weighted value of the sales in the penultimate year of the infringement, etc.  </w:t>
        <w:br/>
        <w:t xml:space="preserve">Once IB is obtained, the effective sanction, S, is obtained by multiplying IB by a correction factor, C, which takes values C &gt;1 when the sum of the aggravating factors is greater than that of the mitigating factors, C &lt;1 when the opposite occurs, and C =1 when both sum equally or simply do not exist. That is,  </w:t>
        <w:br/>
        <w:t xml:space="preserve">If S is within the sanctioning intervals established by law, S becomes the effective sanction; but if it is greater than the maximum contemplated in the Law, then that maximum will apply.  </w:t>
        <w:br/>
        <w:t xml:space="preserve">(2) Given that by "total turnover of the infringing company" we have resolved that it should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before. In the first case:  </w:t>
        <w:br/>
        <w:t xml:space="preserve">Thus the effective sanction is:  </w:t>
        <w:br/>
        <w:t xml:space="preserve">Consequently:  </w:t>
        <w:br/>
        <w:t xml:space="preserve">(a.1) If there are no aggravating or mitigating factors, or if both weigh equally, then C =1 and is much greater than the maximum sanction contemplated in Law 15/2007 for very serious infringements, 10% of , because (10%, 30%):  </w:t>
        <w:br/>
        <w:t xml:space="preserve">&gt;0.1. With more reason, therefore, it exceeds the ceiling for serious and minor infringements, 5% of and 1% of , respectively.  </w:t>
        <w:br/>
        <w:t xml:space="preserve">(a.2) If the aggravating factors sum more than the mitigating factors, C &gt;1 and we are in the same situation, although more exaggerated: 0.1.  </w:t>
        <w:br/>
        <w:t xml:space="preserve">(a.3) If the aggravating factors sum less than the mitigating factors, C &lt;1 and , although it is unimaginable for a C &lt;1 to be sufficiently small to make &lt;0.1 (and let alone to make it less than 0.05 or ).  </w:t>
        <w:br/>
        <w:t xml:space="preserve">That is, when the last year in which the company committed the infringement is the year prior to the one in which the sanction is imposed, the system [1]-[2] generates, by construction, fines that are always the maximum contemplated by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provided by the legislator).  </w:t>
        <w:br/>
        <w:t xml:space="preserve">Now let us consider situation (b), that is, when the last year in which we know the infringement occurred is not the year prior to year t in which the sanction is imposed, but one year prior to it. First, that "last year in which the infringement occurred" must be much earlier than year t in which the sanction is imposed; otherwise, we would find ourselves in the same situation as in (a). This is because the sales of a company rarely experience large changes between two consecutive years; in practice, it is almost always close to and this, in turn, to , etc. Therefore, unless the last year in which the infringement took place is far removed from year t in which the fine is imposed, the situation regarding IB, and therefore S, will be the same as in (a).  </w:t>
        <w:br/>
        <w:t xml:space="preserve">But if the last year in which the infringement took place is far removed from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it, the documentation and justifications concerning its business and relating to those financial years are not retained," which forces the sanctioning body to "invent" the turnover for each of those years.  </w:t>
        <w:br/>
        <w:t xml:space="preserve">The Communication proposes to do it as follows: "When for any or some of the years of the duration of the infringement it is not possible to calculate the turnover affected by the infringement, the turnover affected by the infringement of the last year in which it is known that the infringement occurred will be attributed to those years [...]. In those cases where it is not even possible to calculate the turnover affected by the infringement during the last year of it, the turnover of the annual accounts approved in the last fiscal year will be taken instead." With this, the probability of generating the same situation as in (a) increases.  </w:t>
        <w:br/>
        <w:t xml:space="preserve">(IV) Consequences of applying the "COMMUNICATION"  </w:t>
        <w:br/>
        <w:t xml:space="preserve">The immediate consequence of applying the method of determining fines contemplated in the Communication is that they tend to be much higher than those that, strictly applied, Law 15/2007 produces. This occurs because, as already indicated, this "method" presents, by construction, a mathematical bias that makes the qualification "up to" disappear from Article 63.1, being replaced by "always": For minor infringements, always 1%; for serious ones, always 5%; and for very serious ones, always 10%.  </w:t>
        <w:br/>
        <w:t xml:space="preserve">There is only one way to avoid that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it may sometimes result in &lt;0.1 (but more difficult for it to result in &lt;0.05 or &lt;0.01).  </w:t>
        <w:br/>
        <w:t xml:space="preserve">Now, as we have pointed out (See Section [I] above), that interpretation of the concept "total turnover [...]" is unacceptable.  </w:t>
        <w:br/>
        <w:t xml:space="preserve">The second consequence, probably derived from the above, is that the AN is not in favor of such a "method" and, as a result, systematically annuls at that point (the determination of the amount of fines) any Resolutions of the Council of the now-defunct CNC that pass through its jurisdiction as a result of the contentious-administrative appeals filed by the sanctioned companies.  </w:t>
        <w:br/>
        <w:t xml:space="preserve">It also happens that, as &gt;0.1, the sanctioning body is forced to consider that the true picture of sanctions is not Article 63.1, but that which results from the algorithm; so that the intervals (0%,1%), (0%,5%) and (0%,10%) of Article 63.1 (with their respective high, medium, and minimum degrees, as required by Spanish law) are not true sanctioning intervals, but mere indicators of the maximum fine that can be imposed when they exceed it. In other words, the 1%, 5%, and 10% of Article 63.1 are not the upper limit of their respective sanctioning intervals but mere "leveling thresholds" [sic] of the sanctions obtained with the algorithm; and thus, the sanctioning framework of Law 15/2007 is hijacked by the sanction calculation method of the Communication and replaced by the one resulting from it, which is completely different –something that, in my opinion, the CNMC is not authorized to do–. (In this regard, see, among others, my Dissenting Particular Vote on the Resolution of this CHAMBER of September 22, 2014, Section SECOND, in the context of File S/0428/12 PALÉS). The National Court has repeatedly rejected that hijacking of the sanctioning framework of Law 15/2007.  </w:t>
        <w:br/>
        <w:t>Based on all of the above, I will substantiate some of my disagreements with the "Resolution."</w:t>
      </w:r>
    </w:p>
    <w:p>
      <w:r>
        <w:rPr>
          <w:b/>
        </w:rPr>
        <w:t>[Pages 160–162]</w:t>
      </w:r>
    </w:p>
    <w:p>
      <w:r>
        <w:t>FIRST.- The Resolution states (p. 86): "The Communication regarding the imposition of sanctions [...] adopted by the CNC in 2009, aims to establish guidelines that, in general, guide the application of the criteria for determining the amount [...] These guidelines [...] have been used for determining the sanction in the present Resolution." In light of the aforementioned, it is clear that this Counselor believes that this is inappropriate. However, regardless of that, I note that if the Communication is to be applied, it must at least be done strictly; and in my opinion, the present Resolution does not do so. In this regard, I highlight the following (emphasis added): "For the determination of the rate (%) to be applied [referring to the parameter of expression (1) in Section III of the PREAMBLE] [...] this Chamber has considered it appropriate [...] to set the rate at 1.5%" (p. 89).</w:t>
      </w:r>
    </w:p>
    <w:p>
      <w:r>
        <w:t>Well, in my opinion, that cannot be done. There is no loophole in the Communication that allows for such a thing. None. Point (14) of the Communication establishes –without any possible interpretative doubt– that it has a lower limit of 10%, with no reduction within the framework of the Communication itself. On the contrary, the same Point (14) also establishes that, "starting from 10%, it may be increased [up to 30%] considering the following criteria [...]". And to top it off: "Therefore, [the parameter] will be between 10% and 30%."</w:t>
      </w:r>
    </w:p>
    <w:p>
      <w:r>
        <w:t>Despite the above, the Resolution entangles itself in an ad hoc argumentation for the case at hand. It begins by stating (p. 89) that "the criteria usually applied [...] cannot be transferred mimetically to the case being analyzed here." It justifies this as follows: (a) "on the one hand, the conduct, of a vertical nature, is classified by Article 62 as serious, and not very serious"; and (b) the sum of the revenues derived from the Special Premium SME Contracts during the years 2007 to 2013 reflects the business volume affected by the infringement but, however, the amount of the illicit revenues obtained by the infringing company on that business volume is not equivalent to that obtained or calculated usually in cartels or other horizontal restrictions."</w:t>
      </w:r>
    </w:p>
    <w:p>
      <w:r>
        <w:t>Let us analyze these two elements. Regarding (a), the argument is that the infringement is serious and not very serious. True, and that does not prove that, according to the Communication, the parameter can –let alone must– be reduced from 10% to 1.5%. (Non sequitur). It does imply, on the other hand, that when the infringement is very serious, it may be increased from 10% to 20%. The Communication makes this clear (Point 14, subsection i): "If the infringement is classified as very serious, [...] it may be increased by up to ten percentage points." That is, instead of 10%, 20%. In the terms defined by the Communication, that the infringement is classified as very serious allows it to be increased from 10% to 20%, but that the infringement is classified as serious in no way allows it to be reduced below 10%.</w:t>
      </w:r>
    </w:p>
    <w:p>
      <w:r>
        <w:t>Now let us move to (b). I do not understand what it means. I have also not managed to get the majority in this COMPETITION CHAMBER to explain it to me.</w:t>
      </w:r>
    </w:p>
    <w:p>
      <w:r>
        <w:t>It seems –but under the circumstances this is a conjecture– that in the opinion of the aforementioned majority, the usual criteria cannot be applied because the supposed competitive restriction we are dealing with is vertical, not horizontal. But in that case, what would be appropriate is to increase the parameter by ten percentage points, not to reduce it. The Communication also makes this very clear (Point 14, ii): "If the market related to the infringement corresponds to a productive input capable of causing cascading effects in different markets, [...] it may be increased by up to ten percentage points."</w:t>
      </w:r>
    </w:p>
    <w:p>
      <w:r>
        <w:t>N/B. Let it be said in advance that, contrary to what the Resolution holds, in my opinion we are not facing a vertical restriction strictu sensu. I will delve into that topic later. For now, I say that the argument put forth by the Chamber cannot be used to reduce the parameter (yes, on the contrary, to increase it).</w:t>
      </w:r>
    </w:p>
    <w:p>
      <w:r>
        <w:t>In summary, my opinion is that according to the Communication itself, the parameter of expression [1] of Section III of the PREAMBLE cannot be lower than 10%, so it is not possible to assign it the value of 1.5%, as the Resolution does.</w:t>
      </w:r>
    </w:p>
    <w:p>
      <w:r>
        <w:t>SECOND.- Section I-(4) of the Communication allows for it not to be applied when the sanctioning body understands that it finds no way to do so, in which case it allows for it to be replaced, exceptionally, by some other mechanism for determining the sanction. However, if what is intended is to use that Section to apply it but changing its parameters at the discretion of the sanctioning body, then what remains of Section I-(3) of the Communication itself?</w:t>
      </w:r>
    </w:p>
    <w:p>
      <w:r>
        <w:t>To put it more explicitly: If the sanctioning body can change the parameter downwards to whatever level it pleases, then it can also change the parameters –in fact, from a mathematical point of view, it is exactly the same to reduce as to increase–, etc. But in that case, it is the sanctioning body itself that delves, even more than the Communication already does, into the forbidden territory of "formulations so open due to their breadth, vagueness, or indefinition" that the sanction "depends on a practically free and arbitrary decision of the interpreter and judge" (STC 34/1996, of March 11, FJ 5).</w:t>
      </w:r>
    </w:p>
    <w:p>
      <w:r>
        <w:t>THIRD.- "The Resolution states the following (89): "[...] the fine is determined at [...] 25,784,341 euros, which is within the legally established limit." But this is due to (i) the inadequate application of the Communication itself that I have outlined in the previous FIRST and SECOND sections; and (ii), and more importantly, the volume of income that has been used is not the appropriate one. First of all, the application of the algorithm established in the Communication does not generate a sanction of 25 million euros, but of 172 million euros (the sales volumes are omitted to respect the confidentiality requested by the company):</w:t>
      </w:r>
    </w:p>
    <w:p>
      <w:r>
        <w:t>Secondly, the total volume of income that has been used to contrast –not to determine– the percentage that represents the fine, is not the one corresponding to the activity in which the infringement occurred in the year 2013, but the consolidated one of the company, that is, the one obtained from all its activities, including those in which it is not attributed to have committed any infringement.</w:t>
      </w:r>
    </w:p>
    <w:p>
      <w:r>
        <w:t>I have argued in Section I of the Preamble why in my opinion the "total business volume of the company in the fiscal year immediately prior to the imposition of the fine" referred to in Law 15/2007, is not the consolidated one of the company, but exclusively that obtained in the market affected by the infringement. Well, when the two previous elements are taken into account, the fine resulting from applying the algorithm of the Communication is 34% of that business volume, well above the ceiling of 5% contemplated in Article 63.b) of Law 15/2007.</w:t>
      </w:r>
    </w:p>
    <w:p>
      <w:r>
        <w:t>FOURTH.- Having established the above, it is natural to consider the following: There are infinite . Among all of them, the majority of the CHAMBER has specifically chosen . Since that choice is essential to conclude that the fine must be 25,784,341 euros and not any other among the –also infinite– possible fines, one for each , it is undeniable that the choice requires motivation, ex Art. 218-2 and 3 of Law 1/2000, of January 7, on Civil Procedure. In my opinion, and as I have argued in the previous FIRST section, the Resolution does not provide any that fits "the rules of logic and reason."</w:t>
      </w:r>
    </w:p>
    <w:p>
      <w:r>
        <w:t>Undoubtedly by coincidence, and despite the fact that the mathematical probability of the event is –for practical purposes– null, it happens that 25,784,341 euros is exactly 5% of the "business volume affected by the infringement in the fiscal year immediately prior to the imposition of the sanction." Undoubtedly also by coincidence, any greater than 1.5% produces a fine exceeding the ceiling of 5%. That the choice has been made for exactly is truly miraculous from the perspective of mathematical probability.</w:t>
      </w:r>
    </w:p>
    <w:p>
      <w:r>
        <w:t>It ceases to be miraculous if the choice is made in the following way: What fine is necessary to represent exactly 5% of the "business volume affected by the infringement in the year 2013"? The answer is trivial and immediate: 25,784,341 euros. And what is necessary for the expression to take exactly the value of 25,784,341 euros? The answer is also trivial and immediate: 1.5%. This in no way implies that 1.5% has been obtained by that procedure, only that in the absence of an explanation for the reason behind its improbable choice, the described mechanism does not require the occurrence of a "miracle."</w:t>
      </w:r>
    </w:p>
    <w:p>
      <w:r>
        <w:rPr>
          <w:b/>
        </w:rPr>
        <w:t>[Pages 163–165]</w:t>
      </w:r>
    </w:p>
    <w:p>
      <w:r>
        <w:t>it does not seem reasonable.</w:t>
      </w:r>
    </w:p>
    <w:p>
      <w:r>
        <w:t>OCTAVO.- En conclusión, la Resolución no se sostiene en su núcleo argumental, ya que no se ha demostrado que la imputada haya infringido el Art. 1 de la Ley 15/2007, de 3 de junio, de Defensa de la Competencia. La aplicación de las normas y principios que rigen la materia debe ser rigurosa y fundamentada, y en este caso, la falta de un análisis exhaustivo y la confusión en la interpretación de los contratos analizados llevan a una conclusión errónea.</w:t>
      </w:r>
    </w:p>
    <w:p>
      <w:r>
        <w:t>Por lo tanto, mi voto es en contra de la Resolución en su totalidad, y considero que se debe revisar el caso con un enfoque más riguroso y fundamentado que respete los principios de legalidad y seguridad jurídica establecidos en la Constitución Española y en la legislación aplicable.</w:t>
      </w:r>
    </w:p>
    <w:p>
      <w:r>
        <w:rPr>
          <w:b/>
        </w:rPr>
        <w:t>[Pages 166–166]</w:t>
      </w:r>
    </w:p>
    <w:p>
      <w:r>
        <w:t>economically it is absurd, even more so when, as is the case at hand, the contract between the initial producer and its direct clients is freely signed and in an economic context where the initial producer is not the only supplier. EIGHTH.- Everything I have pointed out in sections FIFTH AND SIXTH was communicated to the Chamber, first in the various deliberations held for this purpose, and then in the Cross Report of the Regulatory Supervision Chamber through the "concurrent dissenting vote with the sense of [that] report," drafted by Mr. Diego Rodríguez, Illustrious Counselor of the aforementioned Chamber, and whose complete content is attached to this Dissenting Vote as an Annex. Thus, by this my Dissenting Vote, I pronounce, order, and sign in Madrid, on October 30,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