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https://www.cnmc.es/expedientes/s042412</w:t>
      </w:r>
    </w:p>
    <w:p>
      <w:r>
        <w:t>Pages translated : 17</w:t>
      </w:r>
    </w:p>
    <w:p/>
    <w:p>
      <w:r>
        <w:rPr>
          <w:b/>
        </w:rPr>
        <w:t>[Pages 1–3]</w:t>
      </w:r>
    </w:p>
    <w:p>
      <w:r>
        <w:t xml:space="preserve">RESOLUTION  </w:t>
        <w:br/>
        <w:t xml:space="preserve">(EXPTE. S/0424/12 NOTARY OF CEUTA)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July 19, 2013  </w:t>
        <w:br/>
        <w:t xml:space="preserve">The Council of the National Commission of Competition (the Council), with the composition already expressed and being Rapporteur Ms. Pilar Sánchez Núñez, has issued the following Resolution in the sanctioning file S/0424/12 NOTARY OF CEUTA, initiated by the Directorate of Investigation as a result of the complaint filed by Mr. [XXX], against the notaries Mr. Antonio Fernández Naveiro, Mr. José Eduardo García Pérez, and Mr. Ignacio Javier Moreno Vélez, for alleged restrictive practices of competition that could constitute an infringement of Law 15/2007, of July 3, on the Defense of Competition.  </w:t>
        <w:br/>
        <w:t xml:space="preserve">FACTUAL BACKGROUND  </w:t>
        <w:br/>
        <w:t xml:space="preserve">1. On March 16, 2012, a complaint was received at the National Commission of Competition (CNC) filed by Mr. [XXX], against the partner notaries of Notaría de Ceuta, S.C., Mr. Antonio Fernández Naveiro, Mr. José Eduardo García Pérez, and Mr. Ignacio Javier Moreno Vélez for alleged prohibited conducts under articles 1, 2, and 3 of the LDC "consisting of the three notaries available in the City of Ceuta being convened under the name Notaría de Ceuta, S.C. with a single office open to the public. According to the complainant, this situation and the work shifts established by the notaries do not guarantee the principle of free choice of notary by the public, as they operate in a monopoly situation, and undermine the notary service causing significant waits for citizens. He points out that only two notaries provide services in the city during the morning, only one day a week is notary service provided in the afternoon, on Fridays there is only one notary, and there are none from Friday noon until Monday morning."  </w:t>
        <w:br/>
        <w:t xml:space="preserve">2. The situation, according to the complainant, is contrary to articles 42 and 126 of Royal Decree 45/2007, of January 19, which modifies the Regulation of Organization and Regime of Notaries of 1944 and articles 21 to 27, and second final provision of the Internal Regulations of the Notarial College of Andalusia, approved on March 25, 2009 (folios 1 and 2).  </w:t>
        <w:br/>
        <w:t xml:space="preserve">3. The Directorate of Investigation (DI) of the CNC, with the intention of determining the concurrence of circumstances that justified the initiation of a sanctioning file, initiated a reserved inquiry within the framework established in section 2 of article 49 of the LDC.  </w:t>
        <w:br/>
        <w:t xml:space="preserve">4. On April 18, 2012, the DI requested information from the General Subdirectorate of Notaries and Registries regarding the notarial organization in the city of Ceuta and its current situation (folios 3 to 7). On June 15, 2012, a response was received from the General Directorate of Registries and Notaries (folios 24 to 27).  </w:t>
        <w:br/>
        <w:t xml:space="preserve">5. On June 21, 2012, the Directorate of Investigation, in light of the existence of indications of an infringement of article 1 LDC, for jointly exercising notarial activity in Ceuta, thereby eliminating competition among them, agreed to initiate the sanctioning file S/0424/12.  </w:t>
        <w:br/>
        <w:t xml:space="preserve">6. On July 19, 2012, the DI sent a request for information to the notaries "about the location of their notary office, the notaries providing service therein, its organization, demarcation of the notary office, whether they have authorization from their Notarial College to act jointly with other notaries in the same premises, schedules, work shifts, and prices they charge for services (folios 63 to 78)." The response was received on September 12 (folios 126 to 361).  </w:t>
        <w:br/>
        <w:t xml:space="preserve">7. On July 27, the partners of the notary requested that the process of Conventional Termination of the file be initiated, committing to the dissolution of Notaría de Ceuta S.C. and the physical separation of the offices (folios 79 to 108). The DI, on September 24, 2012, agreed not to initiate the conventional termination considering that the investigated conducts had had irreversible effects on competition, affecting a substantial part of the market.  </w:t>
        <w:br/>
        <w:t xml:space="preserve">8. On September 20 and 21, 2012, the DI again requested information from the notaries regarding "when they provide their service in Ceuta, the modifications in the members of Notaría de Ceuta, S.C., the procedure to request authorization from the Notarial College to provide service jointly with other notaries, the organization of invoices and income of the notary office and the notaries (folios 362 to 382 bis)." Responses were received on October 1 and 10, 2012 (folios 418 to 617 and 642 to 1041).  </w:t>
        <w:br/>
        <w:t xml:space="preserve">9. On October 4, 2012, the complainant provided new documentation regarding the professional address of the three notaries and part of the Internal Regulations of the Notarial College of Andalusia.  </w:t>
        <w:br/>
        <w:t xml:space="preserve">10. On December 3, 2012, the DI formulated and notified the Statement of Specific Facts (PCH). On January 11, 2012, the allegations to the PCH from the three interested parties were received (folios 1376 to 1398).  </w:t>
        <w:br/>
        <w:t xml:space="preserve">11. On February 7, 2013, the Agreement to close the instruction phase was issued (folio 14).  </w:t>
        <w:br/>
        <w:t xml:space="preserve">12. On February 27, 2013, the Directorate of Investigation issued a Proposal for Resolution (folios 1413 to 1426) which was notified on the same day. On March 25, 2013, submissions of allegations to the Proposal for Resolution were received at the CNC headquarters (folios 1463 to 1481).  </w:t>
        <w:br/>
        <w:t xml:space="preserve">13. On April 19, 2013, the Directorate of Investigation submitted to the CNC Council its Report Proposal for Resolution along with the file for its resolution in accordance with art. 50.4 of the LDC, in which it proposes:  </w:t>
        <w:br/>
        <w:t xml:space="preserve">"First. That the existence of a prohibited conduct by article 1.1 of Law 15/2007 be declared, consisting of the coordination of notary services in the City of Ceuta through Notaría de Ceuta S.C.  </w:t>
        <w:br/>
        <w:t xml:space="preserve">Second. It is considered that the following are responsible for this infringement: Mr. Antonio Fernández Naveiro, from April 1, 2002; Mr. Ignacio Javier Moreno Vélez, from May 6, 2009; and Mr. José Eduardo García Pérez, from November 1, 2008.  </w:t>
        <w:br/>
        <w:t xml:space="preserve">Third. That the aforementioned prohibited conduct be classified, for the purposes of determining the sanction to be imposed, as a very serious infringement of article 62.4.a).  </w:t>
        <w:br/>
        <w:t xml:space="preserve">Fourth. That the sanction provided for in article 63 of the LDC be imposed, taking into account the criteria for determining the sanction provided for in article 64 of the LDC."  </w:t>
        <w:br/>
        <w:t xml:space="preserve">14. On July 1, 2013, the CNC issued an Agreement to suspend the deadline of the procedure to resolve the file due to a request for information from the interested parties. On July 12, this suspension was lifted.  </w:t>
        <w:br/>
        <w:t xml:space="preserve">15. The Council of the CNC concluded the deliberation and ruling of this resolution on July 17, 2013.  </w:t>
        <w:br/>
        <w:t xml:space="preserve">16. The interested parties in this file are:  </w:t>
        <w:br/>
        <w:t xml:space="preserve">- Mr. [XXX]  </w:t>
        <w:br/>
        <w:t xml:space="preserve">- Antonio Fernández Naveiro  </w:t>
        <w:br/>
        <w:t xml:space="preserve">- José Eduardo García Pérez  </w:t>
        <w:br/>
        <w:t xml:space="preserve">- Mr. Ignacio Javier Moreno Vélez  </w:t>
        <w:br/>
        <w:t xml:space="preserve">PROVEN FACTS  </w:t>
        <w:br/>
        <w:t xml:space="preserve">The proven facts in this file are based on the information obtained by the Directorate of Investigation from the complaint and the requests for information made during the instruction:  </w:t>
        <w:br/>
        <w:t xml:space="preserve">About the Parties  </w:t>
        <w:br/>
        <w:t xml:space="preserve">17. The description contained in the file regarding those affected by this sanctioning file is as follows:  </w:t>
        <w:br/>
        <w:t xml:space="preserve">Complainant  </w:t>
        <w:br/>
        <w:t xml:space="preserve">- Mr. [XXX], lawyer of the City of Ceuta.  </w:t>
        <w:br/>
        <w:t>Accused</w:t>
      </w:r>
    </w:p>
    <w:p>
      <w:r>
        <w:rPr>
          <w:b/>
        </w:rPr>
        <w:t>[Pages 4–6]</w:t>
      </w:r>
    </w:p>
    <w:p>
      <w:r>
        <w:t>− Mr. Antonio Fernández Naveiro, partner notary of Notaría de Ceuta, S.C.</w:t>
        <w:br/>
        <w:t>− Mr. José Eduardo García Pérez, partner notary of Notaría de Ceuta, S.C.</w:t>
        <w:br/>
        <w:t>− Mr. Ignacio Javier Moreno Vélez, partner notary of Notaría de Ceuta, S.C.</w:t>
      </w:r>
    </w:p>
    <w:p>
      <w:r>
        <w:t>On the regulation of the organization and the notarial office</w:t>
        <w:br/>
        <w:t>18. The basic regulations governing the actions of notaries are the Notarial Law, of May 28, 1862; Law 2/1974, of February 13, on Professional Associations; the Notarial Regulation of June 2, 1944; Royal Decree 173/2007, on notarial demarcation, and for the purposes of this file, the Internal Regime Regulation of the Illustrious Notarial College of Andalusia approved by the General Assembly on March 25, 2009. Regarding this, the Proposal for Resolution contains the description set forth below:</w:t>
      </w:r>
    </w:p>
    <w:p>
      <w:r>
        <w:t>(13) Notaries are both public officials and legal professionals, corresponding to this dual nature the organization of the Notariat. As officials, they exercise notarial public faith, which has and protects a dual content:</w:t>
        <w:br/>
        <w:t>a. In the sphere of facts, the accuracy of what the notary sees, hears, or perceives through their senses.</w:t>
        <w:br/>
        <w:t>b. And in the sphere of Law, the authenticity and evidentiary force of the declarations of will of the parties in the public instrument drafted in accordance with the laws.</w:t>
      </w:r>
    </w:p>
    <w:p>
      <w:r>
        <w:t>(14) As legal professionals, they have the mission to advise those who request their services and to recommend the most appropriate legal means to achieve the lawful purposes that they aim to accomplish.</w:t>
      </w:r>
    </w:p>
    <w:p>
      <w:r>
        <w:t>(15) Notaries enjoy full autonomy and independence in their function, and in their hierarchical organization, they depend directly on the Ministry of Justice and the General Directorate of Registries and Notariat. Without prejudice to this dependence, the regime of notaries is decentralized through Notarial Colleges, governed by Boards of Directors with jurisdiction over the notaries of their respective territory. Neither in the exercise of their public function nor as legal professionals may a notary be subject to hierarchical or economic dependence on another notary.</w:t>
      </w:r>
    </w:p>
    <w:p>
      <w:r>
        <w:t>(16) The territorial scope of the Notarial Colleges corresponds to that of the Autonomous Communities. The provinces integrated into each Notarial College will be divided into Districts, the extent and limits of which will be determined by the Notarial Demarcation.</w:t>
      </w:r>
    </w:p>
    <w:p>
      <w:r>
        <w:t>(17) Individuals have the right to freely choose a notary with no limitations other than those provided for in the legal system. The status of public official of the notary prevents Public Administrations or the bodies or entities dependent on them from choosing a notary.</w:t>
      </w:r>
    </w:p>
    <w:p>
      <w:r>
        <w:t>Notaries' Offices</w:t>
        <w:br/>
        <w:t>(18) Notaries must reside in the place where their notary office is demarcated. The notary's office has the category and consideration of a public office and holds the documentation entrusted to them, so it must meet the appropriate conditions for the proper provision of the notarial public function and be constituted by the adequate personal and material means for the fulfillment of this purpose.</w:t>
      </w:r>
    </w:p>
    <w:p>
      <w:r>
        <w:t>(19) It is prohibited for notaries to have more than one office in their place of residence or in another of their district; however, the Board of Directors of the Notarial College may authorize an auxiliary office in a different location from that where the notary is demarcated, if the needs of the service advise it.</w:t>
      </w:r>
    </w:p>
    <w:p>
      <w:r>
        <w:t>(20) There cannot be more than one notarial office in the same building, except with the authorization of the Board of Directors of the Notarial College, after hearing the notaries who previously established their office therein. Authorization from the Board is also required for a notary to establish their office in the same building where another notary has previously had their office, unless three years have passed or it is a location where only one notary is demarcated.</w:t>
      </w:r>
    </w:p>
    <w:p>
      <w:r>
        <w:t>(21) The permanent collaboration of two or more notaries in the same premises, with independent offices for each of them, is considered a union of offices. The collaboration of two or more notaries in a regime of office union in different premises of the same building or in two adjacent ones is also considered an agreement, provided that the prohibition of a notary having more than one office in the locality is not violated.</w:t>
      </w:r>
    </w:p>
    <w:p>
      <w:r>
        <w:t>Classification of Notaries</w:t>
        <w:br/>
        <w:t>(22) All Notaries in Spain have identical functions; however, for purely organizational and corporate purposes and based on fundamentally demographic criteria, notaries are grouped into the following classes or sections:</w:t>
        <w:br/>
        <w:t>• Provincial capitals, whether or not they are capitals of Notarial Colleges, Ceuta, Melilla, and all populations with more than seventy-five thousand inhabitants in their municipal area (first section).</w:t>
        <w:br/>
        <w:t>• Populations that, not being included in the previous paragraph, exceed eighteen thousand inhabitants (second section).</w:t>
        <w:br/>
        <w:t>• All other populations (third section).</w:t>
      </w:r>
    </w:p>
    <w:p>
      <w:r>
        <w:t>Right to Free Choice of Notary</w:t>
        <w:br/>
        <w:t>(23) Anyone requesting the exercise of the notarial public function has the right to choose the notary who provides it, with no limitations other than those provided for in the legal system; this right constitutes an essential element of adequate competition among them.</w:t>
      </w:r>
    </w:p>
    <w:p>
      <w:r>
        <w:t>Document Turn</w:t>
        <w:br/>
        <w:t>(24) When the grantor, transferor, or acquirer of goods or rights is the State, the Autonomous Communities, Provincial Councils, Municipalities, or the bodies or companies dependent on them, participating in more than 50%, or in which those Public Administrations hold decision-making powers, the documents are rotated among the notaries competent in the place of granting. Such documents are granted in the locality where the entity, body, or company has its registered office, or delegation or office, or, where applicable, where the property subject to the contract is located. This means that documents granted by public administrations and public companies must be intervened in a rotating manner by the notaries acting in the corresponding locality, according to the previously established turn.</w:t>
      </w:r>
    </w:p>
    <w:p>
      <w:r>
        <w:t>(25) For documents in which, due to their amount, the notary is allowed to receive the amount freely agreed upon with the parties, Public Administrations may choose a notary without being subject to the turn, adhering to the principles of competition and efficiency in the use of public resources.</w:t>
      </w:r>
    </w:p>
    <w:p>
      <w:r>
        <w:t>(26) When the acquirer is an individual, they may request the intervention of the notary of their free choice from the Notarial College.</w:t>
      </w:r>
    </w:p>
    <w:p>
      <w:r>
        <w:t>Fees</w:t>
        <w:br/>
        <w:t>(27) The fee is a set of professional fees established by the Government by royal decree and applies to notarial actions related to transactions and legal businesses of an amount less than 6 million euros. Royal Decree-Law 6/2000 partially liberalized the fee, allowing notaries to apply discounts of up to 10% below the fee set by the Government. Transactions valued at more than 6 million euros are not subject to the fee but to the price freely agreed upon between the parties and the intervening notary.</w:t>
      </w:r>
    </w:p>
    <w:p>
      <w:r>
        <w:t>On the Proven Facts</w:t>
        <w:br/>
        <w:t>19. The investigation carried out by the Directorate of Investigation proves the following facts on which its compatibility with the competition regulations must be judged:</w:t>
        <w:br/>
        <w:t>(28) The notarial district of Ceuta, included in the province of Cádiz, belonging in turn to the Notarial College of Seville, has three first-class notaries established.</w:t>
        <w:br/>
        <w:t>(29) In Ceuta, three notaries provide notarial services: Mr. Antonio Fernández Naveiro, Mr. José Eduardo García Pérez, and Mr. Ignacio Javier Moreno Vélez. All three are partners of Notaría de Ceuta, S.C.</w:t>
        <w:br/>
        <w:t>(30) Notaría de Ceuta S.C. was established on January 1, 2002, and registered with the Tax Agency on April 1, 2002, with the purpose of jointly engaging in the provision of services and the notarial function. Its corporate purpose is (folios 196 to 201):</w:t>
      </w:r>
    </w:p>
    <w:p>
      <w:r>
        <w:rPr>
          <w:b/>
        </w:rPr>
        <w:t>[Pages 7–9]</w:t>
      </w:r>
    </w:p>
    <w:p>
      <w:r>
        <w:t>− The pooling of clientele, collaborating personnel, experience, knowledge, and the necessary material and immaterial elements for the practice of the profession.</w:t>
        <w:br/>
        <w:t>− Establishing a work community which implies mutual collaboration and professional intervention in the entire scope of the function exercised.</w:t>
        <w:br/>
        <w:t>− Distributing the general expenses and income equally among the partners.</w:t>
        <w:br/>
        <w:t>− Equitably dividing the tasks of the office, administrative order, management, and direction, providing mutual assistance at all times.</w:t>
        <w:br/>
        <w:t>(31) Currently, the partners of Notaría de Ceuta S.C are the following notaries:</w:t>
        <w:br/>
        <w:t>− Mr. Antonio Fernández Naveiro, since April 1, 2002 (folios 1043, 1044, 1047, and 1070),</w:t>
        <w:br/>
        <w:t>− Mr. Ignacio Javier Moreno Vélez, since April 30, 2009 (folios 1190 and 1216), and</w:t>
        <w:br/>
        <w:t>− Mr. José Eduardo García Pérez since November 1, 2008 (folios 1115, 1119, and 1134), although he was also a partner from April 1, 2002, to March 4, 2004.</w:t>
        <w:br/>
        <w:t>(32) It is documented in the file that the three notaries reported are convened under the society Notaría de Ceuta, S.C., providing their service jointly, in a single notary office open to the public. In the City of Ceuta, therefore, there is only one notary office, which citizens can visit (folios 127, 203, and 281).</w:t>
        <w:br/>
        <w:t>(33) The notaries share personal and material resources in the office (folios 128, 204, and 282) and equally divide the profits of the Society, as regulated by their statutes (folio 199) and as indicated by the notaries (folios 1045, 1046, 1116, 1117, 1191, and 1192 confidential).</w:t>
        <w:br/>
        <w:t>(34) The notaries lack the mandatory authorization from the Board of Directors of the Notarial College to operate in the same premises (folios 26 and 27). The Regulation of Organization and Regime of Notarial Services establishes in its article 42 as conditions for granting the aforementioned authorization that the corresponding district does not have fewer than five notary positions and that not all notaries in the population intend to operate in the same place (paragraph 27).</w:t>
        <w:br/>
        <w:t>(35) In the report of the General Directorate of Registries and Notarial Services dated June 15, 2012, it is indicated that "the notaries (of the City of Ceuta) could be convened among themselves, which could affect the safeguarding of the right to freely choose a notary and the principle of free competition" (folios 24 to 27).</w:t>
        <w:br/>
        <w:t>(36) The Notarial College of Andalusia has initiated a sanctioning file against the notaries for non-compliance with the duties and obligations imposed by notarial legislation (folio 27).</w:t>
      </w:r>
    </w:p>
    <w:p>
      <w:r>
        <w:t>FUNDAMENTALS OF LAW</w:t>
        <w:br/>
        <w:t>FIRST.- On Applicable Legislation and Object of the File</w:t>
        <w:br/>
        <w:t>The conduct attributed in this file began in 2002, while Law 16/1989, of July 18, on the Defense of Competition, was in force, which was repealed by the entry into force on September 1, 2007, of the new Law 15/2007, of July 3, on the Defense of Competition. The latter establishes in its First Transitional Provision that "Sanctioning procedures regarding prohibited conduct initiated before the entry into force of this Law will be processed and resolved in accordance with the provisions in force at the time of their initiation." From which it must be interpreted that procedures initiated after its entry into force, as occurs in the present case, must be processed in accordance with the procedure of the new norm already in force.</w:t>
        <w:br/>
        <w:t>As for the substantive sanctioning law is concerned, when the conduct being judged began while the previous norm, Law 16/1989, of July 18, 1989, was in force, this Council has considered that the applicable norm is Law 15/2007, as it is more favorable considering all the specific conditions of the case. This derives from the fact that while both norms regulate infringements in the area of competition defense in the same way, the sanctioning regime designed by Law 15/2007 is, from a global perspective, more favorable for the accused than that contemplated by previous laws, taking into account that the norm introduces a system of gradation of infringements that was non-existent in previous legislation, establishes maximum limits on the amount of some sanctions lower than the general amount provided for by article 10 of Law 16/1989, and reduces the limitation periods for some of the typified conducts.</w:t>
        <w:br/>
        <w:t>Based on this, and in accordance with the provisions of article 128 of Law 30/1992, of November 26, on the Legal Regime of Public Administrations and Common Administrative Procedure, Law 15/2007 is the legislation that will be applied to those who, in the present sanctioning procedure, are considered responsible for an infringement of article 1 of the LDC.</w:t>
        <w:br/>
        <w:t>In application of this norm, the Council must resolve in this file whether, as the Directorate of Investigation proposes, the three notaries with positions in the city of Ceuta have incurred an infringement of article 1 LDC, by carrying out their professional practice in a coordinated manner under the figure of the society Notaría de Ceuta, S.C., in the terms described in the Accredited Facts.</w:t>
        <w:br/>
        <w:t>SECOND.- On the Conduct Attributed by the Directorate of Investigation</w:t>
        <w:br/>
        <w:t>The analysis of the aforementioned facts leads the DI to evaluate them under the regulation of the LDC in its article 1.1 of the LDC which "prohibits any agreement, decision or collective recommendation, or concerted or consciously parallel practice, that has as its object, produces or may produce the effect of preventing, restricting, or distorting competition in all or part of the national market." The three only notaries authorized to provide their notarial services in Ceuta do so in the same office open to the public, convened under the society Notaría de Ceuta, S.C., sharing the premises, material and personal means, and equally dividing the profits and expenses of the society.</w:t>
        <w:br/>
        <w:t>The Directorate of Investigation considers that "this union implies a coordination in the provision of notarial services, which prevents competition in the exercise of the notarial public faith that would exist if each of the three notaries exercised their work separately from the others. In particular, the coordination through Notaría de Ceuta S.C. implies an absence of competition in terms of prices, in the already limited cases where it is possible to apply discounts to the fee and in cases not subject to fees, where the parties and the notary can freely decide the prices (paragraph 31). It also implies an absence of competition regarding the attention and quality of the service provided to citizens, who see their choices reduced. Such conduct constitutes an infringement of article 1.1 LDC."</w:t>
        <w:br/>
        <w:t>In light of this assessment, and the times when the current partners of Notaría de Ceuta S.C have become part of this conduct, the Directorate of Investigation considers that the responsibilities of each of the partners are as follows:</w:t>
        <w:br/>
        <w:t>- "Mr. Antonio Fernández Naveiro, since April 1, 2002;</w:t>
        <w:br/>
        <w:t>- Mr. José Eduardo García Pérez, since November 1, 2008. This DI understands that Mr. José Eduardo García Pérez's participation as a partner of Notaría de Ceuta S.C. during the period from April 1, 2002, to March 4, 2004, has expired, under article 68 LDC, due to the lack of continuity in his membership in the society (he ceased to be a partner for more than 4 years) and because more than 4 years have passed since the end of the first period in which he was a partner of Notaría de Ceuta, on March 4, 2004, until the initiation of the actions of this DI in 2012; and</w:t>
        <w:br/>
        <w:t>- Mr. Ignacio Javier Moreno Vélez, since May 6, 2009."</w:t>
        <w:br/>
        <w:t>This assessment is maintained by the DI after analyzing the allegations presented by the accused to the PCH, considering that they did not refute either the facts or the assessment that such conduct deserves under the provisions of article 1.1 LDC.</w:t>
        <w:br/>
        <w:t>THIRD.- On the Allegations of the Parties</w:t>
        <w:br/>
        <w:t>Although three written allegations have been formally received regarding the Proposed Resolution raised by the DI to the Council, two of them are identical in content, specifically those of Mr. Antonio Fernández Naveiro and Mr. Ignacio Javier Moreno Vélez. In their writings, they allege that the dual condition of notaries as public officials and as legal professionals conditions their obligations and imposes obligations on them that other economic operators do not have, emphasizing that in addition to the fact that the payment for their services is established in a fee schedule, only the possibility of applying discounts of 10% makes Competition Law applicable to the notarial field.</w:t>
        <w:br/>
        <w:t>They continue their allegations claiming that the analysis of the different types of notarial agreements that the regulation allows, and their compatibility with competition rules must be done on a case-by-case basis, and that, in the case at hand, the main good...</w:t>
      </w:r>
    </w:p>
    <w:p>
      <w:r>
        <w:rPr>
          <w:b/>
        </w:rPr>
        <w:t>[Pages 10–12]</w:t>
      </w:r>
    </w:p>
    <w:p>
      <w:r>
        <w:t>juridical good that the notarial regulation pursues is the guarantee of the free choice of notary, which has not been violated by the notaries of Ceuta, nor do they apply a uniform commercial policy regarding the collection of fees and the application of discounts. They argue that clients have never been shared, and that they have exercised their profession with total independence.</w:t>
      </w:r>
    </w:p>
    <w:p>
      <w:r>
        <w:t>They add that their behavior is merely an intelligent adaptation to the market, aimed at sharing and reducing costs, and not a series of illicit collusive practices. Regarding the quantification of the sanction, they argue that if a financial penalty were to be imposed, it should be symbolic, for the following reasons: the affected market is of particularly small dimensions; there have been no effects as competition in prices has not been impeded nor has there been a sharing of clients; there was an intention to dissolve the office as soon as they became aware of the initiation of the sanctioning file; and the sanctioned individuals are natural persons who must respond with their personal assets. In any case, the principle of proportionality must be taken into account.</w:t>
      </w:r>
    </w:p>
    <w:p>
      <w:r>
        <w:t>In his allegations, Mr. José Eduardo García Pérez denies that the agreement has had a harmful effect on consumers, and that the actions carried out by the three notaries only respond to that so-called intelligent adaptation to the market, as it aims to address rising costs, despite having potentially violated the regulation in its article 42, due to the number of notaries designated for the city of Ceuta. Furthermore, notarial activity is not exercised in a monopolistic situation, since most notarial instruments can be authorized by notaries not assigned to Ceuta, thus the principle of free choice of notary is always guaranteed.</w:t>
      </w:r>
    </w:p>
    <w:p>
      <w:r>
        <w:t>FOURTH.- On the assessment of the unlawfulness of the conduct</w:t>
      </w:r>
    </w:p>
    <w:p>
      <w:r>
        <w:t>We are faced with an agreement among the three only notaries whose scope of action is the notarial activity in the city of Ceuta. The agreement has consisted of uniting their physical offices in the same location and also uniting their professional activity under the figure of a civil society, called Notaría de Ceuta S.C, where the professional fees of the three are integrated, and once expenses are deducted, the resulting profit is distributed almost equally. The Notarial College of Andalusia has opened a sanctioning file for the breach of notarial regulation regarding these facts, which are not permitted according to article 42 of said regulation. As stated in the very corporate purpose, this is the pooling of clientele, collaborating personnel, experience, knowledge, and the necessary material and immaterial elements for the practice of the profession; establishing a work community, which implies mutual collaboration and professional intervention in the entire scope of the function exercised; distributing the general expenses and income equally among the partners; and equitably dividing the tasks of the office, of administrative order, management, and direction, providing mutual assistance at all times.</w:t>
      </w:r>
    </w:p>
    <w:p>
      <w:r>
        <w:t>It is clearly agreed to pool the income and expenses, and even though each of them issues their own invoices, their profits are not exclusively related to the income they generate for the partnership, but rather derive from the agreement they annually make among the three to distribute the result of the "Income minus expenses of the Civil Society Notary of Ceuta." The income generated by the three forms part of the "common pool" that is distributed afterwards, after deducting common expenses. The fact that clients have no alternative to the Society and that the notaries who comprise it receive their remuneration as a percentage of the profits of the Civil Society nullifies any incentive to reduce prices or improve service in order to attract more clientele.</w:t>
      </w:r>
    </w:p>
    <w:p>
      <w:r>
        <w:t>It is true that we are dealing with a type of service for which demand can reasonably be presumed to have moderate price elasticity, given that in most cases these notarial services represent an intermediate requirement, often indispensable, to access other types of products or services. The legality, or probative value of an act, often requires the notarial act (mortgages, wills, powers of attorney, marriage contracts, (...), and therefore the price variable may not be the most important when determining its consumption. However, since consumption must occur, the existence of a varied offer in price and quality of notarial services undoubtedly represents a benefit for the consumer, and conversely, restrictions on that offer will be detrimental to the end consumer.</w:t>
      </w:r>
    </w:p>
    <w:p>
      <w:r>
        <w:t>Precisely, given the type of service in question, where its consumption may come "quasi obligated," improvements in price or quality of service can sway the user towards one notary or another. Conversely, with the three only notaries in the city grouped in the same society, a monopoly of supply is created that allows for the extraction of all surplus from the clientele, as the client is a captive client for the society. At the same time, it limits any possibility for these economic operators to compete among themselves to attract clients through better prices or quality of service.</w:t>
      </w:r>
    </w:p>
    <w:p>
      <w:r>
        <w:t>In terms of notarial services, when we talk about prices, we are referring to the set of professional fees established by the Government by Royal Decree and that apply to notarial actions related to transactions and legal businesses of an amount less than 6 million euros. By Royal Decree-Law 6/2000, the tariff was partially liberalized, allowing notaries to apply discounts of up to 10% below the tariff set by the Government. Transactions valued above 6 million euros are not subject to a tariff, but rather to the price freely agreed upon between the parties and the intervening notary. There is therefore a margin to compete via prices among notaries. Moreover, this is not the only margin for competition among notaries.</w:t>
      </w:r>
    </w:p>
    <w:p>
      <w:r>
        <w:t>In fact, this regulation is issued with the intention of introducing competition in this type of service, as stated in the Explanatory Memorandum of the regulation: "a principle of competition is introduced in this activity, allowing for the application of discounts on the tariffs of Notaries," and behaviors such as those described here only nullify the effect pursued by the legislator.</w:t>
      </w:r>
    </w:p>
    <w:p>
      <w:r>
        <w:t>With the regulation that exists in the field of professional notarial services, the possibilities for competition may be limited when compared to other activities. However, the interpretation of some of the defendants regarding the fact that only the possibility of applying a 10% discount on tariffs allows for the application of Competition Law cannot be accepted. They forget that the price variable is only one of the many elements available to an operator when being competitive and trying to attract clients. Clients or demanders of a good or service may equally or more highly value other elements related to the availability of the service, such as the location of the facilities and their accessibility, the longer or shorter opening hours to the public, or the agility in the provision of the service. And it is clear that all these competitive variables are seriously diminished when in the same city the three only notarial positions offer this service not only in the same premises but under the same conditions of hours, and with a unique team of employees, making it difficult for a client to perceive under the current conditions that the three notarial positions can offer them a differentiated service, and therefore from the perspective of competition, demand does not observe a plurality of offers, but rather the reality imposed upon them: a unique offer.</w:t>
      </w:r>
    </w:p>
    <w:p>
      <w:r>
        <w:t>In light of these facts, the Council can only agree with the assessment made by the Directorate of Investigation regarding the fact that this conduct infringes article 1 of the LDC, regardless of whether in this specific case it also seems to violate the notarial regulation, which prevents notaries from unifying their offices in cities with fewer than five positions. The unlawfulness of the conduct lies in the fact that this agreement seriously limits, if not totally, the margin of competition that would exist among the three notaries if they were to carry out their activity completely independently, such that the public could perceive that in the city of Ceuta there exists a notarial offer configured by three distinct services.</w:t>
      </w:r>
    </w:p>
    <w:p>
      <w:r>
        <w:t>It would therefore be an agreement among the three notaries objectively capable of restricting competition, without this assessment being undermined either by any potential discounts that could be evidenced by the invoices provided, nor by the statements of satisfaction regarding the service from a number of clients of the defendants.</w:t>
      </w:r>
    </w:p>
    <w:p>
      <w:r>
        <w:t>They argue that they have not agreed on prices, that they have never shared clients, and that they have exercised their profession with total independence. In this context, given that the expense of anyone requiring the services of a notary in Ceuta will ultimately be an income for the society, no explicit sharing of clients is necessary, since there is, in reality, only one offering society.</w:t>
      </w:r>
    </w:p>
    <w:p>
      <w:r>
        <w:t>Ultimately, it is the very configuration of providing notarial services under a single society that leads all notaries in Ceuta, who should act as independent operators, to act as an economic unit, as a single provider and in common agreement, thereby engaging in anti-competitive conduct. This conduct objectively eliminates the margin for competition among them, a margin that is already extremely narrow.</w:t>
      </w:r>
    </w:p>
    <w:p>
      <w:r>
        <w:rPr>
          <w:b/>
        </w:rPr>
        <w:t>[Pages 13–15]</w:t>
      </w:r>
    </w:p>
    <w:p>
      <w:r>
        <w:t>Thus, the facts, along with the assessment reached by the Directorate of Investigation, and shared by this Council, cannot accept the allegations of the defendants who, through various invoices, seek to demonstrate that there is competition in prices. On one hand, this is documentation provided according to the prior selection made by the party, so it cannot have the evidentiary value that is intended. Especially considering, let us remember, that we are not facing an accusation of price-fixing that can be refuted with evidence of the application of different prices, but rather a broader conduct; it is an agreement to unify the offer of services under a single economic operator, the created society, which entails renouncing to compete as they should be, three independent operators.</w:t>
      </w:r>
    </w:p>
    <w:p>
      <w:r>
        <w:t>The fact that a set of letters from clients declaring their satisfaction with the services provided by the notaries in the City of Ceuta has been submitted to the file does not refute the anticompetitive nature of the conduct, since the fact that the services offered by these notaries meet the price and quality expectations of some clients does not necessarily imply that they have been able to choose among three competing offers.</w:t>
      </w:r>
    </w:p>
    <w:p>
      <w:r>
        <w:t>And finally, it is also not irrelevant, from the perspective of competition, that the Regulation of Organization and Regime of Notaries establishes in its article 42 as conditions for granting authorization to share notaries that the corresponding district does not have less than five notary positions and that not all notaries in the population intend to act in the same place. In this case, the notaries lack the mandatory authorization from the Board of Directors of the Notarial College to act in the same premises as they are doing. It is important to highlight that in the report of the General Directorate of Registries and Notaries on June 15, 2012, it is indicated "that the notaries (of the City of Ceuta) could be colluding with each other, which could affect the safeguarding of the right to freely choose a notary and the principle of free competition." For this reason, the Notarial College of Andalusia has initiated a sanctioning file against the notaries for non-compliance with the duties and obligations imposed by notarial legislation.</w:t>
      </w:r>
    </w:p>
    <w:p>
      <w:r>
        <w:t>FIFTH.- On the imputation of responsibilities</w:t>
      </w:r>
    </w:p>
    <w:p>
      <w:r>
        <w:t>Having established that the conduct analyzed in this file infringes article 1 LDC, it is now necessary to establish the responsibility for it. The three notaries of Ceuta have agreed to offer their services under a formula that allows them to pool their income and expenses, for which they require an operational instrument such as the Notaría de Ceuta S.C. However, the three notaries are the three economic operators who, as such, issue invoices for their services in their own name, and therefore they are responsible for pooling the income and expenses generated in the operational instrument Civil Society Notary of Ceuta. As a result, the responsibility for the conduct falls directly on each of the three notaries associated in Notaría de Ceuta, from the moment they freely decide to become part of the agreement.</w:t>
      </w:r>
    </w:p>
    <w:p>
      <w:r>
        <w:t>This personal responsibility in the conduct implies that although there has been unlawful conduct under the LDC since April 1, 2002, the responsibility for it extends until the moment each of the responsible subjects ceases in it, and if more than four years elapse from that moment until the commencement of the actions of the Directorate of Investigation, the responsibility will have prescribed, by virtue of article 68 LDC. This is the circumstance that occurs regarding the responsibility of Mr. José Eduardo García Pérez as a partner of Notaría de Ceuta S.C. during the period from April 1, 2002, to March 4, 2004.</w:t>
      </w:r>
    </w:p>
    <w:p>
      <w:r>
        <w:t>Therefore, the objective responsibility for the conduct resulting from the analyzed conduct is as follows: Mr. Antonio Fernández Naveiro, since April 1, 2002; Mr. Ignacio Javier Moreno Vélez, since May 6, 2009; and Mr. José Eduardo García Pérez, since November 1, 2008.</w:t>
      </w:r>
    </w:p>
    <w:p>
      <w:r>
        <w:t>SIXTH.- On the calculation of the sanction</w:t>
      </w:r>
    </w:p>
    <w:p>
      <w:r>
        <w:t>Having determined the existence of an infringement of article 1 LDC, the same norm establishes in article 62.4.a) that behaviors consisting of cartels or other agreements, decisions or collective recommendations, concerted practices or consciously parallel practices among competing companies, whether real or potential, will be classified as very serious infringements.</w:t>
      </w:r>
    </w:p>
    <w:p>
      <w:r>
        <w:t>Since this type of infringement warrants an economic sanction, the calculation must adhere to the regulation contained in articles 61 to 64 of the LDC, which establishes the fundamental criteria that must be taken into account when determining said amount, criteria that have been the basis established in the "Communication of the CNC on the quantification of sanctions derived from infringements of articles 1, 2, and 3 of Law 15/2007, of July 3, on the Defense of Competition and articles 81 and 82 of the Treaty of the European Community," published in the B.O.E on February 11, 2009.</w:t>
      </w:r>
    </w:p>
    <w:p>
      <w:r>
        <w:t>And entering into the specific calculation of the sanction, the criteria of article 64 of the LDC, namely: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consequence of the infringement; and g) the aggravating and mitigating circumstances that occur in relation to each of the responsible companies, have been included in the calculation of the sanction contemplated in the Communication to achieve compliance with the principles of proportionality and deterrence that are expected from them and that the Supreme Court has recalled in numerous rulings (among others, of November 24, 1987, October 23, 1989, May 14, 1990, and July 15, 2002) that they must fulfill.</w:t>
      </w:r>
    </w:p>
    <w:p>
      <w:r>
        <w:t>Following the principle of transparency that has been sought to be granted to the sanctioning work of the CNC, and in accordance with paragraph (10) of the Communication, "The volume of sales affected by the infringement will be the weighted sum of the sales obtained by the infringer in the product or service and geographical markets where the infringement has produced or is likely to produce effects, during the time that the infringement has taken place and before the application of VAT and other related taxes. The sales of each period will be weighted according to what is provided in point (15)."</w:t>
      </w:r>
    </w:p>
    <w:p>
      <w:r>
        <w:t>The market affected by the conduct is that of notarial services in the city of Ceuta, services that are entirely provided by the three notaries charged in this file through the Notaría de Ceuta S.C. Consequently, the billing volumes of the society during the period that the conduct lasted and according to the participation of each of the defendants in it must be taken into account.</w:t>
      </w:r>
    </w:p>
    <w:p>
      <w:r>
        <w:t>Given that the incorporation of each of them into the society dates from different times, the exact moment when each of them joined has been taken into account for the corresponding calculation of the sanction, having been requested for this the corresponding billing volume from that date. In the case of the responsibility derived from April 1, 2002, in response to the CNC's request for information, the response has been to provide data related to the last five years, claiming that there is no obligation to retain such information for a longer period. In this specific case, the business volumes corresponding to the years 2001 to 2007, both inclusive, have been estimated as the arithmetic mean of the last five years, and similarly, the corresponding participation of this notary in the society has been estimated.</w:t>
      </w:r>
    </w:p>
    <w:p>
      <w:r>
        <w:t>Regarding the effects of the conduct, as has already been argued, the unification in a single office hinders the perception that they are truly three independent notaries, so, on the demand side, this perception of lack of independence disincentivizes clients from even attempting to negotiate prices or conditions of service with the notaries. On the supply side, since all income generated by the services provided by the three partners is pooled and then distributed almost equally, there is no incentive for them to reduce prices to attract a client, who will surely be attended to by the society in any case. The effect is a total absence of competition in the notarial services of the city of Ceuta (the market affected by the conduct), despite the fact that given the size of the city, the regulator itself understood that there was sufficient market for there to be more than one provider and that, therefore, some competitive tension could be established among them.</w:t>
      </w:r>
    </w:p>
    <w:p>
      <w:r>
        <w:t>For this reason, and taking into account the nature of the infringement, an agreement among competitors, very serious; the scope of it, the entirety of the city of Ceuta; the absence of alternatives for demand, they are the only providers in this market; and the type of product, an intermediate service required as mandatory in most documented economic transactions, according to paragraph (14) of the Communication should not be set below 10%.</w:t>
      </w:r>
    </w:p>
    <w:p>
      <w:r>
        <w:t>Neither the Directorate of Investigation nor the Council have appreciated that there are mitigating or aggravating circumstances. Applying these criteria, the basic amount of the sanctions to be applied would be:</w:t>
      </w:r>
    </w:p>
    <w:p>
      <w:r>
        <w:rPr>
          <w:b/>
        </w:rPr>
        <w:t>[Pages 16–17]</w:t>
      </w:r>
    </w:p>
    <w:p>
      <w:r>
        <w:t>NOTARY BASIC AMOUNT</w:t>
        <w:br/>
        <w:t>Antonio Fernández Naveiro 182,787</w:t>
        <w:br/>
        <w:t>Jose Eduardo García Pérez 146,475</w:t>
        <w:br/>
        <w:t>Ignacio Javier Moreno Vélez 127,184</w:t>
        <w:br/>
        <w:t>Notwithstanding this calculation of the sanction, before resolving its imposition, the Council must observe compliance with article 63.1.c) of the LDC, which establishes that very serious infringements may be sanctioned with a fine of up to 10% of the total turnover of the infringing company in the fiscal year immediately preceding the imposition of the fine. Taking into account the total billing volume corresponding to each of the sanctioned parties in the fiscal year immediately preceding the imposition of the fine, that is, 2012, the fines that ultimately correspond are as follows:</w:t>
        <w:br/>
        <w:t>NOTARY SANCTION €</w:t>
        <w:br/>
        <w:t>Antonio Fernández Naveiro 45,574</w:t>
        <w:br/>
        <w:t>Jose Eduardo García Pérez 45,347</w:t>
        <w:br/>
        <w:t>Ignacio Javier Moreno Vélez 42,517</w:t>
        <w:br/>
        <w:t>Based on the above, the Council, with the composition mentioned at the beginning, having seen the cited provisions and the others of general application,</w:t>
        <w:br/>
        <w:t>HAS RESOLVED</w:t>
        <w:br/>
        <w:t>FIRST.- To declare that the agreement maintained among notaries of the Notarial District of Ceuta for the coordination in the provision of their notary services constitutes a prohibited conduct under article 1.1 of Law 15/2007 for which Mr. Antonio Fernández Naveiro, Mr. Jose Eduardo García Pérez, and Mr. Ignacio Javier Moreno Vélez are responsible.</w:t>
        <w:br/>
        <w:t>SECOND. To impose the following sanctioning fines:</w:t>
        <w:br/>
        <w:t>- To Antonio Fernández Naveiro, €45,574 (Forty-five thousand five hundred seventy-four Euros).</w:t>
        <w:br/>
        <w:t>- To Jose Eduardo García Pérez, €45,347 (Forty-five thousand three hundred forty-seven Euros).</w:t>
        <w:br/>
        <w:t>- To Ignacio Javier Moreno Vélez, €42,517 (Forty-two thousand five hundred seventeen Euros).</w:t>
        <w:br/>
        <w:t>THIRD. To order Mr. Antonio Fernández Naveiro, Mr. Jose Eduardo García Pérez, and Mr. Ignacio Javier Moreno Vélez to cease the infringing conduct by eliminating the elements that configure the offer of notary services in Ceuta as a unique offer, instead of the three concurrent offers corresponding to the existence of three notary positions in Ceuta, as well as to refrain from making equivalent agreements in the future.</w:t>
      </w:r>
    </w:p>
    <w:p>
      <w:r>
        <w:t>FOURTH.- To order the infringing parties to adopt, within three months from the notification of this Resolution, the necessary measures or conduct to cease the conduct declared prohibited in the first resolve. In case of non-compliance with this obligation, a coercive fine of €600 will be imposed on each of them for each day of delay in compliance.</w:t>
        <w:br/>
        <w:t>FIFTH.- To urge the Directorate of Investigation to monitor the full compliance with this Resolution.</w:t>
        <w:br/>
        <w:t>Communicate this Resolution to the Directorate of Investigation of the National Competition Commission and notify the interested parties, informing them that there is no administrative appeal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