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https://www.cnmc.es/expedientes/s043412</w:t>
      </w:r>
    </w:p>
    <w:p>
      <w:r>
        <w:t>Pages translated : 6</w:t>
      </w:r>
    </w:p>
    <w:p/>
    <w:p>
      <w:r>
        <w:rPr>
          <w:b/>
        </w:rPr>
        <w:t>[Pages 1–3]</w:t>
      </w:r>
    </w:p>
    <w:p>
      <w:r>
        <w:t>JURISPRUDENCE</w:t>
        <w:br/>
        <w:t>Ruling: SAN 466/2015 - ECLI: ES:AN:2015:466</w:t>
        <w:br/>
        <w:t>Cendoj ID: 28079230062015100049</w:t>
        <w:br/>
        <w:t>Body: National Court. Administrative Litigation Chamber</w:t>
        <w:br/>
        <w:t>Venue: Madrid</w:t>
        <w:br/>
        <w:t>Section: 6</w:t>
        <w:br/>
        <w:t>Date: 02/25/2015</w:t>
        <w:br/>
        <w:t>Case Number: 544/2013</w:t>
        <w:br/>
        <w:t>Resolution Number:</w:t>
        <w:br/>
        <w:t>Procedure: ORDINARY PROCEDURE</w:t>
        <w:br/>
        <w:t>Rapporteur: ANA ISABEL RESA GOMEZ</w:t>
        <w:br/>
        <w:t>Type of Resolution: Judgment</w:t>
        <w:br/>
        <w:t>N A T I O N A L C O U R T</w:t>
        <w:br/>
        <w:t>Administrative Litigation Chamber</w:t>
        <w:br/>
        <w:t>SIXTH SECTION</w:t>
        <w:br/>
        <w:t>Case Number: 0000544 / 2013</w:t>
        <w:br/>
        <w:t>Type of Appeal: ORDINARY PROCEDURE</w:t>
        <w:br/>
        <w:t>General Registry Number: 05214/2013</w:t>
        <w:br/>
        <w:t>Plaintiff: Mr. Jesús Luis</w:t>
        <w:br/>
        <w:t>Procurator: Ms. LAURA LOZANO MONTALVO</w:t>
        <w:br/>
        <w:t>Defendant: NATIONAL COMPETITION COMMISSION</w:t>
        <w:br/>
        <w:t>Co-defendant: COLLEGE OF PROPERTY, COMMERCIAL, AND MOVABLE PROPERTY REGISTRARS OF SPAIN</w:t>
        <w:br/>
        <w:t>State Attorney</w:t>
        <w:br/>
        <w:t>Rapporteur Hon. Ms.: Ms. ANA ISABEL RESA GÓMEZ</w:t>
        <w:br/>
        <w:t>JUDGMENT NO:</w:t>
        <w:br/>
        <w:t>Hon. Ms. President:</w:t>
        <w:br/>
        <w:t>Ms. CONCEPCIÓN MÓNICA MONTERO ELENA</w:t>
        <w:br/>
        <w:t>Hon. Sirs. Magistrates:</w:t>
        <w:br/>
        <w:t>Ms. ANA ISABEL RESA GÓMEZ</w:t>
        <w:br/>
        <w:t>Mr. JAVIER EUGENIO LÓPEZ CANDELA</w:t>
        <w:br/>
        <w:t>Madrid, on the twenty-fifth of February two thousand fifteen.</w:t>
        <w:br/>
        <w:t>Having seen the contentious-administrative appeal No. 544/13 filed before this Sixth Section of the Administrative Litigation Chamber of the National Court by Mr. Jesús Luis represented by Procurator Ms. Laura Lozano Montalvo against the resolution of the Council of the National Competition Commission (CNC) of September 20, 2013 (case file NUM001) regarding the complaint filed for the alleged violation of Article 1 of Law 15/07, of July 3, on the Defense of Competition. The defendant Administration has been represented and defended by the State Attorney, with the College of Property, Commercial, and Movable Property Registrars of Spain acting as co-defendant, represented by Procurator Mr. Manuel Lanchares Perlado. The amount of the appeal is indeterminate. The Hon. Ms. Dª. ANA ISABEL RESA GÓMEZ has acted as Rapporteur.</w:t>
      </w:r>
    </w:p>
    <w:p>
      <w:r>
        <w:t>JURISPRUDENCE</w:t>
        <w:br/>
        <w:t>FACTUAL BACKGROUND</w:t>
        <w:br/>
        <w:t>FIRST: On September 20, 2013, the Council of the National Competition Commission issued a resolution in case file S/0434/11, processed by the Investigation Directorate of the CNC following the complaint filed by Mr. Jesús Luis against the College of Property, Commercial, and Movable Property Registrars of Spain for the alleged violation of Article 1 of Law 15/07, of July 3, on the Defense of Competition with the following dispositive part:</w:t>
        <w:br/>
        <w:t>"SOLE: Not to initiate sanctioning proceedings and to archive the reserved information file No. NUM001 initiated by the Investigation Directorate of the National Competition Commission against the College of Property, Commercial, and Movable Property Registrars of Spain."</w:t>
        <w:br/>
        <w:t>SECOND: On November 19, 2013, the legal representation of the plaintiff filed a contentious-administrative appeal against said act before this Administrative Litigation Chamber of the National Court. It was assigned to the Sixth Section where it was admitted for processing, requesting the administrative file. A complaint was filed on February 27, 2014, in which the party requested a judgment declaring the full nullity of the agreement of the College of Property Registrars adopted by the Assembly of Deans in its session of July 18, 2012, for infringing Article 1 of Law 15/2007 of July 3, on the Defense of Competition and in accordance with Articles 35 to 53 of the aforementioned legal text.</w:t>
        <w:br/>
        <w:t>The State Attorney was summoned to respond to the complaint, submitting a document in which he requested the dismissal of the appeal, although he previously invoked inadmissibility due to procedural deviation, a request that was also reiterated by the co-defendant College in its response document.</w:t>
        <w:br/>
        <w:t>THIRD: No request was made for the case to be admitted to evidence or for the conclusion phase, and the proceedings remained pending for scheduling for voting and ruling, which was carried out for February 24, 2015, having observed all legal prescriptions in the processing of this appeal.</w:t>
        <w:br/>
        <w:t>HAVING SEEN the legal articles cited by the parties and others of general and pertinent application, and being the Rapporteur</w:t>
      </w:r>
    </w:p>
    <w:p>
      <w:r>
        <w:t>LEGAL REASONING</w:t>
        <w:br/>
        <w:t>FIRST: The contested act is a resolution of the Council of the National Competition Commission which, under the provisions of Article 49.3 of Law 15/2007, agrees not to initiate a sanctioning procedure and to archive the proceedings followed by the Investigation Directorate, considering that the facts reported do not show rational indications of the existence of conduct prohibited by Articles 1, 2, and 3 of the Law.</w:t>
        <w:br/>
        <w:t>The factual data to be considered for the resolution of this contentious matter are as follows:</w:t>
        <w:br/>
        <w:t>1.- On September 10, 2012, a document from Mr. Jesús Luis, Property Registrar of the El Puerto de Santa María number 1 Registry, was received by the National Competition Commission, in which he filed a complaint against the College of Property, Commercial, and Movable Property Registrars of Spain for alleged prohibited conduct under Law 15/2007, of July 3, on the Defense of Competition (LDC).</w:t>
        <w:br/>
        <w:t>2.- Mr. Jesús Luis alleges that the agreement approved by the College in its session of July 18, 2012, would culminate a series of practices contrary to Article 1 of the LDC in the area of advertising services. Specifically, according to the complainant, the College would be preventing the free choice of Property Registrar in the request for registration information, the use of fax as a communication system between Registries, and free billing with discounts by the Registrar receiving the information request. To this end, the College would be imposing the use of the File of Registered Ownership Locations (hereinafter FLOTI) on all registrars.</w:t>
        <w:br/>
        <w:t>3.- In light of this information, the DI agreed to carry out a reserved inquiry under number NUM000 to determine the existence of indications of infringement that could motivate the initiation of a sanctioning procedure.</w:t>
        <w:br/>
        <w:t>4.- On May 17, 2013, the CNC Council received a Proposal from the Investigation Directorate not to initiate the sanctioning procedure, as well as to archive the proceedings followed as a result of the complaint filed, considering that there are no indications of infringement of the aforementioned Law.</w:t>
        <w:br/>
        <w:t>5.- On September 20, 2013, the CNC Council issued the resolution agreeing not to initiate a sanctioning procedure, and the interested party, disagreeing with this, filed a contentious-administrative appeal.</w:t>
      </w:r>
    </w:p>
    <w:p>
      <w:r>
        <w:t>JURISPRUDENCE</w:t>
        <w:br/>
        <w:t>SECOND: The plaintiff alleges several grounds as the basis for her annulment claim, all of which refer not to the resolution of September 20 by the CNMC, against which the contentious-administrative appeal was filed, but to the agreement adopted by the Assembly of Deans of the College of Registrars in its session of July 18, 2012:</w:t>
        <w:br/>
        <w:t>1.- The lack of competence of the College of Registrars to regulate the professional activity of property registrars as public officials, which violates the principle of normative hierarchy.</w:t>
        <w:br/>
        <w:t>2.- The violation of the principle of legality since it is not within the competence of the Directorate General of Registries and Notaries to regulate, through instructions and circulars, those issues related to the organization and functioning of the registry.</w:t>
        <w:br/>
        <w:t>3.- Inconsistency with the regulation on data protection and with the General Telecommunications Law.</w:t>
        <w:br/>
        <w:t>4.- The agreement of the College of Registrars of July 18, 2012 restricts the free choice of registrar in the area of informative advertising.</w:t>
        <w:br/>
        <w:t>For this reason, she requests the declaration of full nullity of said agreement, without making any allegation regarding the legality of the CNMC resolution that agrees not to initiate sanctioning proceedings and to archive the reserved information file.</w:t>
        <w:br/>
        <w:t>THIRD: The State Attorney and the co-defendant College consider that the contentious appeal should be declared inadmissible under the provisions of Article 69 c) of the LJCA for having as its object "provisions, acts or actions not susceptible to challenge," as the action of the appellant incurs "procedural deviation" with a clear violation of Articles 45.1 and 56.1 of the LJCA.</w:t>
        <w:br/>
        <w:t>In this regard, it is worth noting that the appeal is filed against the resolution of the CNC dated September 20, 2013, which agrees not to initiate a sanctioning procedure and to archive the reserved information file; however, what is requested in the petition of the complaint is the declaration of full nullity of the agreement of the College of Registrars adopted by the Assembly of Deans in its session of July 18, 2012, which is the one that gave rise to the complaint raised, resulting in a significant discrepancy between what is contested and what is requested.</w:t>
        <w:br/>
        <w:t>As the Supreme Court has stated, when the claim previously formulated in the administrative process is altered in the contentious-administrative process, introducing new issues, procedural deviation occurs, which leads to the inadmissibility of that claim, in accordance with the provisions of Article 69, c) of the Contentious-Administrative Jurisdiction (see, among others, Supreme Court Judgment of January 17, 2014, Appeal No. 1022/2010).</w:t>
        <w:br/>
        <w:t>Thus, it is a constant jurisprudence of the Court itself that "the document of filing the contentious-administrative appeal specifies the administrative acts on which the reviewing action of this jurisdiction can be projected, thus delimiting the substantial content of the process. This cannot be altered later in the complaint except in cases of expansion that -as we have said- had been excluded outright in this case. If the contested acts are altered at the subsequent procedural moment of the complaint, procedural deviation occurs, which inevitably leads to the inadmissibility of the appeal against them" (Supreme Court Judgment of September 22, 2011, Appeal 4312/2007, which cites many others).</w:t>
        <w:br/>
        <w:t>To such an extent does procedural deviation exist that if the object of the process had been the collegial agreement, the Administration would lack passive legitimacy, the appeal would be inadmissible for having been filed out of time, and the National Court would be incompetent to hear it.</w:t>
        <w:br/>
        <w:t>FOURTH: Nevertheless, and for purely dialectical purposes, if we were to consider that the contested resolution is that of the CNC of September 20, 2013, the ruling would be dismissive.</w:t>
        <w:br/>
        <w:t>Indeed, the DI bases the proposal for archiving on the following considerations, which the Council adopts:</w:t>
        <w:br/>
        <w:t>"In particular, regarding the restriction on the free choice of registrar reported, the Council does not observe indications of such restriction in the prohibition of the use of fax as a mechanism of interconnection between property registries when the request for a simple note is submitted to a registry other than where the property is registered. As noted by the Undersecretariat of Justice, fax is a technology that does not meet the requirements of integrity and protection of the requested information arising from the LOPD, while the FLOTI system allows obtaining information in real time (unlike fax) with the efficiencies in terms of time and resources that this entails for the benefit of users of registry services, and with full respect for personal data protection regulations.</w:t>
      </w:r>
    </w:p>
    <w:p>
      <w:r>
        <w:rPr>
          <w:b/>
        </w:rPr>
        <w:t>[Pages 4–6]</w:t>
      </w:r>
    </w:p>
    <w:p>
      <w:r>
        <w:t>JURISPRUDENCE</w:t>
        <w:br/>
        <w:t>Regarding the restriction on free billing reported, the sectoral regulator, the Directorate General of Registries and Notaries, states that the registrar cannot apply any type of discount on the amount of the fee approved by Decree 1427/1989 (art. 4.f), which functions as a fixed price that the registrar must charge in all cases. The reported College expresses the same view when it states that "There are no users who are charged a different amount except for Public Administrations, which have a discounted fee treatment, as evidenced by section 3 of number 2 of Annex I of Royal Decree 1427/1989, of November 17." The Council does not find the presence of public interest or technical reason that justifies that the registrar cannot agree to discounts for the issuance of simple notes through the FLOPI system (for example, based on the type of client, volume of notes requested, or frequency), as it is a rule, the fixed price, that disincentivizes economic efficiency in the provision of an essential public service for the legal security of economic transactions. Therefore, the State Attorney considers that the initiation of sanctioning proceedings is a discretionary power of the Administration and that the decision to archive is sufficiently motivated.</w:t>
      </w:r>
    </w:p>
    <w:p>
      <w:r>
        <w:t>FIFTH: The issue that must be addressed in this case is related to delineating the obligations of the competition authority when a natural or legal person files a complaint for anti-competitive practice, and more specifically whether there is an obligation on the part of that administration to investigate, the course that should be taken regarding the substance of each complaint, and the extent of judicial control in these cases. The STPI of September 18, 1992, case T-24/90 Automec, paragraphs 73 to 81, addressed these issues with a doctrine that has remained unchanged over time. For its relevance and applicability to the present matter, paragraphs 73 to 81 of that resolution are reproduced, without the regulatory changes that have occurred since then affecting the essence of the "ratio" of the doctrine contained in the cited resolution:</w:t>
      </w:r>
    </w:p>
    <w:p>
      <w:r>
        <w:t>"73. To define the obligations of the Commission in this context, it must be preliminarily noted that it is responsible for the application and orientation of community competition policy (see the judgment of the Court of Justice, of February 28, 1991, Delimitis, C-234/89, Rec. pp. 935 et seq., especially p. 991). This is why paragraph 1 of Article 89 of the Treaty assigns it the mission of ensuring the application of the principles established by Articles 85 and 86 and that the provisions adopted based on Article 87 confer broad powers.</w:t>
      </w:r>
    </w:p>
    <w:p>
      <w:r>
        <w:t>74. The scope of the Commission's powers in the field of competition law must be examined in light of paragraph 1 of Article 89 of the Treaty, which, in this area, constitutes the specific manifestation of the general mission of oversight entrusted to the Commission by Article 155 of the Treaty. However, as the Court of Justice has pointed out within the framework of Article 169 of the Treaty (judgment of February 14, 1989, Star Fruit/Commission, 247/87, Rec. pp. 291 et seq., especially p. 301), this mission does not imply that the Commission is obliged to initiate proceedings aimed at proving possible violations of community law.</w:t>
      </w:r>
    </w:p>
    <w:p>
      <w:r>
        <w:t>75. In this regard, the Court of First Instance points out that from the case law of the Court of Justice (judgment of October 18, 1979, GEMA, previously cited, pp. 3173 et seq., especially p. 3189), it follows that among the rights conferred to the complainants by Regulations No. 17 and No. 99/63, there is no right to obtain a Decision, in the sense of Article 189 of the Treaty, regarding whether or not the alleged infringement exists. It follows that the Commission cannot be obliged to rule on this matter, except when the subject of the complaint falls within its exclusive competences, as occurs with the revocation of an exemption granted under paragraph 3 of Article 85 of the Treaty.</w:t>
      </w:r>
    </w:p>
    <w:p>
      <w:r>
        <w:t>76. Since the Commission is not obliged to rule on whether or not an infringement exists, it cannot be compelled to carry out an investigation, as this could only aim to ascertain the evidence regarding whether or not an infringement exists that it is not obliged to declare. In this regard, it should be noted that, unlike what is provided in the second sentence of paragraph 1 of Article 89 of the Treaty, in cases of requests submitted by Member States, Regulations No. 17 and No. 99/63 do not expressly require the Commission to initiate investigations into the complaints presented to it.</w:t>
      </w:r>
    </w:p>
    <w:p>
      <w:r>
        <w:t>77. In this regard, it should be noted that it is an inherent element of the exercise of administrative activity the competence of the holder of a public service mission to adopt all necessary organizational measures for the fulfillment of the mission entrusted to it, including the definition of priorities, within the framework established by law, when such priorities have not been defined by the legislator. This should be the case, especially when an authority has been entrusted with a mission of oversight and control as broad and general as that attributed to the Commission in the field of competition. Therefore, the fact that the Commission grants different degrees of priority to the cases submitted to it in the field of competition rules is in accordance with the obligations imposed on it by community law.</w:t>
      </w:r>
    </w:p>
    <w:p>
      <w:r>
        <w:t>78. This viewpoint is not contrary to the judgments of the Court of Justice, of October 11, 1983 (210/81), previously cited; of March 28, 1985, CICCE (298/93, Rec. p. 1105), and of November 17, 1987, BAT and Reynolds/Commission (joined cases 142/84 and 156/84, Rec. p. 4487). Indeed, in the Demo-Studio Schmidt judgment, the Court of Justice considered that the Commission "had to examine the facts presented" by the complainant, without prejudging, however, the question of whether the Commission could refrain from conducting an investigation into the complaint, since, in that case, the Commission had examined the facts presented in the complaint and dismissed it for lack of evidence to conclude that an infringement existed. This question was also not raised in the subsequent cases CICCE (298/83, previously cited) and BAT and Reynolds (joined cases 142/84 and 156/84, previously cited).</w:t>
      </w:r>
    </w:p>
    <w:p>
      <w:r>
        <w:t>79. However, while the Commission cannot be compelled to carry out an investigation, the procedural guarantees provided in Article 3 of Regulation No. 17 and in Article 6 of Regulation No. 99/63 require it to carefully examine the factual and legal elements brought to its attention by the complainant, in order to determine whether such elements reveal conduct that may distort competition within the common market and affect trade between Member States (see the judgments of the Court of Justice of October 11, 1983, Demo-Studio Schmidt, of March 28, 1985, CICCE, and of November 17, 1987, BAT and Reynolds, previously cited).</w:t>
      </w:r>
    </w:p>
    <w:p>
      <w:r>
        <w:t>80. When, as occurs in the present case, the Commission has adopted a decision to archive the complaint without conducting any investigation, the legality control that this Court must carry out aims to verify that the contested decision is not based on materially inaccurate facts, is not vitiated by any error of law, nor by any manifest error of appraisal or abuse of power.</w:t>
      </w:r>
    </w:p>
    <w:p>
      <w:r>
        <w:t>81. It is for the Court of First Instance, in light of these principles, to first verify whether the Commission conducted the examination of the complaint to which it was obliged, evaluating, with all necessary attention, the factual and legal elements presented by the complainant in her complaint and, secondly, whether the Commission correctly motivated its decision to archive the complaint, invoking its power to "grant different degrees of priority in the initiation of proceedings on the matters submitted to it," on the one hand, and referring to the community interest of the matter as a criterion of priority, on the other."</w:t>
      </w:r>
    </w:p>
    <w:p>
      <w:r>
        <w:t>SIXTH: The previous doctrine raises and resolves a situation that goes even beyond the reality underlying the present case, as it emphasizes on the one hand that there is no subjective right of the complainant to obtain a declaration on the existence or non-existence of the infringement, which implies that there is no legally enforceable duty that imposes on the Commission the obligation to initiate an investigation, and on the other hand, that the competition authority, for the correct exercise of the powers entrusted to it, can even establish degrees of priority in investigations. In both cases, the aforementioned decisions, necessarily taken based on a detailed examination of the facts and allegations made by the complainant, are subject to further judicial control, which excludes the assessment of the opportunity in making the decision, as it is limited to verifying that the contested decision is not based on materially inaccurate facts, is not vitiated by any error of law, nor by any manifest error of appraisal, nor by abuse of power. In the present case, the action of the CNC falls within the first of the options previously contemplated, that is, the obligation to rule on the existence or non-existence of a specific infringement.</w:t>
      </w:r>
    </w:p>
    <w:p>
      <w:r>
        <w:t>SEVENTH: The decision to archive the complaint by the CNC is preceded by a preliminary investigation activity carried out by the DI. The CNC fully assumed the facts and the proposal, which conducted an analysis of the reported situation. The resolution of the CNC contains a sufficient account of the facts, in which no serious inaccuracy causing defenselessness has been revealed, and furthermore, a reasoning that on the one hand allows the appellant to understand the reasons for the denial of her request, enabling the exercise of judicial actions and on the other hand cannot be classified as incurring a manifest error of appraisal, arbitrariness, or constituting an abuse of power, when it states that the FLOTI system established by instruction of April 10, 2000, of the DGRN is supported by mortgage legislation. In short, the CNC does not perceive a misapplication of its powers that has led it to the decision not to initiate sanctioning proceedings, so, in its case, it would be appropriate to dismiss the appeal.</w:t>
      </w:r>
    </w:p>
    <w:p>
      <w:r>
        <w:t>EIGHTH: From all the above derives the inadmissibility of the present appeal due to procedural deviation and in accordance with the provisions of Article 139 of the LJCA, it is appropriate to impose costs on the appellant, the losing party in this process. VIEWED the cited precepts and others of general and pertinent application, by the power granted to us by the Constitution:</w:t>
      </w:r>
    </w:p>
    <w:p>
      <w:r>
        <w:t>WE DECREE</w:t>
        <w:br/>
        <w:t>TO DISMISS the contentious-administrative appeal filed by the legal representation of Mr. Jesús Luis against the resolution of the Council of the National Competition Commission (CNC) of September 20, 2013 (case file NUM001) to which the claim refers. Costs are imposed on the plaintiff. Thus, by this our judgment, which will be notified stating that an appeal for cassation can be filed against it, following the instructions prescribed in Article 248 of Organic Law 6/1985, and a testimony of which will be sent in due course to the originating office for legal purposes along with the case file, if applicable, we pronounce, command, and sign.</w:t>
      </w:r>
    </w:p>
    <w:p>
      <w:r>
        <w:t>PUBLICATION.- The previous judgment was read and published in the usual manner by the Honorable Ms. Magistrate Rapporteur, being constituted in public hearing, of which I, the Secretary, attest.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