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https://www.cnmc.es/expedientes/s043512</w:t>
      </w:r>
    </w:p>
    <w:p>
      <w:r>
        <w:t>Pages translated : 19</w:t>
      </w:r>
    </w:p>
    <w:p/>
    <w:p>
      <w:r>
        <w:rPr>
          <w:b/>
        </w:rPr>
        <w:t>[Pages 1–3]</w:t>
      </w:r>
    </w:p>
    <w:p>
      <w:r>
        <w:t>RESOLUTION Expte. S/0435/12 COLLEGE OF REGISTRARS</w:t>
        <w:br/>
        <w:t>COUNCIL</w:t>
        <w:br/>
        <w:t>Mr. Joaquín García Bernaldo de Quirós, President</w:t>
        <w:br/>
        <w:t>Ms. Pilar Sánchez Núñez, Vice President</w:t>
        <w:br/>
        <w:t>Mr. Julio Costas Comesaña, Councilor</w:t>
        <w:br/>
        <w:t>Ms. Mª. Jesús González López, Councilor</w:t>
        <w:br/>
        <w:t>Ms. Inmaculada Gutiérrez Carrizo, Councilor</w:t>
        <w:br/>
        <w:t>Mr. Luis Díez Martín, Councilor</w:t>
        <w:br/>
        <w:t>In Madrid, on October 3, 2013.</w:t>
        <w:br/>
        <w:t>The Council of the National Competition Commission, hereinafter referred to as the Council, with the composition expressed and with the Rapporteur being Councilor Ms. Inmaculada Gutiérrez Carrizo, has issued the following Resolution in the reserved information file S/0435/12 COLLEGE OF REGISTRARS, processed by the Directorate of Investigation (DI), in response to the complaint filed by Mr. XXX, holder of the Central Commercial Registry II, against the College of Property, Commercial, and Movable Goods Registrars of Spain for what may constitute a violation of Law 15/2007, of July 3, on the Defense of Competition (LDC).</w:t>
        <w:br/>
        <w:t>FACTUAL BACKGROUND</w:t>
        <w:br/>
        <w:t>1. On September 14, 2012, a letter from Mr. XXX, holder of the Central Commercial Registry II (RMC), was received by the National Competition Commission (CNC), in which a complaint was filed against the College of Property, Commercial, and Movable Goods Registrars of Spain (hereinafter College) for alleged conduct prohibited by Law 15/2007, of July 3, on the Defense of Competition (LDC) (folios 1-669). The complaint raises a series of practices by the College that have the object and effect of distorting competition in the provision of formal publicity services:</w:t>
        <w:br/>
        <w:t>− The College has decided to intrude into the realm of informative publicity services without the necessary legal authorization, overstepping its functions. It has developed a boycott strategy that affects the provision of formal publicity services carried out by the RMC. On one hand, the College incites the Territorial Commercial Registries (RMTs) not to provide information to the RMC regarding the filing of annual accounts by registered companies, affecting the quality of the information that the RMC provides. According to the holder of RMC II, the data requested from the RMTs is necessary to carry out the function of centralizing registry information attributed to the RMC itself. On the other hand, the College's website partially describes the services provided by the RMC, providing free publicity for the File of Location of Registered Entities (FLEI) from that website.</w:t>
        <w:br/>
        <w:t>− The establishment of an unjustified remuneration structure for the provision of these services, violating Article 1 of the LDC. There is an increase in the price that users must pay for the use of the FLEI system compared to the current tariff regulations.</w:t>
        <w:br/>
        <w:t>− Discrimination contrary to Article 2 of the LDC both due to the partial description made by the College on its website of the services offered by the RMC and due to its exclusion from the College's telematic system despite having initially covered, through the contributions of the College, the implementation costs of the FLEI without receiving any service in return.</w:t>
        <w:br/>
        <w:t>2. In order to ascertain the reality of the facts as much as possible to determine if there may be indications of infringement, the DI, in accordance with the provisions of Article 49.2 of the LDC, agreed to carry out a reserved information process as a preliminary step before initiating the corresponding file, if appropriate in its case. In the framework of this reserved information, requests for information were made to the College.</w:t>
        <w:br/>
        <w:t>3. The DI provides the following description of the parties:</w:t>
        <w:br/>
        <w:t>Complainant: Mr. XXX</w:t>
        <w:br/>
        <w:t>Natural person acting as a commercial registrar, holder of RMC II (folio 7).</w:t>
        <w:br/>
        <w:t>Defendant: College of Property, Commercial, and Movable Goods Registrars of Spain (College)</w:t>
        <w:br/>
        <w:t>According to its Statutes, the College of Property and Commercial Registrars of Spain is a “public law corporation with its own legal personality, full capacity, and autonomy for the fulfillment of its purposes” (folio 8). It has jurisdiction over its members throughout the national territory, exercised directly by the Governing Board and by the other collegiate bodies. It is governed by the provisions of mortgage legislation, professional college legislation, and its general Statutes, in accordance with the provisions of Professional Colleges legislation. Among its main functions is to coordinate the exercise of the professional activity of registrars, ensuring professional ethics and dignity and the proper exercise of their functions; and to strive by all means at its disposal for the continuous improvement of the professional activities of registrars, proposing to the Administration the measures necessary for the updating and modernization of such activities.</w:t>
        <w:br/>
        <w:t>4. The DI provides the following description of the relevant regulatory framework to understand the facts being analyzed:</w:t>
        <w:br/>
        <w:t>The advertising services provided by commercial registrars</w:t>
        <w:br/>
        <w:t>The commercial register is an advertising instrument aimed at "publishing" information related to companies registered within the national territory. This registry information is known as "formal publicity," whose importance lies in the fact that its issuance guarantees citizens security in commercial legal transactions. Specifically, the purpose of this formal publicity issued by the register is to provide knowledge of individual entrepreneurs, commercial companies, and other subjects operating in commercial transactions, as well as the acts and agreements adopted by them related to their organization and functioning. Companies acquire legal personality through their registration in the register corresponding to their registered office, with such registration being mandatory and constitutive. Registries are public institutions based on:</w:t>
        <w:br/>
        <w:t>− Their ownership. The commercial registries in Spain depend on the Ministry of Justice. All matters concerning them are entrusted to the DGRN. Each registry is managed by one or more commercial registrars. The registrar is a professional jurist who performs a public function: they qualify and control under their responsibility the legality of all documents that must access the registry. All registrars in Spain are integrated into the College of Property, Commercial, and Movable Goods Registrars of Spain.</w:t>
        <w:br/>
        <w:t>− Their purpose. The registries publish registry information about the companies registered in them.</w:t>
        <w:br/>
        <w:t>− Their accessibility. The registries are public files since any citizen can request registry information without having to demonstrate a known or legitimate interest for it. The regulations governing the operation of the registries are as follows:</w:t>
        <w:br/>
        <w:t>− General rules contained in the Commercial Code of 1885.</w:t>
        <w:br/>
        <w:t>− Regulation of the Commercial Registry, of July 19, 1996.</w:t>
        <w:br/>
        <w:t>− Law 3/2009, of April 3, on structural modifications of commercial companies.</w:t>
        <w:br/>
        <w:t>− Royal Decree Law 1/2010, of July 2, on Capital Companies, which approves the consolidated text of the Capital Companies Act. Registrars manifest the content of the registry entries of the registered companies. By virtue of the Regulation of the Commercial Registry (RRM), the manifestation that the registrar must make of that information</w:t>
      </w:r>
    </w:p>
    <w:p>
      <w:r>
        <w:rPr>
          <w:b/>
        </w:rPr>
        <w:t>[Pages 4–6]</w:t>
      </w:r>
    </w:p>
    <w:p>
      <w:r>
        <w:t>the manifestation will take place, either by simple informative note or by certification, thus making its direct publicity effective to the interested party:</w:t>
        <w:br/>
        <w:t>− The simple note includes brief and concise information about the legal status of a company (Article 77 of the RRM). Its value is purely informative.</w:t>
        <w:br/>
        <w:t>− Certifications are copies, transcriptions, or literal or related transfers of the content of the registry entries and the documents filed or deposited therein, which constitute the means to reliably certify the content of the commercial register (Article 79 of the RRM).</w:t>
      </w:r>
    </w:p>
    <w:p>
      <w:r>
        <w:t>Organization of commercial registers in Spain</w:t>
      </w:r>
    </w:p>
    <w:p>
      <w:r>
        <w:t>According to Article 1 of the RRM, the registers are composed of the RMTs and the RMC. Each of these registers may have one or more principal registrars.</w:t>
      </w:r>
    </w:p>
    <w:p>
      <w:r>
        <w:t>a) The Territorial Commercial Registers</w:t>
      </w:r>
    </w:p>
    <w:p>
      <w:r>
        <w:t>Institutions established in provincial capitals and in certain towns for service needs, which are entrusted with the functions of registry qualification and registration of the entrepreneur in the register (Article 17 of the RRM), as well as an informative function, through which a simple note or a registry certification regarding companies belonging to the territorial scope assigned to each register can be requested in person (Articles 77 and 78 of the RRM). In this way, the RMT always acts as the competent register in the issuance of simple notes.</w:t>
      </w:r>
    </w:p>
    <w:p>
      <w:r>
        <w:t>b) The Central Commercial Register</w:t>
      </w:r>
    </w:p>
    <w:p>
      <w:r>
        <w:t>Royal Decree 1597/1989, of December 29, replaced by Royal Decree 1784/1996, approved the creation of the RMC, thus responding to the need to consolidate in a single file the data of all registrations carried out in the RMTs, in order to facilitate the search and location of information when the domicile of the registrable subjects is unknown. Since its creation in 1990, it has a Telematic Consultation Service, www.rmc.es, financed with its own resources, under its tariff regime, which allows access to the information contained therein through the corporate name or the name and surnames of the registered administrators and attorneys. The RMC, based in Madrid, is responsible for the publication and centralization of registry information. Specifically, it performs the following functions, as provided in Article 379 of the RRM:</w:t>
        <w:br/>
        <w:t>− Ordering, processing, and merely informative publicity of registry data. The registry information provided by the RMC, solely through simple notes, comes from the data provided by the respective RMTs (Article 382.1 of the RRM).</w:t>
        <w:br/>
        <w:t>− Filing and publicity of the names of companies and legal entities.</w:t>
        <w:br/>
        <w:t>− Publication of the "Official Bulletin of the Commercial Register" (BORME).</w:t>
      </w:r>
    </w:p>
    <w:p>
      <w:r>
        <w:t>The functions of the RMC and the RMTs complement each other and partially coincide regarding formal publicity. While the RMT issues certifications and simple notes relating only to companies domiciled in its geographical area, the RMC, once it has located the requested information about any company of national scope in its database (data centralization), can only issue the corresponding simple note (data publication).</w:t>
      </w:r>
    </w:p>
    <w:p>
      <w:r>
        <w:t>The relationship between the RMTs and the RMC</w:t>
      </w:r>
    </w:p>
    <w:p>
      <w:r>
        <w:t>According to Article 370 of the RRM, one of the data that the RMTs must provide to the RMC is the list of companies that have duly fulfilled the obligation to deposit accounts during the previous month. Specifically, and by virtue of Article 281 of the Consolidated Text of the Capital Companies Act, approved by Legislative Decree 1/2010, of July 2:</w:t>
        <w:br/>
        <w:t xml:space="preserve">“1. On the first business day of each month, the commercial registrars shall send to the central commercial register a list of the companies that have fulfilled the obligation to deposit the annual accounts during the previous month. The BORME will publish the announcement of the companies that have complied with the deposit obligation. </w:t>
        <w:br/>
        <w:t>2. Any person may obtain information on all the documents deposited” (folio 294).</w:t>
      </w:r>
    </w:p>
    <w:p>
      <w:r>
        <w:t>However, Law 25/2011, of August 1, on the partial reform of the Capital Companies Act and the incorporation of Directive 2007/36/EC of the European Parliament and of the Council, of July 11, on the exercise of certain rights of shareholders of listed companies, repealed the first paragraph of Article 281, maintaining only the second which states that "any person may obtain information from the Commercial Register on all the documents deposited" (folio 695). In its Preamble, this repeal is justified as the application, in terms of annual accounts, of two measures that “serve to reduce the cost of their deposit by facilitating the degree of compliance with this obligation. On the one hand, the elimination of the regulatory requirement that the signature of the administrators must be subject to legalization. And, on the other hand, the suppression of the publication in the Official Bulletin of the Commercial Register of the announcement of the companies that have complied with that deposit obligation, which has been of little use since the entry into force of Law 19/1989, of July 25, on the partial reform and adaptation of commercial legislation to the Directives of the European Economic Community regarding companies. The current possibilities of telematic access to the register replace the functions that years ago could be fulfilled by the publication of lists of companies that had deposited the annual accounts” (folio 695).</w:t>
      </w:r>
    </w:p>
    <w:p>
      <w:r>
        <w:t>On November 17, 2011, the holders of the RMC (RMC I, RMC II, and RMC III) consulted the DGRN regarding the modification of Article 281 of the Consolidated Text of the Capital Companies Act, concerning whether this change justified the non-submission by the RMTs to the RMC of the list of companies that have deposited annual accounts (folios 306-318). The College, without waiting for the pronouncement of the DGRN, interpreted this modification recommending to all RMTs, via email, not to send this information to the RMC (folios 319-322).</w:t>
      </w:r>
    </w:p>
    <w:p>
      <w:r>
        <w:t>On September 3, 2012, the DGRN issued a response in the form of a Report and not a Resolution since the DGRN itself considers that the query made by the RMC cannot be framed within those contemplated in Article 273 of the Mortgage Law: the submission or non-submission of certain data by the RMTs to the RMC is a matter of qualification, so this issue must be resolved by each RMT individually (folio 393). For this reason, the DGRN includes in its Report the results obtained in response to the letter sent on February 17, 2012, by the Deputy Director General of the DGRN to the RMTs, where they were asked whether the modification of Article 281 of Law 25/11 justified the submission or not of the list of companies that had deposited annual accounts to the RMC. The results obtained are broken down as follows: “In response to the General Directorate's request, 26 Commercial Registers responded, representing 66 Commercial Registrars. Of these, 3 Registers, representing 3 Commercial Registrars, reported that they considered it appropriate to submit to the Central Commercial Register; and 23 Registers, representing 63 Commercial Registrars, reported that the reform of Article 281 of the Capital Companies Act has repealed the duty to submit to the Central Commercial Register the list of companies that have deposited annual accounts” (folio 393).</w:t>
      </w:r>
    </w:p>
    <w:p>
      <w:r>
        <w:t>Although the DGRN, by virtue of Article 273 of the Mortgage Law, considers that it is not the competent body to discern the query made by the RMC, being the exclusive responsibility of the RMTs, it concludes in said Report, in light of the modification of the aforementioned Article 281 “the non-necessity, and consequently the non-obligation, of submission by the territorial commercial registers to the Central Commercial Register of the list of companies that have complied during the previous month with the obligation to deposit annual accounts” (folio 394), basing this, among other arguments, on the fact that Law 25/2011 repeals the duty to submit to the RMC and the duty to publish in the BORME. This is because the publicity that is intended to be given to the deposit of accounts is fulfilled with its publication in the competent RMT. Thus, according to the Preamble of Law 25/2011, it aims to reduce the cost of organization and operation of capital companies, decreasing administrative costs. On the other hand,</w:t>
      </w:r>
    </w:p>
    <w:p>
      <w:r>
        <w:rPr>
          <w:b/>
        </w:rPr>
        <w:t>[Pages 7–9]</w:t>
      </w:r>
    </w:p>
    <w:p>
      <w:r>
        <w:t>the Preamble of Law 25/2011 states that “the current possibilities of telematic access to the Commercial Registry replace the functions that years ago could be fulfilled by the publication of lists of companies that had filed their annual accounts” (folio 395), thus referring to the FLEI, a system that allows redirection to the databases of the RMT where the company is registered, obtaining complete information issued under the responsibility of the competent registrar. The Consolidated Text of the Capital Companies Act and Law 25/2011, which has amended its article 281, are higher-ranking legal norms that repeal contradictory minor provisions such as articles 3701, 3842, or 392.43, among others, of the RRM. Regarding the list of companies that have not fulfilled the obligation to file accounts, there is no and has never been any obligation to send them to the RMC. The only obligation established is to send them to the DGRN for forwarding to the Institute of Accounting and Audit of Accounts (article 371 RRM) (folios 394-396). On the other hand, the fact that the database of the RMC is configured based on the information that the RMTs are obliged to send for subsequent publication in the BORME results in a duality of registry databases, such that the content of a simple note issued by the RMC maintains substantial differences with one issued by the RMT.</w:t>
      </w:r>
    </w:p>
    <w:p>
      <w:r>
        <w:t>The File for the Location of Registered Entities (FLEI)</w:t>
      </w:r>
    </w:p>
    <w:p>
      <w:r>
        <w:t>The File for the Location of Registered Entities (FLEI) was created by the resolution of the DGRN dated November 19, 1999, in order to carry out the telematic issuance of formal publicity of the commercial registers. According to the College, this service is created with the aim of “adapting the institution to the new economic and social framework that Spanish society faces, both from the perspective of increased economic activity and the extension of new information technologies” (folio 690). In short, the FLEI is an interactive web service that the College makes available to users so they can consult information about entities registered in the commercial registers. It avoids the need to travel to the corresponding RMT and continues with the modernization process of the registers.</w:t>
      </w:r>
    </w:p>
    <w:p>
      <w:r>
        <w:t>The resolution of the DGRN dated April 10, 2000, for the creation of the File for the Location of Real Estate Holdings (FLOTI) refers to the FLEI system by stating that “the Ministry of Justice has provided the necessary regulatory means to achieve the practical virtuality of the existing computerization of property and commercial registers, in order to facilitate the telematic processing of the data contained therein, avoiding, as a guarantee of its veracity, the manipulation or tele-extraction of the content of the file by breaking the communication link” (folio 700).</w:t>
      </w:r>
    </w:p>
    <w:p>
      <w:r>
        <w:t>Law 24/2001, of December 27, on Fiscal, Administrative and Social Order Measures, in its article 107, amended by Law 24/2005, of November 18, on Reforms to Promote Productivity, states that “notaries and registrars of property, commercial and movable property must mandatorily have telematic systems for the issuance, transmission, communication, and reception of information. The College (…) and the General Council of Notaries will have private telematic networks that must guarantee a secure interconnection through exclusive procedures whose parameters and technical characteristics are managed by the respective corporate organizations. All registrars and notaries are obliged to integrate into their respective telematic network” (folio 700). Consequently, according to the College, article 107 of the aforementioned regulation not only justifies the interconnection of territorial registers through the FLEI for the request and forwarding of simple notes but also the management and administration of this interconnection system by the College, in its capacity as a corporate organization.</w:t>
      </w:r>
    </w:p>
    <w:p>
      <w:r>
        <w:t>The College, through its website, informs users about the services provided by the commercial registers, stating that the RMC “deals with matters related to the names of companies and commercial entities” (folios 22 and 398-401). In this regard, and according to the information provided by the College, the FLEI system, unlike the RMC, allows for the request of various formal publicity services:</w:t>
        <w:br/>
        <w:t>− online information: informative note of a company, deposit of accounts of a company, search for a position within a company;</w:t>
        <w:br/>
        <w:t>− offline information: ongoing monitoring of a company, informative note of statutes, informative note of powers, and electronic certification of the validity and position of a company.</w:t>
      </w:r>
    </w:p>
    <w:p>
      <w:r>
        <w:t>To request this type of information, the user must subscribe to the services of the College through its web portal, which will allow them to access the telematic system with their user and password, or electronic certificate. They must then enter the name of the corporate name of interest. The system, thanks to a company index, will locate the territorial registry holding the requested information and will send that request online through the computer systems of the College. The RMT will be the one to issue the registry information, and the return of the information will vary depending on the type of information requested by the applicant:</w:t>
        <w:br/>
        <w:t>− in the case of requesting online information, the registry responds to the information at the same moment of the request by consulting the information in its own database and presenting it in HTML format to the interested party.</w:t>
        <w:br/>
        <w:t>− In the case of requesting offline information, the registry stores the request and responds to the interested party within a predetermined maximum period, with that information being sent in PDF format by email to the applicant.</w:t>
      </w:r>
    </w:p>
    <w:p>
      <w:r>
        <w:t>According to the College, the issuance of simple notes via FLEI adds value to the provision of formal publicity services since:</w:t>
        <w:br/>
        <w:t>− It allows the user to obtain real-time and updated information at the moment the note is issued, unlike what happens with the RMC, whose information is deferred due to a small time difference between the data registered in its corresponding entry and its subsequent publication in the BORME, which may result in the circumstance that the data communicated to the RMC is already distorted.</w:t>
        <w:br/>
        <w:t>− It provides the same information as that provided by the corresponding RMT at the counter. The database of the RMC is incomplete as it only contains the data that the RMTs are obliged to send for publication in the BORME, and lacks other registry data of interest that can be obtained via FLEI.</w:t>
      </w:r>
    </w:p>
    <w:p>
      <w:r>
        <w:t>This company index is updated by each registry at least twice a day. The information residing in this index is minimal. Basically, the name of the company, the NIF, the unique identifier of the company in the registry, and the code in the registry. The College has the function of preparing, maintaining, and managing this index, in accordance with article 4.10 of its General Statutes.</w:t>
      </w:r>
    </w:p>
    <w:p>
      <w:r>
        <w:rPr>
          <w:b/>
        </w:rPr>
        <w:t>[Pages 10–12]</w:t>
      </w:r>
    </w:p>
    <w:p>
      <w:r>
        <w:t>− It informs about the pending presentation entries to be processed electronically7.</w:t>
      </w:r>
    </w:p>
    <w:p>
      <w:r>
        <w:t xml:space="preserve">On the other hand, the community regulations regarding the Commercial Registry pursue minimal harmonization at the European level. Through Directive 2009/101/EC, of September 16, 2009, known as the "Commercial Registry Directive," and Directive 2012/17/EU, of June 13, 2012, on the interconnection of European commercial registries, it is intended to implement a unique platform in each member country, that is, a single system of formal publicity at the national level composed of three elements: a domestic registry, a domestic bulletin (BORME), and an "interface" that connects the domestic system with the European platform and portal. In the opinion of the College, the FLEI seems to be the ideal system to function as a unique platform for two reasons: </w:t>
        <w:br/>
        <w:t xml:space="preserve">− The RMC can only issue simple notes whose registry information is limited. According to Article 17.3 of the Commercial Code, “its nature is merely informative and intermediary of the information in extract that circulates from the provincial registry to the Official Bulletin.” </w:t>
        <w:br/>
        <w:t>− Secondly, the DGRN affirms the need to maintain a single source of information and “that this must undoubtedly be the most reliable, the safest, the most up-to-date, and for which, in the interest of the market, the registrar must be accountable for themselves, for what is registered, and for what is informed or certified” (folio 699), concluding that the concept of “unique platform” of the Directive on interconnection does not correspond to the RMC.</w:t>
      </w:r>
    </w:p>
    <w:p>
      <w:r>
        <w:t>According to the College, based on Article 97 of Law 24/20018, the “telematic publicity” of the content of the commercial registries complies with the principles established in the Mortgage Legislation. Since 2001, an interconnection system managed by the College has been designed that allows, with a single access, to provide the same publicity, without the limitations presented by the RMC, and which, according to the DGRN, adds value to the interested party by providing updated data reliably and securely, guarantees equal treatment to users, and equally respects all registries that generate information (folio 699).</w:t>
      </w:r>
    </w:p>
    <w:p>
      <w:r>
        <w:t>It should be added that the ruling of the Supreme Court of October 1, 2008, dismissed the appeal filed by the RMC for the Ministry of Justice to dismantle the unique registry system of the College in favor of that maintained by the RMC, remaining as the only central electronic platform (folios 707-711). In that ruling, it is stated, among other things, that “considering that both the College and the Commercial Registry</w:t>
      </w:r>
    </w:p>
    <w:p>
      <w:r>
        <w:t xml:space="preserve">7 This information allows the citizen to know that there is a document related to the consulted company that has entered the registry and is pending processing. </w:t>
        <w:br/>
        <w:t>8 The telematic publicity of the content of the Commercial and Movable Property Registries will be carried out in accordance with the principles contained in Articles 221, 222, 227, and 248 of the consolidated text of the Mortgage Law, approved by the Decree of February 8, 1946, in relation to the Property Registries.</w:t>
      </w:r>
    </w:p>
    <w:p>
      <w:r>
        <w:t>Central belong to the same organization dependent on the Ministry of Justice through the Directorate General of Registries and Notaries, both of which must fulfill the same purposes of general interest, excluding personal economic benefit, aiming to ensure that registry publicity is conducted in the most efficient terms for the service and most beneficial for users. The appellant has neither argued nor proven that the current operation of the file is slower, more expensive, or less effective than the proposed alternative, nor that, excluding any personal economic interest of the plaintiff Registrar, their consideration as a beneficiary of the service is also unjustified” (folio 708).</w:t>
      </w:r>
    </w:p>
    <w:p>
      <w:r>
        <w:t xml:space="preserve">In view of the above: </w:t>
        <w:br/>
        <w:t xml:space="preserve">− Both the FLEI and the RMC centralize the registry information of companies at the national level and publish it by issuing informative simple notes, although it is true that there are differences in the way each one proceeds. While the RMC locates the company of interest in its database and issues the registry information contained in that database, the FLEI locates the RMT where the company whose information has been requested is registered through its company index. Once located, it is the corresponding RMT that issues and sends the information via email integrated into the FLEI system to the College for immediate delivery to the requester. </w:t>
        <w:br/>
        <w:t xml:space="preserve">− Requests for simple notes can be made in person, by going to the territorial registry window; or electronically, via the internet, by entering the College's website, www.registradores.org, or the RMC's, www.rmc.es. Specifically: </w:t>
        <w:br/>
        <w:t xml:space="preserve">- If the interested party makes a request in person at the corresponding RMT, it will issue a simple note to the interested party about the requested company as that company belongs to its territorial scope. </w:t>
        <w:br/>
        <w:t xml:space="preserve">- If the interested party makes a request on the College's website, the FLEI system, through the company index, locates the RMT where the company of interest is registered, sending that request to it. The corresponding RMT responds at the same moment in HTML format for subsequent delivery to the interested party through the College. </w:t>
        <w:br/>
        <w:t>- If the interested party makes a request through the Telematic Consultation Service of the RMC, www.rmc.es, it will issue a simple note according to the information collected in its database, which contains only those data that have been received from the RMTs for subsequent publication in the BORME by the RMC.</w:t>
      </w:r>
    </w:p>
    <w:p>
      <w:r>
        <w:t>The remuneration for the provision of publicity services</w:t>
      </w:r>
    </w:p>
    <w:p>
      <w:r>
        <w:t>The issuance of formal publicity is an inimitable activity, performed directly by the registrar in the exercise of their functions and, therefore, billable, accruing fees (Article 294 of the Mortgage Law). According to the Mortgage Law, registrars will receive for the entries they make in the books, certifications they issue, and other operations the economic rights strictly established in their Tariff9, approved by the Ministry of Justice. This is a regulated and fixed price that does not allow discounts, established to cover the professional expenses derived from the operation and maintenance of the registries.</w:t>
      </w:r>
    </w:p>
    <w:p>
      <w:r>
        <w:t>i) Billing for in-person requests at RMT</w:t>
      </w:r>
    </w:p>
    <w:p>
      <w:r>
        <w:t xml:space="preserve">The fees of commercial registrars consist of fixed amounts, regulated by Decree 757/1973, of March 29. Specifically, by numbers 22 and 24 of the Tariff relating to formal publicity through informative simple notes: </w:t>
        <w:br/>
        <w:t xml:space="preserve">- “For the manifestation of each entry, 0.150253 euros will be charged. For the issuance of an informative simple note, 0.601012 euros will be charged per entry (number 22 of the Tariff). </w:t>
        <w:br/>
        <w:t>- For certification of the absence of a specific entry or circumstance in the registry, 0.601012 euros will be charged. For searches for manifestations, simple notes, or certifications, when not determined in the registry data or expressed incorrectly, 10% of the rights corresponding to number 5 will be charged, with a minimum of 0.300506 euros and a maximum of 1.502530 euros (number 24 of the Tariff)” (folio 40).</w:t>
      </w:r>
    </w:p>
    <w:p>
      <w:r>
        <w:t>The RMT is the one that generates the invoice and to which an amount is paid that varies depending on the number of entries requested, strictly applying numbers 22 and 24 of the Tariff.</w:t>
      </w:r>
    </w:p>
    <w:p>
      <w:r>
        <w:t>ii) Billing for requests for simple notes through the RMC</w:t>
      </w:r>
    </w:p>
    <w:p>
      <w:r>
        <w:t xml:space="preserve">The tariff regime of the RMC is subject to special and differentiated regulation. The Nineteenth Transitional Provision of the RRM establishes that for each simple note issued, the registrar will receive the rights established in numbers 22 and 23 of the Tariff: </w:t>
        <w:br/>
        <w:t>- “For the certification of any entry in the Registry, 1.50253 euros, and if the certification comprises more than two pages, an additional charge will be made for each page that exceeds 0.150253 euros (number 23 of the Tariff)” (folio 41).</w:t>
      </w:r>
    </w:p>
    <w:p>
      <w:r>
        <w:t>9 Decree 757/1973, of March 29.</w:t>
      </w:r>
    </w:p>
    <w:p>
      <w:r>
        <w:rPr>
          <w:b/>
        </w:rPr>
        <w:t>[Pages 13–15]</w:t>
      </w:r>
    </w:p>
    <w:p>
      <w:r>
        <w:t xml:space="preserve">The RMC charges an amount that varies depending on the number of "pages" or conceptual blocks requested, applying numbers 23 and 24 of the Tariff.  </w:t>
        <w:br/>
        <w:t xml:space="preserve">iii) Billing for the request of a simple note via telematics through the FLEI  </w:t>
        <w:br/>
        <w:t xml:space="preserve">Based on Decree 757/1973, of March 29, which approves the Tariff for commercial registrars; the Single Additional Provision of RD 1867/1998, of September 4, which modifies certain articles of the Mortgage and Commercial Registry Regulations; the resolution of the DGRN of January 13, 1998, regarding requests for information from the Index Service; and the instruction of the DGRN of October 29, 1996, on technical means regarding communications between registrars and file management, the billing of formal publicity through a telematic system was resolved by the DGRN Instruction for the creation of the FLEI system, dated November 19, 1999, in response to the inquiry from the College regarding fees for formal publicity in commercial registries issued via telematics. This resolution establishes that:  </w:t>
        <w:br/>
        <w:t xml:space="preserve">- "According to number 22 of the tariff for commercial registrars, the issuance of a simple informative note will incur 100 pesetas per entry. And pursuant to the provisions of number 24, for the search for the simple note, a fee of 10 percent of the rights corresponding according to the scale of amount will be incurred, with a minimum of 50 pesetas and a maximum of 250."  </w:t>
        <w:br/>
        <w:t xml:space="preserve">- In cases of telematic consultation with the Commercial Registrars, within the intercommunication system provided for in the single additional provision of Royal Decree 1867/1998, of September 4, the system must be the same. However, the current impossibility of the computer system to calculate the tariff in real time based on the number of entries subject to consultation requires the determination of an alternative random calculation system that does not harm the consumer.  </w:t>
        <w:br/>
        <w:t xml:space="preserve">Such a system can only be to calculate the fees based on the minimum number of entries that appear on the open sheet for the company, as otherwise, it would incur the irregularity of overcharging some consumers to the benefit of others. With the particularity derived from resorting to a telematic location system among the different databases of the various commercial registrars.  </w:t>
        <w:br/>
        <w:t xml:space="preserve">Consequently, the simple note issued via telematics in cases of intercommunication of the commercial registrars will be, given the minimum number of entries practiced per company or registrable subject, the amount of 300 pesetas (1.8 euros) (folios 715-716).  </w:t>
        <w:br/>
        <w:t xml:space="preserve">In accordance with the College, thanks to the possibility of the FLEI to calculate in real time the number of entries subject to consultation and, consequently, to apply the rules contained in the current Tariff in its numbers 22 and 24, on December 22, 2003, the "Project for the new restructuring of the current FLEI note from a tariff perspective" was developed. This project outlines and justifies the need to moderately increase the price for the issued simple note since the Tariff applied until then responded to the establishment of a "political price" by the DGRN, through the resolution of November 19, 1999, and it is communicated that "the fees incurred for notes issued through the FLEI can never be homogeneous or equal" (folio 459) as it includes the charging of fees for the concepts of "search," "charges," and "registrations" that comprise the note. Ultimately, just as occurs with the formal publicity services provided by the RMTs, it is a variable price subject to the application of Tariff numbers 22 and 24, as it is the user who designs the content of the simple note.  </w:t>
        <w:br/>
        <w:t xml:space="preserve">According to the College, if the request for a simple note is made telematically through the FLEI, the user must add an amount of 0.873385 euros as disbursements, that is, for the costs incurred by third parties in which the College participates in providing the formal publicity service (communication lines, servers, Customer Service).  </w:t>
        <w:br/>
        <w:t xml:space="preserve">According to the information provided by the College, it also receives a mandatory contribution from the registrars who issue simple notes through the FLEI as a membership fee, intended to cover the start-up and operational costs of the FLEI service, and for which there is no exemption. It is a variable price that depends on the type of information requested and for which there is no exemption. Thus, for a simple note, the membership fee is 0.18 euros, for certification 3.61 euros, and for account deposits 0.60 euros (folio 702).  </w:t>
        <w:br/>
        <w:t xml:space="preserve">The College manages the collection of all invoices and deducts the corresponding disbursement and membership fee before transferring the billed amounts according to numbers 22 and 24 of the Tariff to the territorial registrars. The corresponding invoice is automatically generated in central services in the name of the corresponding RMT.  </w:t>
        <w:br/>
        <w:t xml:space="preserve">5. On July 11, 2013, the DI sent this Council a Proposal for Filing the proceedings followed in the reference file in accordance with the provisions of article 49.3 of the LDC. The DI argues in its Report the following:  </w:t>
        <w:br/>
        <w:t xml:space="preserve">“(48) In view of the described facts, it is noted that the College, based on the modification of article 281 provided in Law 25/2011, of August 1, for the partial reform of the Capital Companies Act and the incorporation of Directive 2007/36/EC of the European Parliament and of the Council, of July 11, despite having consulted the DGRN and without waiting for its opinion, recommended to all RMTs not to send the data on companies that have deposited their accounts to the RMC (paragraph 19). This data, which is important for commercial legal transactions, is provided either directly by the RMT in which the subject is registered or by the FLEI, a system implemented by the College whose fees, for the same information contained in the simple note, are higher than those that the RMC would charge.  </w:t>
        <w:br/>
        <w:t xml:space="preserve">(49) However, this Directorate of Investigation considers that there are no indications that these practices of the College constitute an infringement of articles 1 and 2 of the LDC for the following reasons.  </w:t>
        <w:br/>
        <w:t xml:space="preserve">III.1 Collective boycott strategy against the RMC  </w:t>
        <w:br/>
        <w:t xml:space="preserve">(50) The implementation of the FLEI is part of a series of decisions made by the regulatory body, the DGRN, with the aim of continuing the modernization process of the registries initiated in 1996. Therefore, this Directorate of Investigation does not perceive indications that the creation of the FLEI is an arbitrary decision made by the College in order to exclude the RMC from providing formal publicity services.  </w:t>
        <w:br/>
        <w:t xml:space="preserve">(51) The FLEI has been designed as a centralized and closed telematic system since i) access to registry information is done through the website www.registradores.org, enabled by the College, which functions as a single interconnection portal; ii) pursuant to article 107, introduced by Law 24/2005, of November 18, reforms to promote productivity, registrars are required to have email integrated into a telematic network, thus remaining interconnected.  </w:t>
        <w:br/>
        <w:t xml:space="preserve">(52) The incorporation of the FLEI into the provision of formal publicity services via telematics has generated competition between the RMC and this system for the centralization and publication of registry information, leading to a duality of registry databases. However:  </w:t>
        <w:br/>
        <w:t xml:space="preserve">- The implementation of the FLEI system is supported by the ruling of the Supreme Court of October 1, 2008, which dismissed the appeal filed by the RMC for the Ministry of Justice to dismantle the College's unique registry system in favor of the one maintained by the RMC (paragraph 32).  </w:t>
        <w:br/>
        <w:t xml:space="preserve">- The FLEI, thanks to its configuration, allows overcoming certain limitations of the RMC: It provides the user with real-time and updated information at the moment the note is issued, unlike what happens with the RMC, whose information is deferred due to a slight time difference between the data registered in its corresponding entry of the RMT and its subsequent transfer to the RMC and publication in the BORME.  </w:t>
        <w:br/>
        <w:t>It offers a greater variety of formal publicity services, both online information that is obtained instantly, as well as information.</w:t>
      </w:r>
    </w:p>
    <w:p>
      <w:r>
        <w:rPr>
          <w:b/>
        </w:rPr>
        <w:t>[Pages 16–18]</w:t>
      </w:r>
    </w:p>
    <w:p>
      <w:r>
        <w:t>offline information that is received within a certain timeframe. In contrast, the RMC only issues simple informative notes. It provides the same information as that issued by the competent RMT, unlike the RMC, whose database contains only the data that the RMTs are obliged to send for publication in the BORME and lacks other data of interest for commercial transactions.</w:t>
      </w:r>
    </w:p>
    <w:p>
      <w:r>
        <w:t>(53) The decision of the College to exempt the RMTs from sending the list of companies that have filed annual accounts to the RMC is supported by the DGRN and by the RMTs themselves:</w:t>
        <w:br/>
        <w:t>− The Report issued by the DGRN in response to the inquiry raised by the RMC regarding the amendment of Article 281 of the Consolidated Text of the Capital Companies Act, and whether this change justifies the non-submission by the RMTs to the RMC of the list of companies that have filed annual accounts, states that it is not necessary and, therefore, not mandatory, to send the RMC the list of companies that have fulfilled the obligation to deposit annual accounts during the previous month (paragraph 21).</w:t>
        <w:br/>
        <w:t>− The fifth paragraph of that Report contains the results of the survey conducted by the DGRN itself among the RMTs regarding the amendment of the aforementioned article, in which the majority of the registrars consulted considered that there was no obligation to submit to the RMC the list of companies that had filed annual accounts (paragraph 20).</w:t>
      </w:r>
    </w:p>
    <w:p>
      <w:r>
        <w:t>(54) In line with the community regulations aimed at achieving minimal harmonization in the field of Commercial Registry, it is necessary to eliminate the duality of registry databases posed by the RMC and the FLEI. According to the DGRN, the RMC does not meet the profile of a "single platform" proposed by the Directive on interconnection. In contrast, the FLEI allows for obtaining real-time and updated information reliably and securely, with the efficiencies in terms of time and resources that this entails for the user. Thus, through a rapid and unified management of requests, the FLEI significantly contributes to the modernization of registries at the national and community level.</w:t>
      </w:r>
    </w:p>
    <w:p>
      <w:r>
        <w:t>III. 2 Unjustified remuneration structure for the provision of formal publicity services</w:t>
      </w:r>
    </w:p>
    <w:p>
      <w:r>
        <w:t>(55) According to the Mortgage Law, the issuance of formal publicity through a telematic system is an inimitable activity, performed directly by the registrar in the exercise of their functions and, therefore, measurable (Article 294).</w:t>
      </w:r>
    </w:p>
    <w:p>
      <w:r>
        <w:t>(56) Based on the available information (paragraphs 41-45), the request for formal publicity through the College's website via FLEI involves the payment of a variable amount, depending on the number of entries. This price includes:</w:t>
        <w:br/>
        <w:t>− on one hand, the economic rights corresponding to numbers 22 and 24 of the Tariff that the territorial registrar receives for issuing a simple note; and</w:t>
        <w:br/>
        <w:t>− on the other hand, the costs incurred by the College to cover the maintenance and operational expenses generated by the FLEI system itself (substitute and membership fee).</w:t>
      </w:r>
    </w:p>
    <w:p>
      <w:r>
        <w:t>(57) In the opinion of this Directorate of Investigation, this remuneration structure is justified, as the application of different concepts from the Tariff for issuing a simple note aims to cover the costs derived from the maintenance and operation of the system itself.</w:t>
      </w:r>
    </w:p>
    <w:p>
      <w:r>
        <w:t>III. 3 Discrimination of the RMC in receiving College services</w:t>
      </w:r>
    </w:p>
    <w:p>
      <w:r>
        <w:t>(58) The holder of the RMC II denounces a campaign of discrimination by the College based on two arguments: i) the College partially describes on its website the services provided by the RMC; ii) the RMC is excluded from the FLEI system, without receiving any service, despite having contributed in its early stages to finance its implementation. However, this Directorate of Investigation considers that the existing differences between the RMTs and the RMC in terms of organization and operation (paragraphs 13-16) explain the differential but not discriminatory treatment that the College maintains with each party.</w:t>
      </w:r>
    </w:p>
    <w:p>
      <w:r>
        <w:t>(59) Firstly, in accordance with the successive resolutions of the DGRN, the FLEI system has been configured as an advanced telematic platform that:</w:t>
        <w:br/>
        <w:t>− on one hand, maintains a direct relationship with the RMTs. Through its index of companies, it locates the corresponding RMT and sends a request for a simple note for issuance;</w:t>
        <w:br/>
        <w:t>− on the other hand, overcomes the limitations that the RMC encounters in the tasks of centralization and publication of registry information.</w:t>
      </w:r>
    </w:p>
    <w:p>
      <w:r>
        <w:t>(60) This explains and justifies the College's decision not to advertise on its website these formal publicity services performed by the RMC. In contrast, the College's website does advertise the services provided by the RMC related to the names of companies and commercial entities (paragraph 27).</w:t>
      </w:r>
    </w:p>
    <w:p>
      <w:r>
        <w:t>(61) Secondly, regarding the discrimination reported by the holder of the RMC II, consisting of having participated in financing the expenses derived from the implementation of the FLEI in its early stages, through membership fees, and not having received any compensation, this Directorate of Investigation does not perceive that this fact aims to restrict competition in the market for issuing formal publicity, but rather that it is a particular matter between the College and the RMC. For this reason, it is considered that the complainant should resort, if applicable, to other channels, whether a complaint to the College, to the DGRN, or to the ordinary courts, to resolve this private conflict.</w:t>
      </w:r>
    </w:p>
    <w:p>
      <w:r>
        <w:t>(62) In conclusion, the FLEI system is the logical consequence of the progressive modernization of registries, a process supported by the DGRN, which allows overcoming the limitations of the RMC in terms of data, generates significant efficiencies in the provision of formal publicity services, and aligns with the concept of a "single platform" proposed by the Directive on interconnection, without any indications, from this Directorate of Investigation, that the College has violated the LDC in relation to the reported facts.</w:t>
      </w:r>
    </w:p>
    <w:p>
      <w:r>
        <w:t>In light of all this, in accordance with the provisions of Article 49.3 of Law 15/2007, of July 3, on the Defense of Competition, it is proposed not to initiate the sanctioning procedure, as well as to archive the proceedings followed as a consequence of the complaint filed by Mr. XXX, holder of the Central Commercial Registry II, considering that there are no indications of violation of the aforementioned Law.</w:t>
      </w:r>
    </w:p>
    <w:p>
      <w:r>
        <w:t>6. The Council deliberated and issued this Resolution at its meeting on September 25, 2013.</w:t>
      </w:r>
    </w:p>
    <w:p>
      <w:r>
        <w:t>LEGAL GROUNDS</w:t>
      </w:r>
    </w:p>
    <w:p>
      <w:r>
        <w:t>FIRST. Article 49.1 of the LDC provides that the DI shall initiate sanctioning proceedings when it observes reasonable indications of the existence of prohibited conduct in Articles 1, 2, and 3 of the same Law. In number 3 of the aforementioned Article 49, it is added that the Council, at the proposal of the DI, shall agree not to initiate sanctioning proceedings and, consequently, to archive the actions taken when it considers that there are no indications of infringement.</w:t>
      </w:r>
    </w:p>
    <w:p>
      <w:r>
        <w:t>SECOND. The reported conduct must necessarily be analyzed in the context in which it occurs. As the DI states, the implementation of the FLEI is framed within a series of decisions made by the regulatory body, the DGRN, with the aim of continuing the modernization process of the registries. The incorporation of the FLEI into the provision of formal publicity services via telematics is supported by the Judgment of the Supreme Court of October 1, 2008, which dismissed the appeal filed by the RMC for the Ministry of Justice to dismantle the College's unique registry system in favor of that maintained by the RMC.</w:t>
      </w:r>
    </w:p>
    <w:p>
      <w:r>
        <w:t>In this context, the actions of the College that are reported do not respond to an anti-competitive purpose and are not only supported but also driven by the regulator. In its opinion, the FLEI allows overcoming certain technical limitations of the RMC, which facilitates a more effective formal publicity service and aligns with the provisions of the Directive on interconnection.</w:t>
      </w:r>
    </w:p>
    <w:p>
      <w:r>
        <w:t>Whether this is institutionally the most appropriate design or whether the DGRN should have promoted greater competition among platforms is a question that, while it could be analyzed from the perspective of promoting competition, falls outside the scope of a sanctioning procedure.</w:t>
      </w:r>
    </w:p>
    <w:p>
      <w:r>
        <w:t>What this Council wishes to warn is that the configuration of the FLEI as a platform that is hardly replaceable for the provision of formal publicity services makes it highly likely that it acquires the character of an essential facility in that area. This advises that this platform provides its services to users in an open and competitive manner, reflecting in its rates the possible efficiencies and economies of scale that a system of these characteristics may entail, in line with the objective of efficiency and reduction of administrative burdens that Law 25/2011 aims for. In this sense, a pricing structure based on establishing a fixed surcharge on the tariff may not be the most competitive.</w:t>
      </w:r>
    </w:p>
    <w:p>
      <w:r>
        <w:t>Having said all the above, in light of the available information, as reasoned by the DI, it cannot be stated that the College has an express obligation to publicize the</w:t>
      </w:r>
    </w:p>
    <w:p>
      <w:r>
        <w:rPr>
          <w:b/>
        </w:rPr>
        <w:t>[Pages 19–19]</w:t>
      </w:r>
    </w:p>
    <w:p>
      <w:r>
        <w:t>formal publicity services provided by the RMC through the FLEI. Nor is there evidence in this file that the charged rates are abusive due to being excessive. Regarding the discrimination reported by the holder of RMC II, consisting of having participated in the financing of the expenses derived from the implementation of the FLEI in its early stages, through membership fees, and not having received any compensation, the Council agrees with the DI that this is a matter between parties, and Law 15/2007 is not the appropriate channel to resolve the differences that exist between them. Therefore, as there are no indications of restrictive practices prohibited by Article 1 and Article 2 of the Competition Defense Law, the Council considers the Proposal for Filing of the actions taken in the framework of file S/0435/12 COLEGIO DE REGISTRADORES to be legally justified. For all the above reasons, in view of the cited provisions and those of general application, the Council HAS RESOLVED: SINGLE.- Under the protection of Article 49.3 of Law 15/2007 of July 3, on Competition Defense, not to initiate sanctioning proceedings and to file the reserved actions followed under number S/0435/12 COLEGIO DE REGISTRADORES, considering that there are no indications of infringement of Articles 1 and 2 of the aforementioned Law. This Resolution shall be communicated to the Directorate of Investigation of the National Competition Commission and to the Directorate General of Registries and Notaries of the Ministry of Justice and shall be notified to the complainant and the complained party, informing them that it concludes the administrative route and that they may file a contentious-administrative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