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https://www.cnmc.es/expedientes/s043712</w:t>
      </w:r>
    </w:p>
    <w:p>
      <w:r>
        <w:t>Pages translated : 16</w:t>
      </w:r>
    </w:p>
    <w:p/>
    <w:p>
      <w:r>
        <w:rPr>
          <w:b/>
        </w:rPr>
        <w:t>[Pages 1–3]</w:t>
      </w:r>
    </w:p>
    <w:p>
      <w:r>
        <w:t>RESOLUTION (Exp. S/0437/12 GENERIC PHARMACEUTICAL SPECIALTIES)</w:t>
        <w:br/>
        <w:t>COMPETITION CHAMBER</w:t>
        <w:br/>
        <w:t>PRESIDENT</w:t>
        <w:br/>
        <w:t>Mr. José María Marín Quemada</w:t>
        <w:br/>
        <w:t>MEMBERS</w:t>
        <w:br/>
        <w:t>Ms. María Ortiz Aguilar</w:t>
        <w:br/>
        <w:t>Mr. Fernando Torremocha y García-Sáenz</w:t>
        <w:br/>
        <w:t>Mr. Benigno Valdés Díaz</w:t>
        <w:br/>
        <w:t>Ms. Idoia Zenarrutzabeitia Beldarrain</w:t>
        <w:br/>
        <w:t>SECRETARY</w:t>
        <w:br/>
        <w:t>Mr. Tomás Suárez-Inclán González</w:t>
        <w:br/>
        <w:t>In Madrid, on January 23, 2014</w:t>
        <w:br/>
        <w:t>The Competition Chamber of the National Commission of Markets and Competition (CNMC), with the composition expressed in the margin, has issued this Resolution in the file S/0437/12 GENERIC PHARMACEUTICAL SPECIALTIES, processed by the Investigation Directorate (DI), in response to the complaint filed by SUMOL PHARMA, S.A., against ACOST GENERICS PHARMA, LABORATORIOS DAVUR, KERN PHARMA, LABORATORIOS LITAPHAR, MERCK FARMA Y QUÍMICA, and RATIOPHARM ESPAÑA, for what could constitute an infringement of Law 15/2007, of July 3, on the Defense of Competition (LDC).</w:t>
      </w:r>
    </w:p>
    <w:p>
      <w:r>
        <w:t>FACTUAL BACKGROUND</w:t>
        <w:br/>
        <w:t>1. On September 7, 2012, the Investigation Directorate (DI) of the National Competition Commission (CNC) received a letter from the Catalan Competition Authority, which conveyed, in application of the provisions of Article 1.1 of Law 1/2002, of February 21, on the Coordination of the Competences of the State and the Autonomous Communities in matters of Defense of Competition, a complaint filed by SUMOL PHARMA, S.A. (SUMOL), dated July 26, 2012, against a series of laboratories manufacturing generic medicines, for alleged restrictive competition practices consisting of offering, through their representatives and/or distributors, discounts and bonuses in kind to pharmacies, exceeding the legally permitted limits established by Law 29/2006, of July 26, on guarantees and the rational use of medicines and health products, affecting the conditions of competition in the markets for generic medicines.</w:t>
      </w:r>
    </w:p>
    <w:p>
      <w:r>
        <w:t>2. On November 7, 2012, the DI received a letter from the Catalan Competition Authority sending complementary information related to the facts reported by SUMOL. SUMOL reported an alleged boycott promoted, on October 6, 2012, by the president of the Spanish Association of Generic Manufacturers (AESEG) against a series of generic manufacturers – in particular, ASOL, SUMOL, and AUROBINDO – whose commercial strategy is to compete on prices.</w:t>
      </w:r>
    </w:p>
    <w:p>
      <w:r>
        <w:t>3. On December 11, 2012, the DI sent SUMOL a request for information requiring it to identify the laboratories that allegedly had made illegal discounts in the last three years, indicate what results had been obtained from the complaints filed by SUMOL regarding these facts before various bodies, and whether it was aware of the existence of additional communications related to the reported boycott. The response was received by the CNC on December 17, 2012.</w:t>
      </w:r>
    </w:p>
    <w:p>
      <w:r>
        <w:t>4. On December 12, 2012, the DI requested clarification from the General Directorate of Basic Services of the National Health System and Pharmacy of the Ministry of Health, Social Services, and Equality regarding some aspects of the scope and applicability of Article 3.6 of Law 29/2006, relating to the guarantee of the independence of decisions related to the prescription, dispensing, and administration of medicines concerning commercial interests, and whether that Directorate was aware of the initiation of sanctioning proceedings related to the facts reported by SUMOL. On February 28, 2013, the DI reiterated this request, receiving the response on March 8, 2013.</w:t>
      </w:r>
    </w:p>
    <w:p>
      <w:r>
        <w:t>5. On January 15, 2013, the DI requested BEXAL FARMACÉUTICA, KERN PHARMA, LABORATORIOS DAVUR, LABORATORIOS LITAPHAR, MERCK FARMA Y QUÍMICA, RATIOPHARM ESPAÑA, and SANDOZ FARMACÉUTICA to provide information regarding the distribution of generics in Spain and their commercial policies, particularly regarding discounts and bonuses. The responses were received by the DI between January 18 and February 5, 2013.</w:t>
      </w:r>
    </w:p>
    <w:p>
      <w:r>
        <w:t>6. On January 22, 2013, the DI requested MYLAN PHARMACEUTICALS to send information about the distribution of generics in Spain and its commercial policy. Their response was received on February 13, 2013.</w:t>
      </w:r>
    </w:p>
    <w:p>
      <w:r>
        <w:t>7. On March 22, 2013, the DI requested information from:</w:t>
        <w:br/>
        <w:t>- BEXAL, SANDOZ, DAVUR, KERN, MYLAN, and RATIOPHARM, to provide samples of invoices for direct sales of generics to pharmacy offices and invoices for the so-called "transfer sales" (orders made by the pharmacy office to the laboratory, usually through a representative of its commercial network, but requesting that the wholesaler of its choice supply and invoice the medicine) of generics between the years 2010 and 2013. The responses to this request were received by the DI between April 11 and April 15, 2013.</w:t>
      </w:r>
    </w:p>
    <w:p>
      <w:r>
        <w:t>- A series of pharmaceutical distribution companies (ALLIANCE HEALTHCARE, APOTECARIS, HEFAGRA, CECOFAR, COFARES, FEDEFARMA), requesting information on whether they were aware that some generic drug manufacturers were offering discounts to pharmacies above the legally permitted limit. They were also asked to submit a sample of invoices for sales of generics to pharmacy offices for transfer orders and non-transfer orders between the years 2010 and 2013. The responses to these requests were received by the DI between April 8 and April 22, 2013.</w:t>
      </w:r>
    </w:p>
    <w:p>
      <w:r>
        <w:t>- A group of drug manufacturers with a market share similar to that of the complainant (AUROBINDO, CANTABRIA PHARMA, KORHISPANA, LABORATORIOS VIR, and VEGAL FARMACÉUTICA), regarding whether they were aware that the reported laboratories, or others, were practicing discounts and bonuses to pharmacies above the legally permitted limits to incentivize pharmacies to substitute the generics dispensed in favor of their products. Their responses were received by the DI between March 26 and April 14, 2013.</w:t>
      </w:r>
    </w:p>
    <w:p>
      <w:r>
        <w:t>8. On August 19, 2013, the DI submitted to the Council of the CNC a proposal for the non-initiation of sanctioning proceedings and the filing of the actions followed in the reference file, considering that there are no indications of an infringement of the Competition Defense Law in the reported conduct.</w:t>
      </w:r>
    </w:p>
    <w:p>
      <w:r>
        <w:t>9. The DI, in its Proposal for Filing to the Council, includes the following facts that are transcribed below:</w:t>
        <w:br/>
        <w:t>(10) SUMOL PHARMA, S.A. is a pharmaceutical laboratory, 100% Spanish-owned, dedicated to the marketing of generic pharmaceutical specialties. SUMOL sells exclusively in Spain, and through wholesale operators. On October 31, 2012, SUMOL filed for pre-bankruptcy.</w:t>
      </w:r>
    </w:p>
    <w:p>
      <w:r>
        <w:t>(11) In the complaint filed by SUMOL, the following are listed as defendants: ACOST GENERICS PHARMA (“ACOST”), LABORATORIOS DAVUR (“DAVUR”), KERN PHARMA (“KERN”), LABORATORIOS LITAPHAR (“LITAPHAR”), MERCK FARMA Y QUÍMICA (“MERCK”), and RATIOPHARM ESPAÑA (“RATIOPHARM”).</w:t>
      </w:r>
    </w:p>
    <w:p>
      <w:r>
        <w:t>(12) Following the first request made to the reported laboratories by SUMOL, the following was noted regarding their activity and control structure:</w:t>
        <w:br/>
        <w:t>- ACOST GENERICS PHARMA, S.L., belonging to the Novartis group, was absorbed by the company of the same group BEXAL FARMACÉUTICA, S.A. (“BEXAL”) on July 29, 2011. The generic manufacturer SANDOZ FARMACÉUTICA S.A. (“SANDOZ”) also belongs to the Novartis group. In its</w:t>
      </w:r>
    </w:p>
    <w:p>
      <w:r>
        <w:rPr>
          <w:b/>
        </w:rPr>
        <w:t>[Pages 4–6]</w:t>
      </w:r>
    </w:p>
    <w:p>
      <w:r>
        <w:t>aplicación a los profesionales sanitarios que, en virtud de su actividad, puedan influir en la decisión de prescripción, dispensación y administración de medicamentos.</w:t>
      </w:r>
    </w:p>
    <w:p>
      <w:r>
        <w:t>(26) El artículo 86 de la Ley 29/2006 establece que los precios de los medicamentos financiados por el SNS deben ser fijados por el Ministerio de Sanidad, Servicios Sociales e Igualdad, y que los márgenes de distribución también están regulados para garantizar la sostenibilidad del sistema.</w:t>
      </w:r>
    </w:p>
    <w:p>
      <w:r>
        <w:t>(27) En conclusión, la regulación de la comercialización de medicamentos genéricos en España es estricta y busca asegurar la competencia leal en el mercado, la protección de los consumidores y la sostenibilidad del sistema de salud pública.</w:t>
      </w:r>
    </w:p>
    <w:p>
      <w:r>
        <w:rPr>
          <w:b/>
        </w:rPr>
        <w:t>[Pages 7–9]</w:t>
      </w:r>
    </w:p>
    <w:p>
      <w:r>
        <w:t>application when the offering is made to healthcare professionals who prescribe health products. The previous prohibition does not apply to discounts for early payment or for purchase volume made by distributors to pharmacy offices. These may reach a maximum of 10% for medicines financed by the National Health System, provided that the purchase of one product is not incentivized over that of its competitors and that they are reflected in the corresponding invoice.</w:t>
      </w:r>
    </w:p>
    <w:p>
      <w:r>
        <w:t>(26) The original wording of this article, in force from July 28, 2006, until March 27, 2010, did not establish a quantitative limit on discounts for early payment and bonuses, requiring only that they did not incentivize the purchase of one product over that of its competitors and that they were reflected in the corresponding invoice. RD-Law 4/2010, of March 26, establishes a maximum limit on these discounts of 5% for medicines financed by the SNS, extendable to 10% in the case of generic medicines. The current wording introduced by RD-Law 9/2011, of August 19, has been in force since August 20, 2011.</w:t>
      </w:r>
    </w:p>
    <w:p>
      <w:r>
        <w:t>(27) Finally, Title VII of Law 29/2006, which deals with the public financing of medicines and health products, contains the provisions related to the pricing of medicines that are to be dispensed in Spanish territory. Below are summarized its main characteristics (Articles 90 and 93):</w:t>
        <w:br/>
        <w:t>- The SNS does not finance all medicines. The inclusion of a medicine in the SNS financing system is decided by an express resolution of the competent body of the Ministry of Health, Social Services, and Equality based on its indications, therapeutic and social value, budgetary impact, alternative treatments, and degree of innovation.</w:t>
        <w:br/>
        <w:t>- In any case, to market a medicine in Spain, it is essential to have processed its offer to the SNS.</w:t>
        <w:br/>
        <w:t>- Holders of marketing authorizations may sell medicines under a notified price regime, understood as the communication of the price to the Ministry of Health, Social Services, and Equality, which may object to it for reasons of public interest.</w:t>
        <w:br/>
        <w:t>- However, for medicines financed by the SNS, it is the Interministerial Commission on Drug Prices, attached to the Ministry of Health, that sets the financing prices. As a general rule, the financing price by the SNS will be lower than the industrial price of the medicine applied when it is dispensed outside the SNS.</w:t>
        <w:br/>
        <w:t>- The public financing of medicines is subject to the reference pricing system. The reference pricing system is based on the grouping of medicines into sets that include all presentations of financed medicines that have the same active ingredient and route of administration. In these groups, at least one presentation of a generic or biosimilar medicine will be included. The reference price of a set is the maximum amount with which the presentations of medicines included in it are financed, and it is calculated based on the lowest cost/treatment/day of the different presentations.</w:t>
        <w:br/>
        <w:t>- The margins corresponding to the distribution and dispensing activities of the medicines and, where applicable, the deductions applicable to their billing to the SNS are set by the Government. Thus, the Ministry of Health, Social Services, and Equality establishes the public sale price of the medicines and health products financed by adding the authorized industrial price (maximum) and the corresponding margins for the wholesale distribution and public dispensing activities (which are set as percentages of the industrial price, so that, at a lower price, there is lower profit for the pharmacist).</w:t>
      </w:r>
    </w:p>
    <w:p>
      <w:r>
        <w:t>2.3. Conclusion</w:t>
      </w:r>
    </w:p>
    <w:p>
      <w:r>
        <w:t>(28) The behaviors reported in this file would have occurred in the context of the distribution and dispensing of generic medicines dispensed in Spain financed by the SNS, which would constitute the relevant market.</w:t>
      </w:r>
    </w:p>
    <w:p>
      <w:r>
        <w:t>(29) This is a heavily regulated market, in which legal mechanisms determine which product the pharmacist must dispense, under what conditions substitution is allowed, the sale price, and the margins at each link in the chain, as well as the legally admissible discounts and bonuses.</w:t>
      </w:r>
    </w:p>
    <w:p>
      <w:r>
        <w:t>Furthermore, the DI briefly states the following regarding the facts related to the reported behaviors:</w:t>
        <w:br/>
        <w:t>“In relation to discounts and bonuses</w:t>
      </w:r>
    </w:p>
    <w:p>
      <w:r>
        <w:t>This Investigation Directorate has analyzed a broad sample of invoices issued by the reported laboratories between the years 2010 and 2013 for direct sales of generic medicines to pharmacy offices. From the analysis of the invoices, it appears that, since the entry into force of RD-Law 4/2010, of March 26, the reported laboratories have not applied discounts exceeding the legally permitted 10% in their direct sales to pharmacies of generics financed by the SNS. Prior to this reform, all of them applied higher discounts.</w:t>
      </w:r>
    </w:p>
    <w:p>
      <w:r>
        <w:t>This Investigation Directorate has also analyzed a representative sample of transfer orders from pharmacy offices received by the reported laboratories between the years 2010 and 2013. From the analysis of the information provided, it cannot be deduced that from the entry into force of RD-Law 4/2010 the reported laboratories have offered pharmacies discounts exceeding 10% on transfer orders. Prior to this reform, higher discounts were indeed offered.</w:t>
      </w:r>
    </w:p>
    <w:p>
      <w:r>
        <w:t>Finally, a representative sample of the invoices issued between the years 2010 and 2013 by the main wholesale distributors corresponding to transfer orders served to pharmacy offices at the request of the reported laboratories has been analyzed. From the analysis of these, it appears that from the entry into force of RD-Law 4/2010, all the reported laboratories have respected the 10% limit on discounts and bonuses to pharmacy offices introduced by it.</w:t>
      </w:r>
    </w:p>
    <w:p>
      <w:r>
        <w:t>Both the main distributors and the sample of small generic manufacturers of a size similar to SUMOL – and who could therefore be affected by the investigated practices in a manner similar to the complainant who have been consulted by this Directorate, claim to have no knowledge of the reported illegal discounts and bonuses.</w:t>
      </w:r>
    </w:p>
    <w:p>
      <w:r>
        <w:t>In relation to the reported boycott</w:t>
      </w:r>
    </w:p>
    <w:p>
      <w:r>
        <w:t>Between October 6 and October 14, 2012, on the personal Twitter account of the President of the Spanish Association of Generic Medicines of Spain (AESEG), who is also the CEO of KERN PHARMA and President of Advancell (a biotechnology company dedicated to the development of innovative medicines with high commercial potential), the following messages were published, among others:</w:t>
        <w:br/>
        <w:t>- “Pharmacists of Spain, those who lower your margins every month are companies like Asol, Sumol, Aurobindo. You will know what you are doing!” (October 6, page 158).</w:t>
        <w:br/>
        <w:t>- “Why continue dispensing Asol, Sumol, Aurobindo, or Vir when we are all at the same price and they are the cause of margin reduction. Andalucía!!!” (October 6, page 162)</w:t>
      </w:r>
    </w:p>
    <w:p>
      <w:r>
        <w:rPr>
          <w:b/>
        </w:rPr>
        <w:t>[Pages 10–12]</w:t>
      </w:r>
    </w:p>
    <w:p>
      <w:r>
        <w:t>- "I don't know, you would have to ask those who lower the price every month. Certainly, Kern Pharma is not interested in this war" (with a copy to [XX], October 11, folio 166)</w:t>
        <w:br/>
        <w:t>- "That's what it's about, informing about the situation and having pharmacists act accordingly" (with a copy to [XX], October 11, folio 165).</w:t>
        <w:br/>
        <w:t>- "I wish all pharmacy owners in Spain thought like you" (with a copy to [XX], October 11, folio 166)</w:t>
        <w:br/>
        <w:t>- "What joy! What clarity in the substitution. Confirm to me that they pay you. Cheer up." (October 11 with a copy to [XX] and [XX], October 11, folio 167).</w:t>
        <w:br/>
        <w:t>- "I intend nothing more than to inform, so that, like you, other pharmacists can make their decision. Sorry if I offended you." (with a copy to [XX], October 13, folio 167).</w:t>
        <w:br/>
        <w:t>- "Now lowering the price knowing that the rest of the laboratories will match it only reduces the market and the margin" (with a copy to [XX], [XX], and [XX], October 14, 2601).</w:t>
      </w:r>
    </w:p>
    <w:p>
      <w:r>
        <w:t>30. In its Report and Proposal to the Council, the DI analyzes the information provided by the complainant and makes an assessment regarding the existence of indications of infringement of the LDC, which, in summary, is as follows:</w:t>
      </w:r>
    </w:p>
    <w:p>
      <w:r>
        <w:t>However, within the framework of this reserved information, it has not been possible to establish that the reported laboratories have practiced such illegal discounts. On one hand, from the analysis of the invoices provided by the laboratories and the main wholesale distributors, it appears that the reported laboratories have adhered to the 10% limit on early payment discounts and volume purchase bonuses in effect since March 28, 2010. On the other hand, small generic laboratories that would be harmed by these practices to the same extent as the complainant have been consulted, and they claim to have no knowledge of them.</w:t>
      </w:r>
    </w:p>
    <w:p>
      <w:r>
        <w:t>Furthermore, regarding the discounts applied prior to the entry into force of this quantitative limit in 2010, it should be noted that, since in no case would we be facing infringements of the LDC considered very serious according to its article 62.4, but rather a possible infringement of its article 3, any such infringements, if they had occurred, would have expired due to the passage of the two legally established years.</w:t>
      </w:r>
    </w:p>
    <w:p>
      <w:r>
        <w:t>31. Consequently, the report proposal that the DI submits to the CNC Council on August 19, 2013, proposes that:</w:t>
      </w:r>
    </w:p>
    <w:p>
      <w:r>
        <w:t>"Therefore, in accordance with the provisions of article 49.3 of Law 15/2007, of July 3, on the Defense of Competition, it is proposed not to initiate the sanctioning procedure, as well as to archive the proceedings followed as a result of the complaint filed by SUMOL PHARMA, S.A., considering that there are no indications of infringement of the aforementioned Law."</w:t>
      </w:r>
    </w:p>
    <w:p>
      <w:r>
        <w:t>32. By Order ECC/1796/2013, of October 4, October 7, 2013, was determined as the date for the operation of the National Commission of Markets and Competition (CNMC), in which the activities and functions of the CNC are integrated, by virtue of the provisions of Law 3/2013, of June 4, on the creation of the National Commission of Markets and Competition (LCNMC). Likewise, as established in article 19 of Royal Decree 657/2013, of August 30, which approves the Organic Statute of the CNMC, the Competition Directorate (hereinafter DC) is the body responsible for the functions of instruction of files, investigation, study, and preparation of reports of the CNMC in matters of competition defense procedures, restrictive competition behaviors, and control of concentrations regulated in the LDC.</w:t>
      </w:r>
    </w:p>
    <w:p>
      <w:r>
        <w:t>33. The Competition Chamber of the CNMC Council deliberated and ruled on the matter in its meeting on January 23, 2014.</w:t>
      </w:r>
    </w:p>
    <w:p>
      <w:r>
        <w:t>34. The interested parties in this file are:</w:t>
        <w:br/>
        <w:t>− SUMOL PHARMA, S.A.</w:t>
        <w:br/>
        <w:t>− ACOST GENERICS PHARMA</w:t>
        <w:br/>
        <w:t>− DAVUR</w:t>
        <w:br/>
        <w:t>− KERN PHARMA</w:t>
        <w:br/>
        <w:t>− LITAPHAR</w:t>
        <w:br/>
        <w:t>− MERCK PHARMA AND CHEMISTRY</w:t>
        <w:br/>
        <w:t>− RATIOPHARM SPAIN</w:t>
      </w:r>
    </w:p>
    <w:p>
      <w:r>
        <w:t>LEGAL GROUNDS</w:t>
      </w:r>
    </w:p>
    <w:p>
      <w:r>
        <w:t>FIRST.- Competence to resolve. Article 49.1 of the LDC provides that the DI will initiate a sanctioning file when it observes reasonable indications of the existence of prohibited behaviors in articles 1, 2, and 3 of the same Law. In number 3 of the cited article 49, it is added that the Council, at the proposal of the DI, will agree not to initiate a sanctioning procedure and, consequently, to archive the actions carried out when it considers that there are no indications of infringement.</w:t>
      </w:r>
    </w:p>
    <w:p>
      <w:r>
        <w:t>On the other hand, article 27.1 of Royal Decree 261/2008, of February 22, which approves the Competition Defense Regulation (RDC) stipulates that, "In order for the Council of the National Commission of Competition to agree not to initiate a procedure and archive the actions in the terms established in articles 44 and 49.3 of Law 15/2007, of July 3, the Investigation Directorate will transfer the received complaint, the prior actions carried out, if applicable, and a proposal for archiving."</w:t>
      </w:r>
    </w:p>
    <w:p>
      <w:r>
        <w:t>In accordance with the provisions of the first additional provision of Law 3/2013, of June 4, on the creation of the CNMC, the operation of the same will begin on the date determined for this purpose by order of the Minister of Economy and Competitiveness. By Order ECC/1796/2013, of October 4, October 7, 2013, was determined as the date for the operation of the CNMC. According to the second additional provision of the same Law, "the references that the legislation...</w:t>
      </w:r>
    </w:p>
    <w:p>
      <w:r>
        <w:rPr>
          <w:b/>
        </w:rPr>
        <w:t>[Pages 13–15]</w:t>
      </w:r>
    </w:p>
    <w:p>
      <w:r>
        <w:t>the current legislation contains references to the National Competition Commission […] shall be understood as references to the National Markets and Competition Commission […]”.</w:t>
      </w:r>
    </w:p>
    <w:p>
      <w:r>
        <w:t>Furthermore, Article 14 letter b) of Royal Decree 657/2013, of August 30, which approves the Organic Statute of the CNMC, establishes that “The Competition Chamber shall be responsible for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t>SECOND. Assessment of the Council. The behaviors reported in this file would have occurred in the context of the distribution and dispensing of generic medicines supplied in Spain and financed by the National Health System (SNS), and must necessarily be analyzed in the context in which they occur. Article 3 of Law 29/2006 includes a series of provisions aimed at ensuring the independence of professionals in the sector, regulating the situations in which conflicts of interest may arise. In particular, paragraph 6 of this article establishes the following (emphasis added):</w:t>
      </w:r>
    </w:p>
    <w:p>
      <w:r>
        <w:t>“For the purpose of ensuring the independence of decisions related to the prescription, dispensing, and administration of medicines with respect to commercial interests, the direct or indirect offering of any type of incentive, bonuses, discounts, commissions, or gifts by those who have direct or indirect interests in the production, manufacturing, and marketing of medicines to the healthcare professionals involved in the cycle of prescription, dispensing, and administration of medicines or to their relatives and cohabitants is prohibited. This prohibition shall also apply when the offering is made to healthcare professionals who prescribe health products. Discounts for prompt payment or for volume purchases made by distributors to pharmacy offices are exempt from the above prohibition. These may reach a maximum of 10% for medicines financed by the National Health System, provided that the purchase of a product is not incentivized over that of its competitors and is reflected in the corresponding invoice.”</w:t>
      </w:r>
    </w:p>
    <w:p>
      <w:r>
        <w:t>As the DI states in its Proposal for Filing, the first reported behavior would consist of the offering by a series of laboratories to pharmacy offices of discounts and bonuses exceeding the legally permitted limit established by Law 29/2006, according to the complaint, and would have been occurring since the year 2002.</w:t>
      </w:r>
    </w:p>
    <w:p>
      <w:r>
        <w:t>Article 3 of the LDC prohibits the distortion of free competition through unfair acts. The offering to pharmacy offices of discounts above the legally permitted limit, with the aim of incentivizing the substitution in the dispensing of the lower-priced generic for another of the same homogeneous group manufactured by the laboratory offering the discount, could constitute a violation of the aforementioned Article 3 LDC, insofar as, first, it would constitute an act of unfair competition under Article 15.1 of Law 3/1991, of January 10, on Unfair Competition, which defines as unfair taking advantage in the market of a significant competitive advantage acquired through the violation of laws and, second, it could distort competition by affecting the public interest. Such an effect on the public interest would arise from the fact that competition among generic laboratories would not occur in the price at which they offer their products to the National Health System, but in the margins obtained by pharmacy offices, which on one hand would distort the objectives pursued by the legislator in setting the amount of the margins for the dispensing of medicines and, on the other hand, would deprive the SNS of the possibility of benefiting from the potential reduction of its pharmaceutical bill.</w:t>
      </w:r>
    </w:p>
    <w:p>
      <w:r>
        <w:t>However, from the analysis of the invoices carried out by the DI, it follows that, since the entry into force of RD-Law 4/2010, of March 26, the reported laboratories have not applied discounts exceeding the legally permitted 10% in their direct sales to pharmacies of generics financed by the SNS. Prior to this reform, all of them applied higher discounts.</w:t>
      </w:r>
    </w:p>
    <w:p>
      <w:r>
        <w:t>Nor can it be deduced from the analysis carried out by the DI of a representative sample of transfer orders from pharmacy offices received by the reported laboratories between the years 2010 and 2013 that from the entry into force of RD-Law 4/2010 such laboratories have offered pharmacies discounts exceeding 10% on such orders.</w:t>
      </w:r>
    </w:p>
    <w:p>
      <w:r>
        <w:t>Finally, the examination of a representative sample of the invoices issued between the years 2010 and 2013 by the main wholesale distributors corresponding to transfer orders served to pharmacy offices at the request of the reported laboratories allows us to conclude that, from the entry into force of RD-Law 4/2010, all the reported laboratories have respected the 10% limit on discounts and bonuses to pharmacy offices introduced by it.</w:t>
      </w:r>
    </w:p>
    <w:p>
      <w:r>
        <w:t>Regarding the second reported behavior, the alleged boycott against a series of generic manufacturers, the controversial behavior refers to the communications made, between October 6 and 14, 2012, from the personal Twitter account of the President of AESEG (Spanish Association of Manufacturers of Generic Substances and Pharmaceutical Specialties), communications whose content would be to point out the publicly known fact that a series of laboratories offer aggressive price reductions to the SNS, which necessarily affects the profit margin of pharmacists, regulated by law. The hypothetical aim of such communications would be to attempt to unify the behavior of the holders of pharmacy offices against a series of laboratories (SUMOL, AUROBINDO, and ASOL).</w:t>
      </w:r>
    </w:p>
    <w:p>
      <w:r>
        <w:t>The factual circumstances in which such communications from the President of AESEG occur justify their assessment within the framework of a possible violation of Article 1 LDC, as they could constitute behavior of a strategic agent capable of influencing the decisions of pharmacists, who should act in the market autonomously and freely, without interference or recommendations of any kind to act in a parallel or joint manner.</w:t>
      </w:r>
    </w:p>
    <w:p>
      <w:r>
        <w:t>Having said all of the above, in light of the available information, as reasoned by the DI in its Proposal for Filing, it cannot be asserted that the conduct of the President of AESEG has the necessary aptitude to significantly affect competition, given the very limited dissemination of his messages. Indeed, the fact that the personal account of the President of AESEG was used, with a very restricted number of followers (198 in total, of which only some are holders of pharmacy offices), instead of the association's own account (with more than 4,500 followers professionally linked to the sector), the relatively ambiguous nature of the content of the messages, their limited and punctual extension in time (ten days), all of these are elements that make it very unlikely that the medium used was suitable to provoke a homogenization of the behavior of pharmacists or in any way alter the normal functioning of the affected market.</w:t>
      </w:r>
    </w:p>
    <w:p>
      <w:r>
        <w:t>Therefore, as there are no indications of restrictive practices prohibited by Article 1 and Article 3 of the LDC, the Council considers the Proposal for Filing of the actions carried out within the framework of file S/0437/12 to be legally appropriate.</w:t>
      </w:r>
    </w:p>
    <w:p>
      <w:r>
        <w:t>For all the above reasons, in view of the cited provisions and the others of general application, this Council</w:t>
      </w:r>
    </w:p>
    <w:p>
      <w:r>
        <w:t>HAS RESOLVED</w:t>
      </w:r>
    </w:p>
    <w:p>
      <w:r>
        <w:t>SOLE.- Under the protection of Article 49.3 of Law 15/2007, of July 3, on the Defense of Competition, not to initiate sanctioning proceedings and to file the reserved actions followed under number S/0437/12 GENERIC PHARMACEUTICAL SPECIALTIES, considering that there are no indications of violation of the aforementioned Law.</w:t>
      </w:r>
    </w:p>
    <w:p>
      <w:r>
        <w:rPr>
          <w:b/>
        </w:rPr>
        <w:t>[Pages 16–16]</w:t>
      </w:r>
    </w:p>
    <w:p>
      <w:r>
        <w:t>Communicate this Resolution to the Competition Directorate of the National Commission of Markets and Competition and to the Catalan Competition Authority, and notify the interested parties, informing them that there is no administrative appeal against it, and that they may file a contentious-administrative appeal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