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https://www.cnmc.es/expedientes/s043812</w:t>
      </w:r>
    </w:p>
    <w:p>
      <w:r>
        <w:t>Pages translated : 9</w:t>
      </w:r>
    </w:p>
    <w:p/>
    <w:p>
      <w:r>
        <w:rPr>
          <w:b/>
        </w:rPr>
        <w:t>[Pages 1–3]</w:t>
      </w:r>
    </w:p>
    <w:p>
      <w:r>
        <w:t xml:space="preserve">RESOLUTION  </w:t>
        <w:br/>
        <w:t xml:space="preserve">(Expte. S/0438/12, PROFESSIONAL FOOTBALL LEAGUE)  </w:t>
        <w:br/>
        <w:t xml:space="preserve">COUNCIL:  </w:t>
        <w:br/>
        <w:t xml:space="preserve">Mr. Joaquín García Bernaldo de Quirós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January 8, 2013  </w:t>
        <w:br/>
        <w:t xml:space="preserve">The Council of the National Competition Commission, with the composition stated above and with Councilor Rapporteur Ms. María Jesús González López, has issued the following Resolution in the reserved information file S/0438/12, PROFESSIONAL FOOTBALL LEAGUE, which arises from a complaint filed by the Asociación Por Nuestro Betis (APNB) against Mediaproducción, S.L.U. (MEDIAPRO) and the Professional Football League (LFP), for alleged conduct prohibited by Law 15/2007, of July 3, on the Defense of Competition (LDC).  </w:t>
        <w:br/>
        <w:t xml:space="preserve">FACTUAL BACKGROUND  </w:t>
        <w:br/>
        <w:t xml:space="preserve">1. On August 14, 2012, the National Competition Commission (CNC) received a letter from the Asociación Por Nuestro Betis (APNB) in which a complaint was filed for alleged conduct prohibited by Law 15/2007, of July 3, on the Defense of Competition (LDC) against Mediaproducción, S.L.U. (MEDIAPRO) and the Professional Football League (LFP) (pages 1 to 13).  </w:t>
        <w:br/>
        <w:t xml:space="preserve">2. By letter dated October 4, 2012, following a request from the DI, the complainant corrected certain aspects of the complaint. In the same letter, the complainant expanded the complaint to include Prisa Televisión, S.A.U. (PRISA) (pages 18 to 23).  </w:t>
        <w:br/>
        <w:t xml:space="preserve">3. According to the complainant, the behavior of PRISA, MEDIAPRO, and the LFP in the field of audiovisual rights of the League and the Copa de S.M. el Rey discriminates against small football clubs or public limited sports companies, benefiting not only the major football clubs but also the audiovisual operators acquiring those rights, violating Articles 1 and 2 of the LDC.  </w:t>
        <w:br/>
        <w:t xml:space="preserve">4. In the opinion of the complainant, the result would be a discriminatory model of distribution of television revenues that distorts the competition of the League and the Copa de S.M. el Rey de Fútbol, such that the market becomes stagnant and benefits the major football clubs, while there is a gradual impoverishment of the rest of the clubs.  </w:t>
        <w:br/>
        <w:t xml:space="preserve">5. The DI in its Report and Proposal for Filing to the Council, includes the following facts which are transcribed below:  </w:t>
        <w:br/>
        <w:t xml:space="preserve">“II. FACTS  </w:t>
        <w:br/>
        <w:t xml:space="preserve">11.1. The Parties  </w:t>
        <w:br/>
        <w:t xml:space="preserve">(6) The Asociación Por Nuestro Betis (APNB) is a non-profit organization formed by fans and shareholders of the football club Real Betis Balompié, S.A.D. The statutory purposes of APNB are the defense of the interests of grassroots Betis supporters (fans, season ticket holders, and minority shareholders), promoting their participation in the decision-making areas of Real Betis Balompié, S.A.D., ensuring a professional and transparent management of the club.  </w:t>
        <w:br/>
        <w:t xml:space="preserve">(7) Mediaproducción, S.L.U. (MEDIAPRO) belongs to the Imagina Group and develops its activity in the sectors of audiovisual content production and the management of sports and film rights, among others.  </w:t>
        <w:br/>
        <w:t xml:space="preserve">(8) Currently, MEDIAPRO manages the audiovisual rights of the League and the Copa de S.M. el Rey (except for the final) for several teams in the First and Second Divisions, including Real Madrid and FC Barcelona. In their contracts with MEDIAPRO, the clubs commit to follow MEDIAPRO's instructions regarding the scheduling of League and Copa de S.M. el Rey matches.  </w:t>
        <w:br/>
        <w:t xml:space="preserve">(9) On the other hand, on August 16, 2012, MEDIAPRO signed a contract with DTS DISTRIBUIDORA DE TELEVISIÓN DIGITAL, S.A. (DTS), whereby both operators pool the audiovisual rights of the League and the Copa de S.M. el Rey de fútbol that they hold for the 2012/2013 to 2014/2015 seasons, and share the downstream audiovisual exploitation.  </w:t>
        <w:br/>
        <w:t xml:space="preserve">(10) In pay television, MEDIAPRO controls the thematic channel Gol TV, which is broadcast on pay digital terrestrial television (TDT).  </w:t>
        <w:br/>
        <w:t xml:space="preserve">(11) Prisa Televisión, S.A.U. (PRISA TV) is the audiovisual holding of the PRISA GROUP and a 100% subsidiary of Promotora de Informaciones, S.A.  </w:t>
        <w:br/>
        <w:t xml:space="preserve">(12) PRISA TV holds 56% of the share capital of DTS and has exclusive control over it, although other shareholders of DTS include the TELEFÓNICA group and the MEDIASET group.  </w:t>
        <w:br/>
        <w:t xml:space="preserve">(13) DTS is a pay television operator that uses satellite transmission to broadcast its programming.  </w:t>
        <w:br/>
        <w:t xml:space="preserve">(14) Furthermore, DTS has acquired the audiovisual rights of the League and the Copa de S.M. el Rey (except for the final) for several teams in the First Division for the 2012/2013 season and subsequent ones. In their contracts with DTS, the clubs commit to follow DTS's instructions regarding the scheduling of League and Copa de S.M. el Rey matches.  </w:t>
        <w:br/>
        <w:t xml:space="preserve">(15) Following the agreement reached with MEDIAPRO, DTS broadcasts football from the League and the Copa del Rey through its premium channels Canal+ (one First Division match per matchday) and Canal+ Liga (8 First Division matches per matchday).  </w:t>
        <w:br/>
        <w:t xml:space="preserve">(16) To the extent that PRISA TV does not act directly in the markets where the reported events occur, but rather through DTS, for the purposes of this file, this Directorate of Investigation understands that the references in the complaint to PRISA TV actually refer to DTS.  </w:t>
        <w:br/>
        <w:t xml:space="preserve">(17) The Professional Football League (LFP) is a private sports association that, according to the provisions of Articles 12 and 41 of Law 10/1990, of October 15, on Sport, is exclusively and mandatorily composed of all public limited sports companies and clubs in the First and Second Divisions, which participate in official professional competitions at the state level. It has its own legal personality and enjoys autonomy in its internal organization and functioning, with respect to the Royal Spanish Football Federation (RFEF), of which it is a part.  </w:t>
        <w:br/>
        <w:t xml:space="preserve">II.2. Affected Markets  </w:t>
        <w:br/>
        <w:t xml:space="preserve">II.2.1. Markets for the acquisition and exploitation of broadcasting rights for matches of the League and Copa in Spain  </w:t>
        <w:br/>
        <w:t xml:space="preserve">(18) The markets for the acquisition and resale of broadcasting rights for football matches in Spain have been described and delineated on various occasions, both at the community level and by the Spanish competition authorities.  </w:t>
        <w:br/>
        <w:t>(19) Furthermore, the cited precedents consider that a narrower market for the acquisition and resale of live broadcasting rights of the League and the Copa de S.M. el Rey de fútbol can be defined as opposed to those of European competitions (Champions League and UEFA).</w:t>
      </w:r>
    </w:p>
    <w:p>
      <w:r>
        <w:rPr>
          <w:b/>
        </w:rPr>
        <w:t>[Pages 4–6]</w:t>
      </w:r>
    </w:p>
    <w:p>
      <w:r>
        <w:t>Europa League). This segmentation is justified on the basis that there is uncertainty about which Spanish teams will play in the various knockout stages of the regular European competitions, and therefore, the commercialization systems and pricing of national and European audiovisual rights are different. (20) On the other hand, in line with these precedents, it can be considered that the activity of reselling live broadcast rights of the League and the Copa de S.M. el Rey of football forms part of a market differentiated from that of acquiring these rights, to the extent that in Spain the acquisition market corresponds to the wholesale phase, in which clubs are suppliers and resellers or audiovisual operators are demanders, while the resale corresponds to the retail phase, in which resellers or audiovisual operators are suppliers and the demand comes from the rest of the audiovisual operators. (21) Likewise, it should be confirmed that the previously cited national and community precedents have considered that the geographical dimension of the markets for acquiring and reselling broadcast rights for matches of the Spanish League and the Copa de S.M. el Rey is national, given that the demand for these matches by the final viewer is predominantly national, and the main purchasers of these rights are national operators. (22) In any case, for the purposes of this file, it is not necessary to close the exact delimitation of these relevant markets, as it does not affect the conclusions of the analysis. II.3. Operation of the affected markets II.3.1. Market for acquiring broadcast rights for matches of the League and Copa in Spain (23) The audiovisual rights of the League and Copa de S.M. el Rey are the main source of income for the football clubs participating in the First and Second Division of the football league organized by the LFP. (24) Until the 1997/1998 season, the audiovisual rights of football clubs for the League and Copa de S.M. el Rey were centralized in the LFP, which was responsible for granting them to various audiovisual operators for the live broadcast of matches on free-to-air and pay television. (25) However, following the agreement of the General Assembly of the LFP on April 12, 1996, which recognized the various football clubs' right to individually negotiate the transfer to third parties of their own audiovisual rights corresponding to the 1998/1999 season and subsequent ones, the system was modified and each club began to sell its rights individually, with contracts being concluded in the following months for the acquisition of the audiovisual rights of football clubs. (26) The above gave rise to the current market for acquiring live broadcast rights for matches of the League and Copa de S.M. el Rey. This market is characterized by the fact that each of the clubs grants exclusively to a single operator (not always the same one that acquires the rights of other clubs) all its audiovisual rights for its League and Copa de S.M. el Rey matches (except the final). (27) As previously seen, for the 2012/2013 seasons, the audiovisual rights of the League and Copa de S.M. el Rey are being managed by MEDIAPRO and DTS, and the clubs do not get involved in the design of the exploitation model, including the dates and times of the broadcast of the matches, but rather limit themselves to following the instructions of MEDIAPRO and DTS. I.3.2. Market for reselling broadcast rights for matches of the League and Copa in Spain. (28) Just as in the case of the acquisition market, the current configuration of the market for reselling live broadcast rights for matches of the League and Copa de S.M. el Rey (except the final) emerged in 1996 when the various clubs began to sell their audiovisual rights individually for the 1998/1999 season and subsequent ones. (29) One of the most relevant characteristics of this market is that the various audiovisual operators acquiring rights for the League and Copa have pooled, either explicitly or tacitly, their audiovisual rights for subsequent resale and exploitation in different audiovisual media, primarily on free-to-air and pay television. (30) Thus, for the exploitation of the audiovisual rights of the League and Copa de S.M. el Rey for the 2012/2013 to 2014/2015 seasons, DTS and MEDIAPRO reached an agreement on August 16, 2012, for the reciprocal transfer of said broadcasting rights and their joint exploitation. (31) Among other aspects, this agreement establishes that DTS will propose to the LFP the schedules for the First Division matches and MEDIAPRO will propose to the LFP the schedules for the Second Division A matches. 6. In its Report and Proposal to the Council, the DI analyzes the information provided by the complainant and makes an assessment regarding the existence of indications of infringement of the LDC, which is summarized as follows: A) Article 1. In relation to possible indications of a potential infringement of Article 1 of the LDC, the DI first focuses on the marketing system of the rights of the League and Copa de S.M. el Rey, which according to the complainant "does not conform to criteria of transparency, objectivity, and non-discrimination, creating an unbalanced model in which the top two teams (Real Madrid and FC Barcelona) receive more than half of the total revenue from the sale of their audiovisual rights," and states the following: a) The complainant did not specify to whom the alleged discriminatory marketing model would be attributable, nor which actions would be sanctionable. b) The system of individualized sale of the audiovisual rights of the League and Copa de fútbol, which is the result of an agreement among the various clubs that make up the LFP, "is not per se a restrictive agreement of competition by its object or effect, to the extent that with this system the football clubs have the freedom to market or exploit their audiovisual rights as best suits them," and that "the revenues obtained by the various football clubs are primarily the result of the free play of supply and demand in the market for acquiring these audiovisual rights, which takes into account, among other factors, the different capacity of the football clubs to generate television audiences or attract pay television subscribers." c) Therefore, the DI concludes that the differences in the amounts received by the football clubs from the sale of their audiovisual rights can be explained by the different attractiveness of the same, without there being indications in the complaint presented that these differences may arise from a concerted action by the LFP, DTS, or MEDIAPRO. Regarding the establishment of match schedules for the First Division League for the 2012/2013 season, which the complainant considers have been decided by the LFP in collusion with MEDIAPRO and DTS, with the intent to harm the smaller clubs, reducing ticket sales revenue at football grounds and making them more dependent on television income, the DI insists that the complainant has also not provided any factual element that could substantiate the existence of an agreement among the defendants that could have as its object or effect to restrict competition in relation to the setting of schedules. Moreover, the DI understands that from the data provided by the complaint, the dates and times of the broadcast of the football matches of the League and Copa de S.M. el Rey are matters previously agreed upon among the football clubs, the LFP, and the audiovisual operators, the latter as a result of the acquisition of broadcasting rights from the various football clubs. And the DI considers that there are objective justifications for MEDIAPRO and DTS to be the ones who predominantly, even decisively, set the match schedules to maximize, through broadcasting on television at the most advantageous times and without overlaps, the amounts paid to the football clubs for the acquired audiovisual rights. And the DI finds all the economic rationale in that the matches with the highest audience, usually those in which the most attractive clubs for consumers participate.</w:t>
      </w:r>
    </w:p>
    <w:p>
      <w:r>
        <w:rPr>
          <w:b/>
        </w:rPr>
        <w:t>[Pages 7–9]</w:t>
      </w:r>
    </w:p>
    <w:p>
      <w:r>
        <w:t>finals, FC Barcelona and Real Madrid, are scheduled at prominent dates and times. Finally, the DI states that “the LDC is indifferent to the protection of the particular interests of the smaller football clubs” and understands that it does not correspond to “the CNC or the competition regulations to correct the competitive imbalances generated by the different appeal of football clubs to attract audiences and subscribers.” In conclusion, the DI does not find indications in the reported behaviors that the LFP, MEDIAPRO, or DTS violate Article 1 LDC.</w:t>
      </w:r>
    </w:p>
    <w:p>
      <w:r>
        <w:t>B) Article 2. Regarding the possible infringement of Article 2 of the LDC, the DI deduces from the two writings of the complainant that he believes there may be an abuse in the market for the exploitation of the broadcasting rights of the League and Cup, when imposing on the LFP the schedules that best suit FC Barcelona and Real Madrid. And that MEDIAPRO and DTS would be responsible for such abuse, following the signing of the agreement between the latter and MEDIAPRO on August 16, 2012. However, in the opinion of the DI, it is the clubs themselves who have accepted that the operators holding the rights propose the match schedules to the LFP. And in any case, it states “that to the extent that the profitability of the acquired rights directly depends on the audiences or the ability to attract subscribers that the football matches generate, there is an objective justification for audiovisual operators to propose to the LFP the League schedules that place the most appealing football clubs in the most attractive time slots, or that avoid overlap between matches.” Therefore, the DI does not consider it necessary to rule on whether DTS or MEDIAPRO hold a dominant position in any of the possible relevant markets, to the extent, it says, that there are no indications that the reported behaviors are abusive.</w:t>
      </w:r>
    </w:p>
    <w:p>
      <w:r>
        <w:t>7. On November 13, 2012, in accordance with the provisions of Article 49.3 of Law 15/2007, of July 3, on the Defense of Competition, the DI submitted to the Council a proposal not to initiate the sanctioning procedure, as well as the filing of the proceedings followed as a result of the complaints filed by the Asociación por Nuestro Betis for not finding indications of infringement of the aforementioned Law in the complaint.</w:t>
      </w:r>
    </w:p>
    <w:p>
      <w:r>
        <w:t>8. The Council of the CNC deliberated and issued this Resolution in its session on December 27, 2012.</w:t>
      </w:r>
    </w:p>
    <w:p>
      <w:r>
        <w:t>LEGAL GROUNDS</w:t>
      </w:r>
    </w:p>
    <w:p>
      <w:r>
        <w:t>FIRST.- Legal basis and object. Article 49.3 of Law 15/2007, of July 3, on the Defense of Competition provides that, “The Council of the National Commission of Competition, at the proposal of the Directorate of Investigation, may agree not to initiate the procedures derived from the alleged commission of the behaviors prohibited by Articles 1, 2, and 3 of this Law and the filing of the proceedings when it considers that there are no indications of infringement of the Law.”</w:t>
      </w:r>
    </w:p>
    <w:p>
      <w:r>
        <w:t>On the other hand, Article 27.1 of Royal Decree 261/2008, of February 22, which approves the Regulation on the Defense of Competition, stipulates that, “In order for the Council of the National Commission of Competition to agree not to initiate a procedure and to file the proceedings in the terms established in Articles 44 and 49.3 of Law 15/2007, of July 3, the Directorate of Investigation shall forward the received complaint, the prior proceedings carried out, if any, and a proposal for filing.”</w:t>
      </w:r>
    </w:p>
    <w:p>
      <w:r>
        <w:t>In this file, the DI, based on the cited provisions, proposes to the Council the non-initiation of the sanctioning procedure, as well as the filing of the proceedings followed as a result of the complaints filed by the Asociación por Nuestro Betis, for not finding indications of infringement of the aforementioned Law in the complaint.</w:t>
      </w:r>
    </w:p>
    <w:p>
      <w:r>
        <w:t>Therefore, taking into account the cited regulations, the object of this Resolution is to determine whether, in light of the information available from the reserved information phase, the proposal submitted to this Council is in accordance with the Law due to the absence of indications of infringement in the reported and analyzed conduct by the instructing body.</w:t>
      </w:r>
    </w:p>
    <w:p>
      <w:r>
        <w:t>SECOND.- Assessment. The complaint submitted and subsequently expanded by the Asociación por Nuestro Betis does not specify the possible facts or infringing actions of the LDC nor the alleged authors of such infringements, but rather describes the results, which it considers perverse, that the system of commercialization of audiovisual rights has for football clubs other than the two main ones, and concludes that they must be produced by behaviors contrary to the LDC.</w:t>
      </w:r>
    </w:p>
    <w:p>
      <w:r>
        <w:t>In the opinion of the Council, the fact that the current system of commercialization of audiovisual rights in football has different results for different football clubs, and that it favors or harms some more than others, is not in itself a reason for intervention by the competition authorities if the basic prerequisites for such intervention are not met, namely, that there are indications of either a collusive agreement, an abuse of a dominant position, or, ultimately, a possible infringement of unfair competition affecting the general interest.</w:t>
      </w:r>
    </w:p>
    <w:p>
      <w:r>
        <w:t>According to the report submitted by the DI to the Council, the reported behaviors do not show indications of an agreement between the parties contrary to the LDC, nor are there indications of the existence of a possible exclusionary abuse or that the reported behaviors lead to an abusive exploitation of consumers. Consequently, the Council agrees with the proposal of the DI and does not see the need to continue the processing of the file, so the filing of the proceedings is appropriate.</w:t>
      </w:r>
    </w:p>
    <w:p>
      <w:r>
        <w:t>8. In view of the cited provisions and others of general application, the Council of the National Commission of Competition in the composition stated at the beginning,</w:t>
      </w:r>
    </w:p>
    <w:p>
      <w:r>
        <w:t>RESOLVES</w:t>
      </w:r>
    </w:p>
    <w:p>
      <w:r>
        <w:t>SOLE.- In accordance with Article 49.3 of Law 15/2007, of July 3, on the Defense of Competition, not to initiate a sanctioning procedure and to file the reserved proceedings followed under number S/0438/12, LIGA FUTBOL PROFESIONAL, considering that there are no indications of infringement of Articles 2 and 3 of the same Law.</w:t>
      </w:r>
    </w:p>
    <w:p>
      <w:r>
        <w:t>This Resolution shall be communicated to the Directorate of Investigation and notified to the complainant and the complained parties, informing them that it concludes the administrative route and that they may file a contentious-administrative appeal against it before the Audiencia Nacional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