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https://www.cnmc.es/expedientes/s045212</w:t>
      </w:r>
    </w:p>
    <w:p>
      <w:r>
        <w:t>Pages translated : 9</w:t>
      </w:r>
    </w:p>
    <w:p/>
    <w:p>
      <w:r>
        <w:rPr>
          <w:b/>
        </w:rPr>
        <w:t>[Pages 1–3]</w:t>
      </w:r>
    </w:p>
    <w:p>
      <w:r>
        <w:t>RESOLUTION (File S/0452/12 ADECOA/PEPSICO FOODS A.I.E.)</w:t>
        <w:br/>
        <w:t>President</w:t>
        <w:br/>
        <w:t>Mr. José María Marín Quemada</w:t>
        <w:br/>
        <w:t>Counselors</w:t>
        <w:br/>
        <w:t>Ms. María Ortiz Aguilar</w:t>
        <w:br/>
        <w:t>Mr. Fernando Torremocha y García-Sáenz</w:t>
        <w:br/>
        <w:t>Mr. Benigno Valdés Díaz</w:t>
        <w:br/>
        <w:t>Ms. Idoia Zenarrutzabeitia Beldarrain</w:t>
        <w:br/>
        <w:t>Secretary</w:t>
        <w:br/>
        <w:t>Mr. Tomás Suárez-Inclán González</w:t>
        <w:br/>
        <w:t>In Madrid, on January 30, 2014.</w:t>
        <w:br/>
        <w:t>THE COMPETITION CHAMBER of the National Commission of Markets and Competition, with the composition stated above, has issued the following Administrative Resolution in the Sanctioning File S/0452/12 ADECOA/PEPSICO FOODS A.I.E., instructed by the Directorate of Investigation of the National Competition Commission, now defunct, “for alleged restrictive practices of competition, consisting of the direct or indirect fixing of prices or other commercial or service conditions and the abuse of a dominant position in the national market for salty snacks, through the printing in factory on the packaging of these products of the value of the recommended retail price, which would constitute the commission of a series of anticompetitive behaviors under Articles 1 and 2 of Law 15/2007, of July 3, on the Defense of Competition.”</w:t>
        <w:br/>
        <w:t>The rapporteurs were Counselors Mr. Fernando Torremocha y García-Sáenz and Mr. Benigno Valdés Díaz.</w:t>
        <w:br/>
        <w:t>BACKGROUND</w:t>
        <w:br/>
        <w:t>FIRST.- On November 6, 2012, a complaint was received at the now-defunct Directorate of Investigation of the National Competition Commission from the Association for the Defense of Competition in Andalusia (ADECOA) against PEPSICO FOODS A.I.E. for alleged restrictive practices of competition, consisting of the direct or indirect fixing of prices or other commercial or service conditions and the abuse of a dominant position in the national market for salty snacks, through the printing in factory on the packaging of these products of the value of the recommended retail price (Pages 1 to 27).</w:t>
      </w:r>
    </w:p>
    <w:p>
      <w:r>
        <w:t>According to the complainant, the facts would constitute the commission of a series of anticompetitive behaviors falling under Articles 1 and 2 of Law 15/2007.</w:t>
        <w:br/>
        <w:t>SECOND.- The Directorate of Investigation, now defunct, on January 10, 2013, requested information from PEPSICO regarding its market share value in the Spanish salty snacks market over the last three years, the printing of the recommended retail price on its products, and the date from which this practice began (Pages 28 to 31). The response was received on January 31 (Pages 38 to 44).</w:t>
        <w:br/>
        <w:t>The now-defunct Directorate of Investigation, on February 21, 2013, requested new information from PEPSICO regarding the market share value of its competitors in the Spanish salty snacks market over the last three years and regarding its distribution network, its commercial conditions with retail distribution, both in self-service format and traditional format, asking it to provide, if applicable, sample contracts, price lists, and discounts applied for sales (Pages 56 to 60). The response was received on March 12 (Pages 109 and 110).</w:t>
        <w:br/>
        <w:t>PROVEN FACTS</w:t>
        <w:br/>
        <w:t>FIRST.- The parties in this Sanctioning File are</w:t>
        <w:br/>
        <w:t>1st the Association for the Defense of Competition in Andalusia (ADECOA), registered in the Register of Non-Profit Associations of the Junta de Andalucía, constituted universally and acting, according to its Statutes, throughout Spain and the European Union, although its activities are mainly carried out in Andalusia.</w:t>
        <w:br/>
        <w:t>Among its purposes is to promote and defend the constitutional principles of competition defense, business freedom, and user protection, and to promote fair and effective competition, including reporting to the competent authorities actions and practices that harm the market and consumers.</w:t>
        <w:br/>
        <w:t>2nd the accused Pepsico Foods A.I.E. (PEPSICO), dependent on the multinational Pepsico Inc., which is present in the Iberian Peninsula in two lines of business: food PepsiCo Foods Iberia and beverage PepsiCo Bebidas Iberia.</w:t>
        <w:br/>
        <w:t>PEPSICO operates in Spain and Portugal, producing and marketing a variety of food products, in four centers (Burgos, Murcia, Lobón, and Carregado) where it produces and markets potato chips, potato snacks and cereals, gazpachos, juices, nuts, and bakery products, under such representative brands as Lay´s, Matutano, Cheetos, Ruffles, Doritos, Sunbites, Chipicao, Alvalle, and Tropicana Pure Premium.</w:t>
        <w:br/>
        <w:t>The beverage business line has four production centers (Sevilla, Echavarri, Tafalla, and Mallorca) where it produces and markets a wide range of carbonated soft drinks, non-carbonated soft drinks, isotonic drinks, energy drinks, and juices. Among the most representative brands in the carbonated soft drink market are Pepsi, Kas, Seven Up, Bitter Kas, and On Limit; while in the non-carbonated drinks market, Radical Fruit Company, Tropicana, Gatorade, Lipton Ice Tea, Kasfruit, Aquafina, and Mosto Greip stand out.</w:t>
        <w:br/>
        <w:t>SECOND.- The complainant Association specifies in its writing that the complaint specifically affects the snack products, appetizers, potato chips, and nuts that PEPSICO manufactures, markets, and sells, both to large retailers and supermarkets, as well as to kiosks and other smaller establishments.</w:t>
        <w:br/>
        <w:t>According to the complainant Association, PEPSICO has been imposing its prices for almost a year, through the printing on the packaging of a recommended retail price, which would cause the retail prices to be the same in all sales establishments.</w:t>
        <w:br/>
        <w:t>This conduct would have, according to the complainant, three negative effects on the market:</w:t>
        <w:br/>
        <w:t>• On consumers, since regardless of where they choose to make their purchase, the purchase price would always be the same.</w:t>
        <w:br/>
        <w:t>• On kiosks and small businesses, which, given their small bargaining power, would see their profit margin be lower than that of large distributors.</w:t>
        <w:br/>
        <w:t>• On competition among manufacturers, since other brands in the sector would also have started marking recommended prices on the packaging of their products.</w:t>
        <w:br/>
        <w:t>THIRD.- The market, according to European precedents (IV/M232 Pepsico/General Mills; M5632 Pepsico/Pepsi Americas; M5633 Pepsico/The Pepsico Bottling Group), the European Commission, when analyzing economic concentration operations dedicated to the manufacture and marketing of beverages and snacks, has differentiated, while leaving the exact definition of the market open, from the demand perspective, the market for salty snacks or &lt;savoury snacks&gt; (salty potato appetizers, extruded products, corn derivatives, nuts, and salty biscuits) separating them from the market for biscuits.</w:t>
      </w:r>
    </w:p>
    <w:p>
      <w:r>
        <w:rPr>
          <w:b/>
        </w:rPr>
        <w:t>[Pages 4–6]</w:t>
      </w:r>
    </w:p>
    <w:p>
      <w:r>
        <w:t>sweets, candies, and chocolates, considering them as substitute products with similar prices, which are usually purchased in the same place and consumed in similar locations. According to these same precedents, the geographical market for salty snacks would be of national dimension, although the exact definition is left open.</w:t>
      </w:r>
    </w:p>
    <w:p>
      <w:r>
        <w:t>In Spain, they could be divided into three types of products: potato chips, popcorn, and snacks proper; all based on population preferences. In this regard, total sales in Spain would be around 60 million euros in the year 2011, with the preferred product being potato chips, followed by snacks and popcorn. The segmentation of snack sales would be defined in the following table.</w:t>
      </w:r>
    </w:p>
    <w:p>
      <w:r>
        <w:t>TABLE 1: SEGMENTATION OF SNACK SALES IN SPAIN 2010 AND 2011</w:t>
        <w:br/>
        <w:t>VOLUME (Tn) VALUE (M€)</w:t>
        <w:br/>
        <w:t>2010 2011 2010 2011</w:t>
        <w:br/>
        <w:t>Snacks […] […] [&gt;60] [&gt;60]</w:t>
        <w:br/>
        <w:t>Cones (0-10)% (0-10)% (0-10)% (0-10)%</w:t>
        <w:br/>
        <w:t>Fried/Strips (0-10)% (0-10)% (0-10)% (0-10)%</w:t>
        <w:br/>
        <w:t>Triangles (10-20)% (10-20)% (10-20)% (10-20)%</w:t>
        <w:br/>
        <w:t>Pork cracklings (0-10)% (0-10)% (0-10)% (0-10)%</w:t>
        <w:br/>
        <w:t>Torrezno cracklings (0-10)% (0-10)% (0-10)% (0-10)%</w:t>
        <w:br/>
        <w:t>Other cracklings (0-10)% (0-10)% (0-10)% (0-10)%</w:t>
        <w:br/>
        <w:t>Gusanitos (10-20)% (10-20)% (10-20)% (10-20)%</w:t>
        <w:br/>
        <w:t>Balls (0-10)% (0-10)% (0-10)% (0-10)%</w:t>
        <w:br/>
        <w:t>Snack popcorn (0-10)% (0-10)% (0-10)% (0-10)%</w:t>
        <w:br/>
        <w:t>Straws (0-10)% (0-10)% (0-10)% (0-10)%</w:t>
        <w:br/>
        <w:t>Rings (0-10)% (0-10)% (0-10)% (0-10)%</w:t>
        <w:br/>
        <w:t>Wheels/stars (0-10)% (0-10)% (0-10)% (0-10)%</w:t>
        <w:br/>
        <w:t>Extruded with (0-10)% (0-10)% (0-10)% (0-10)%</w:t>
        <w:br/>
        <w:t>shape</w:t>
        <w:br/>
        <w:t>Snack cocktail (10-20)% (10-20)% (10-20)% (10-20)%</w:t>
        <w:br/>
        <w:t>Others (0-10)% (0-10)% (0-10)% (0-10)%</w:t>
        <w:br/>
        <w:t>Potato chips […] […] [&gt;60] [&gt;60]</w:t>
        <w:br/>
        <w:t>Plain chips (30-40)% (30-40)% (30-40)% (30-40)%</w:t>
        <w:br/>
        <w:t>Artisan (30-40%) (20-30)% (20-30)% (20-30)%</w:t>
        <w:br/>
        <w:t>Wavy (10-20)% (20-30)% (10-20)% (10-20)%</w:t>
        <w:br/>
        <w:t>Tube (0-10)% (0-10)% (0-10)% (0-10)%</w:t>
        <w:br/>
        <w:t>Light (0-10)% (0-10)% (0-10)% (0-10)%</w:t>
        <w:br/>
        <w:t>Straw (0-10)% (0-10)% (0-10)% (0-10)%</w:t>
        <w:br/>
        <w:t>Popcorn […] […] [&lt;60] [&lt;60]</w:t>
        <w:br/>
        <w:t>Source: ALIMARKET (confidential folio 97)</w:t>
      </w:r>
    </w:p>
    <w:p>
      <w:r>
        <w:t>Therefore, it is a market with a large presence of operators of very different sizes and marked by the current increases in the price of raw materials. Within the snack market, in the year 2010, the savoury snacks accounted for 50%-60% of the sales recorded in Spain, according to the Alimarket report.</w:t>
      </w:r>
    </w:p>
    <w:p>
      <w:r>
        <w:t>PEPSICO, gathering Nielsen data, specifies the shares in the national market of salty snacks in value over the last three years:</w:t>
      </w:r>
    </w:p>
    <w:p>
      <w:r>
        <w:t>TABLE 2: MARKET SHARE IN VALUE OF SALTY SNACKS IN SPAIN</w:t>
        <w:br/>
        <w:t>2010 2011 2012</w:t>
        <w:br/>
        <w:t>Private Label1 (30-40)% (30-40)% (40-50)%</w:t>
        <w:br/>
        <w:t>PEPSICO (20-30)% (20-30)% (20-30)%</w:t>
        <w:br/>
        <w:t>GREFUSA (0-10)% (0-10)% (0-10)%</w:t>
        <w:br/>
        <w:t>F. RAVICH (0-10)% (0-10)% (0-10)%</w:t>
        <w:br/>
        <w:t>RISI (0-10)% (0-10)% (0-10)%</w:t>
        <w:br/>
        <w:t>F.BLANCO (0-10)% (0-10)% (0-10)%</w:t>
        <w:br/>
        <w:t>PROCTER (0-10)% (0-10)% (0-10)%</w:t>
        <w:br/>
        <w:t>ANITIN (0-10)% (0-10)% (0-10)%</w:t>
        <w:br/>
        <w:t>BICENTURY (0-10)% (0-10)% (0-10)%</w:t>
        <w:br/>
        <w:t>KRAFT (0-10)% (0-10)% (0-10)%</w:t>
        <w:br/>
        <w:t>TOSFRIT (0-10)% (0-10)% (0-10)%</w:t>
        <w:br/>
        <w:t>BORGES (0-10)% (0-10)% (0-10)%</w:t>
        <w:br/>
        <w:t>Others (0-10)% (0-10)% (0-10)%</w:t>
        <w:br/>
        <w:t>Others (10-20)% (10-20)% (10-20)%</w:t>
        <w:br/>
        <w:t>BRANDS</w:t>
        <w:br/>
        <w:t>MANUFACTURER</w:t>
        <w:br/>
        <w:t>TOTAL 100% 100% 100%</w:t>
        <w:br/>
        <w:t>Source: PEPSICO</w:t>
      </w:r>
    </w:p>
    <w:p>
      <w:r>
        <w:t>The distribution of sales by type of establishment in the national market of salty snacks in the first quarter of 2011 was as follows:</w:t>
        <w:br/>
        <w:t>1 Distributor brand or private label.</w:t>
      </w:r>
    </w:p>
    <w:p>
      <w:r>
        <w:t>TABLE 3: DISTRIBUTION OF SNACK SALES IN SPAIN BY TYPE OF ESTABLISHMENT - FIRST QUARTER OF 2011</w:t>
        <w:br/>
        <w:t>Supermarkets and self-service (50-60%)</w:t>
        <w:br/>
        <w:t>Hypermarkets (20-30%)</w:t>
        <w:br/>
        <w:t>Discount (10-20%)</w:t>
        <w:br/>
        <w:t>Specialists (0-10%)</w:t>
        <w:br/>
        <w:t>Food store (0-10%)</w:t>
        <w:br/>
        <w:t>Others (0-10%)</w:t>
        <w:br/>
        <w:t>Source: ALIMARKET (confidential folio 97)</w:t>
      </w:r>
    </w:p>
    <w:p>
      <w:r>
        <w:t>FOURTH.- The Directorate of Investigation, now defunct, proceeded to assess the facts that form the complaint filed by the Association for the Defense of Competition in Andalusia (ADECO): (1) imposition of resale prices of its salty snack products, through the use of printing the "recommended retail price" on the packaging; and (2) whether the imposition was being carried out from a dominant position in this market. And concluded as follows:</w:t>
      </w:r>
    </w:p>
    <w:p>
      <w:r>
        <w:t>1st Conduct classifiable under Article 1.1.a) of Law 15/2007, of July 3, on the Defense of Competition.</w:t>
      </w:r>
    </w:p>
    <w:p>
      <w:r>
        <w:t>The reported facts would be occurring between companies that operate at different levels of the production or distribution chain; that maintain vertical relationships, so such facts are subject to the provisions of Regulation 330/2010 of the European Commission regarding the application of Article 101.3 of the Treaty on the Functioning of the European Union to certain categories of vertical agreements and concerted practices (Block Exemption Regulation).</w:t>
      </w:r>
    </w:p>
    <w:p>
      <w:r>
        <w:t>The complainant does not provide any evidence of the alleged unlawful act and only certifies the existence of recommended prices.</w:t>
      </w:r>
    </w:p>
    <w:p>
      <w:r>
        <w:t>In turn, PEPSICO states (a) it has been printing those recommended prices since at least the year 2005; (b) the non-existence of written contracts with its distributor-buyers; (c) that this aims to attract consumers of a certain profile and is part of a lawful commercial strategy, rather, it increases competitiveness in traditional trade.</w:t>
      </w:r>
    </w:p>
    <w:p>
      <w:r>
        <w:t>The Directorate of Investigation, now defunct, establishes that mere price recommendation does not constitute an unlawful act per se as derived from the European Commission Communication of May 10, 2010 Guidelines on Vertical Restrictions, which in its paragraph 48 states that “however, the use of a specific accompanying measure or the distribution by the supplier to the buyer of a list of recommended prices or maximum prices is not considered to in itself lead to the maintenance of resale prices.”</w:t>
      </w:r>
    </w:p>
    <w:p>
      <w:r>
        <w:rPr>
          <w:b/>
        </w:rPr>
        <w:t>[Pages 7–9]</w:t>
      </w:r>
    </w:p>
    <w:p>
      <w:r>
        <w:t>"The practice of recommending a resale price to a reseller or requiring them to adhere to a maximum resale price is covered by the Block Exemption Regulation when the market share of each party to the agreement does not exceed the 30% threshold, provided that it does not constitute a minimum or fixed selling price, as a result of pressure or incentives offered by either party" ex Paragraph 226.</w:t>
      </w:r>
    </w:p>
    <w:p>
      <w:r>
        <w:t>In Paragraph 228, it emphasizes that "an important factor in determining whether recommended prices may have anticompetitive effects is the position of the supplier in the market." It has been proven in the File: first, that PEPSICO's market share in the relevant market is below 30%; and second, that PEPSICO does not have customers whose market share in the purchase of salty snacks exceeds 30%.</w:t>
      </w:r>
    </w:p>
    <w:p>
      <w:r>
        <w:t>Consequently, it is appropriate to conclude by stating: (1) the analyzed recommendation of a resale price cannot be considered equivalent to the fixing of a resale price; (2) there has been no evidence of pressure on resellers to establish those recommended prices as final or minimum; and (3) obviously, no indications of price fixing have been observed that would aim to prevent, restrict, or distort competition, nor that would have such an effect violating the provisions of Article 1.1.a) of Law 15/2007.</w:t>
      </w:r>
    </w:p>
    <w:p>
      <w:r>
        <w:t>2nd Conduct classifiable under Article 2 of Law 15/2007. For there to be an abuse of a dominant position, the existence of a dominant position in the market defined as relevant is required beforehand.</w:t>
      </w:r>
    </w:p>
    <w:p>
      <w:r>
        <w:t>Jurisprudential doctrine (ECJ Judgment of February 14, 1978, case 27/76 United Brands Company and United Brands Continental BV v. Commission) defines the notion of a dominant position as "the economic strength enjoyed by an operator that enables it to hinder the maintenance of effective competition in the relevant market, providing it with the power to behave with sufficient independence from its competitors, customers, and ultimately, consumers."</w:t>
      </w:r>
    </w:p>
    <w:p>
      <w:r>
        <w:t>The now-defunct Competition Defense Tribunal and the Council of the National Competition Commission have also ruled on this matter (TDC Resolution of September 30, 1999, File R 362/99 Bacardi). Finally, and without exhausting the topic, the Commission's Communication on Guidelines on the Commission's priorities in applying Article 82 of the EC Treaty to the abusive exclusionary conduct of dominant companies (2009/C 45/02) includes this jurisprudential definition in its paragraph 10. (ECJ Judgment of February 13, 1979, case 85/76 Hoffmann-La Roche v. Commission) as a high market share is not sufficient to conclude that a company is dominant. Therefore, the Commission, in the aforementioned Guidelines on Article 82 of the EC Treaty "on the abusive exclusionary conduct of dominant companies," states that "companies with shares below 40% in the reference market are, in principle, not capable of exercising market power."</w:t>
      </w:r>
    </w:p>
    <w:p>
      <w:r>
        <w:t>The now-defunct Competition Defense Tribunal (Resolution of December 9, 2004, File R 627/04 Análisis Químicos Murcia 2) has indicated that "under the provision of Article 217.2 of Law 1/2000, of January 7, on Civil Procedure, it has placed the burden of proof regarding the market and the share in it of the accused on the complainant, declaring that &lt;it becomes evident that the burden of proof lies with the complainants, not only to provide data that allows for the delimitation of the relevant market, as necessary and essential to subsequently define the dominant position; but also regarding the market shares of the accused in the relevant market, in order to assess whether the alleged abuse has actually occurred&gt;."</w:t>
      </w:r>
    </w:p>
    <w:p>
      <w:r>
        <w:t>Thus, in the absence of a dominant position, it becomes impossible to qualify the abuse, so it must be concluded that there is a violation of Article 2 of Law 15/2007.</w:t>
      </w:r>
    </w:p>
    <w:p>
      <w:r>
        <w:t>LEGAL GROUNDS</w:t>
      </w:r>
    </w:p>
    <w:p>
      <w:r>
        <w:t>SOLE.- Article 49 provides in its third section that "the Council of the National Competition Commission, now defunct; and therefore the Competition Chamber of the National Markets and Competition Commission, at the proposal of the Directorate of Investigation, now also defunct, may agree not to initiate proceedings arising from the alleged commission of the conduct prohibited by Articles 1, 2, and 3 of this Law and the filing of the proceedings when it considers that there are no indications of a violation of the Law."</w:t>
      </w:r>
    </w:p>
    <w:p>
      <w:r>
        <w:t>In light of the investigation, the provisions of the aforementioned article apply, and the filing of the proceedings is ordered due to the absence of infringing conduct under Articles 1 and 2 of Law 15/2007, of July 3, on Competition Defense.</w:t>
      </w:r>
    </w:p>
    <w:p>
      <w:r>
        <w:t>Having reviewed the cited provisions, jurisprudential doctrine, and other generally applicable laws, this COMPETITION CHAMBER of the National Markets and Competition Commission, in the Plenary Session of January 30, 2014,</w:t>
      </w:r>
    </w:p>
    <w:p>
      <w:r>
        <w:t>HAS AGREED</w:t>
      </w:r>
    </w:p>
    <w:p>
      <w:r>
        <w:t>SOLE.- To order the filing of the proceedings that comprise the Sanctioning File S/0452/12 ADECOA/PEPSICO FOODS A.I.E., in accordance with the provisions of Article 49.3 of Law 15/2007, of July 3, on Competition Defense, as the investigated conduct does not infringe the provisions of Articles 1 and 2 of said Law, as reported by the Association for the Defense of Competition in Andalusia (ADECOA).</w:t>
      </w:r>
    </w:p>
    <w:p>
      <w:r>
        <w:t>Communicate this Resolution to the Competition Directorate of this National Markets and Competition Commission, and notify it reliably to the interested parties, informing them that there is no appeal against it in the prior administrative route, being able to do so within TWO MONTHS counted from the day following the notification of this Resolution,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