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https://www.cnmc.es/expedientes/s045312</w:t>
      </w:r>
    </w:p>
    <w:p>
      <w:r>
        <w:t>Pages translated : 86</w:t>
      </w:r>
    </w:p>
    <w:p/>
    <w:p>
      <w:r>
        <w:rPr>
          <w:b/>
        </w:rPr>
        <w:t>[Pages 1–3]</w:t>
      </w:r>
    </w:p>
    <w:p>
      <w:r>
        <w:t>RESOLUTION Expte. S/0453/12, RAILWAY BEARINGS</w:t>
        <w:br/>
        <w:t>COMPETITION CHAMBER</w:t>
        <w:br/>
        <w:t>PRESIDENT</w:t>
        <w:br/>
        <w:t>Mr. José María Marín Quemada</w:t>
        <w:br/>
        <w:t>COUNCILORS</w:t>
        <w:br/>
        <w:t>Ms. María Ortiz Aguilar</w:t>
        <w:br/>
        <w:t>Mr. Fernando Torremocha y García-Sáenz</w:t>
        <w:br/>
        <w:t>Mr. Benigno Valdés Díaz</w:t>
        <w:br/>
        <w:t>Ms. Idoia Zenarrutzabeitia Beldarraín</w:t>
        <w:br/>
        <w:t>SECRETARY</w:t>
        <w:br/>
        <w:t>Mr. Tomás Suárez-Inclán González</w:t>
        <w:br/>
        <w:t>In Madrid, on December 4, 2014</w:t>
        <w:br/>
        <w:t>The Competition Chamber of the National Commission of Markets and Competition, with the composition expressed in the margin, has issued the following resolution in the sanctioning file S/0453/12, Railway Bearings, initiated by the Directorate of Investigation, dated May 16, 2013, against SCHAEFFLER IBERIA, S.L., SKF ESPAÑOLA S.A., and NSK SPAIN, S.A., having been expanded on December 11, 2013 against NSK Europe Ltd., SCHAEFFLER AG, and AB SKF, for anti-competitive practices prohibited under Article 1 of Law 16/1989, of July 17, on the Defense of Competition (Law 16/1989), under Article 1 of Law 15/2007, of July 3, on the Defense of Competition (LDC), and under Article 101 of the Treaty on the Functioning of the European Union (TFEU).</w:t>
      </w:r>
    </w:p>
    <w:p>
      <w:r>
        <w:t>FACTUAL BACKGROUND</w:t>
        <w:br/>
        <w:t>1. In accordance with Article 65.1 of the LDC and Article 48 of the Competition Defense Regulation (RDC, approved by Royal Decree 261/2008, of February 22), NSK Ltd. submitted a shortened request for exemption from the payment of the fine or, subsidiarily, for a reduction of the fine amount, for the benefit of the aforementioned company and all its subsidiaries, regarding certain practices in the sector of bearings for automobiles, industrial machinery, and other uses, including bearings for the aftermarket. The request was shortened because a leniency application had previously been submitted to the European Commission (which generated Case AT. 39922 - Bearings, resolved by the European Commission Decision of March 19, 2014, 2014/C 238/09).</w:t>
      </w:r>
    </w:p>
    <w:p>
      <w:r>
        <w:t>2. On November 13, 2012, NSK Ltd. submitted a supplementary request regarding certain practices related to industrial bearings, which could constitute anti-competitive practices prohibited by Article 1 of the LDC and by Article 101 of the TFEU, consisting, in general, of agreements aimed at market sharing and price fixing in the industrial bearings market, particularly bearings for railway vehicles throughout the national territory. After the European Commission communicated that it did not consider the Competition Authority particularly well positioned to address such practices in the railway bearings market in Spanish territory and informed NSK Ltd. on February 1, 2013, that the community sanctioning file was initiated concerning the automotive bearings market, NSK Ltd. completed the shortened leniency application submitted to the Spanish competition authority regarding the practices carried out in the industrial bearings market, particularly bearings for railway vehicles in Spanish territory, on February 18, 2013. This application was subsequently completed on seven different dates between February and October 2013 (folios 113 to 253, 256 to 261, 2328 to 2363, and 2428 to 2458).</w:t>
      </w:r>
    </w:p>
    <w:p>
      <w:r>
        <w:t>3. The Directorate of Investigation (DI) of the defunct CNC, in accordance with the provisions of Article 49.2 of the LDC, conducted a reserved inquiry to determine the existence of circumstances justifying the initiation of a sanctioning file for anti-competitive behaviors.</w:t>
      </w:r>
    </w:p>
    <w:p>
      <w:r>
        <w:t>4. On April 23, 2013, the DI granted conditional exemption from the payment of the fine to NSK Ltd. and its subsidiaries under Article 65.1.a) of the LDC, for providing evidence that, in the opinion of the DI, allowed for the ordering of inspections related to the cartel described in the aforementioned request for exemption from the payment of the fine.</w:t>
      </w:r>
    </w:p>
    <w:p>
      <w:r>
        <w:t>5. In accordance with Article 40 of the LDC, on April 24 and 25, 2013, the CNC conducted simultaneous inspections at the premises of SCHAEFFLER IBERIA, S.L. (SCHAEFFLER), SKF ESPAÑOLA, S.A. (SKF), and KOYO IBERICA, S.L. (KOYO).</w:t>
      </w:r>
    </w:p>
    <w:p>
      <w:r>
        <w:t>6. On May 16, 2013, based on the information gathered during the reserved inquiry, the DI observed reasonable indications of the existence of behaviors prohibited by the LDC, and therefore, in accordance with Article 49.1 of the LDC, agreed to initiate the sanctioning file S/0453/12 Railway Bearings, against SCHAEFFLER IBERIA, S.L., SKF ESPAÑOLA, and NSK SPAIN, S.A. (NSK), for anti-competitive practices prohibited under Article 1 of Law 16/1989, under Article 1 of the LDC, and under Article 101 of the TFEU, consisting of an agreement for price fixing and market sharing in the Spanish market for industrial bearings for railway vehicles.</w:t>
      </w:r>
    </w:p>
    <w:p>
      <w:r>
        <w:t>7. On May 17, 2013, it was agreed to incorporate into the file the documentation in paper format collected during the inspection of SKF, granting a period of ten days for it to request confidentiality for those documents it deemed appropriate, providing the censored versions of the same, with the DI agreeing on June 17, 2013, to accept the confidentiality requested by the aforementioned company on June 4, 2013. It was also agreed to return the documentation in paper format collected during the inspection of KOYO, as it was not considered relevant according to the object of the investigation of the reference file.</w:t>
      </w:r>
    </w:p>
    <w:p>
      <w:r>
        <w:t>8. On June 13, 2013, the DI requested SKF, NSK, and SCHAEFFLER information regarding their corporate purpose, ownership and control structure, identification of the main executive positions, corporate purpose, data on the market for industrial bearings for railway vehicles, a list of authorized distributors by each company in the last ten years, as well as the tenders from RENFE OPERADORA (RENFE) to which they had submitted bids in the same ten-year period, indicating the submitted offer and awarded offer, if applicable. Likewise, the DI requested RENFE information regarding the contracting system for the supply of bearings for railway vehicles, the companies that requested to participate in the indicated tenders and to which RENFE invited to submit offers, requiring it to provide the submitted offers and indicate the company or companies that were awarded and with which offers, as well as the dates of the tenders prior to 2004.</w:t>
      </w:r>
    </w:p>
    <w:p>
      <w:r>
        <w:t>9. On June 25, 2013, and after an extension of the deadline, NSK's response to the information request was received; on July 1, the response from SKF and RENFE-Operadora, and on July 3, the response from SCHAEFFLER.</w:t>
      </w:r>
    </w:p>
    <w:p>
      <w:r>
        <w:t>10. On July 4, 2013, a supplementary document to RENFE-Operadora's response to the information request made by the DI was received at the CNC.</w:t>
      </w:r>
    </w:p>
    <w:p>
      <w:r>
        <w:t>11. On July 8, 2013, it was agreed to incorporate into the reference file the documentation in electronic format collected during the inspections carried out at the premises of SCHAEFFLER and SKF, granting them a period of ten days to request, if applicable, the confidentiality of those documents they deemed appropriate, providing the corresponding censored versions of the same.</w:t>
      </w:r>
    </w:p>
    <w:p>
      <w:r>
        <w:t>12. On September 23, 2013, RENFE-Operadora was requested for the Particular Conditions Sheets that governed the tenders for the supply of bearings for railway vehicles corresponding to the calls published in the Official State Gazette of June 24, 2004, August 3, 2007, and August 5, 2011, with RENFE-Operadora responding on September 26, 2013.</w:t>
      </w:r>
    </w:p>
    <w:p>
      <w:r>
        <w:t>13. On October 11, 2013, the Competition Directorate (DC) of the CNMC requested information from NSK EUROPE, LTD. -parent company of NSK-, SCHAEFFLER AG -parent company of SCHAEFFLER- and AKTIEBOLAGET SKF (AB SKF) -parent company of the SKF Group-, regarding the ownership and control structure of these companies.</w:t>
      </w:r>
    </w:p>
    <w:p>
      <w:r>
        <w:t>14. On October 21, 2013, the DC requested SKF, NSK, and SCHAEFFLER information regarding the tender called by RENFE-Operadora in 2001. On October 29, 2013, the response from SCHAEFFLER to the information request was received.</w:t>
      </w:r>
    </w:p>
    <w:p>
      <w:r>
        <w:rPr>
          <w:b/>
        </w:rPr>
        <w:t>[Pages 4–6]</w:t>
      </w:r>
    </w:p>
    <w:p>
      <w:r>
        <w:t>15. On October 31, 2013, responses were received from NSK EUROPE and SKF to the information request made. On November 4, 2013, the response from NSK to the information request was received. On November 8, 2013, following an extension of the deadline, a response from SCHAEFFLER AG to the information request was received, with the DC requesting the company to provide a translation into Spanish, which was submitted on November 14, 2013. On November 11, 2013, a response was received from AB SKF to the information request.</w:t>
      </w:r>
    </w:p>
    <w:p>
      <w:r>
        <w:t>16. On December 11, 2013, in accordance with the provisions of Article 29 of the RDC, the DC agreed to extend the initiation agreement of the reference file to NSK Europe Ltd., SCHAEFFLER AG, and AB SKF, an agreement that was notified that same day to all entities involved in this sanctioning file.</w:t>
      </w:r>
    </w:p>
    <w:p>
      <w:r>
        <w:t>17. On December 12, 2013, the DC informed NSK that it was deemed necessary to safeguard the defense rights of the interested parties to lift the confidentiality of the leniency application submitted by that company, as well as the documentation attached to it, information that would be incorporated into the file on the date of issuance of the Statement of Facts. In accordance with the provisions of Article 42 of the LDC and Article 20 of the RDC, the company was granted a period of five days to individually and substantively request, if applicable, the confidential nature of those data and/or information it deemed appropriate.</w:t>
      </w:r>
    </w:p>
    <w:p>
      <w:r>
        <w:t>18. On December 12, 2013, RENFE-Operadora was requested for information regarding the bids submitted and the resulting award from the tender for the supply of bearings for railway vehicles in 2001, with RENFE-Operadora responding on December 18, 2013.</w:t>
      </w:r>
    </w:p>
    <w:p>
      <w:r>
        <w:t>19. On December 13, 2013, the companies involved were notified that following the extension of the initiation against the companies NSK Europe Ltd., parent of NSK Spain, S.A.; SCHAEFFLER AG, parent of SCHAEFFLER IBERIA, S.L.; and AKTIEBOLAGET SKF, parent of SKF ESPAÑOLA, S.A., the aforementioned companies could access the reference file at the CNMC's offices, where they would be provided with an electronic copy of all documents that comprise it, except for any information that had been declared confidential for their respective subsidiaries by the DC.</w:t>
      </w:r>
    </w:p>
    <w:p>
      <w:r>
        <w:t>20. On December 19, 2013, NSK's request for confidentiality regarding certain data contained in its leniency application was received at the CNMC. On January 17, 2014, the DC declared the confidentiality of the requested data.</w:t>
      </w:r>
    </w:p>
    <w:p>
      <w:r>
        <w:t>21. In accordance with Article 33.1 of the RDC, on February 7, 2014, a Statement of Facts (PCH) was formulated, which was notified to the interested parties. The parties submitted their allegations to the PCH, and two of them, SKF and SCHAEFFLER, requested the presentation of documentary evidence.</w:t>
      </w:r>
    </w:p>
    <w:p>
      <w:r>
        <w:t>22. On April 14, 2014, in accordance with the provisions of Article 50.4 of the LDC, the Proposal for Resolution (PR) of the DC was notified to the interested parties. The parties submitted their allegations to the PR, and SCHAEFFLER IBERIA, S.L., requested the presentation of documentary evidence before the Council of the CNMC and the holding of a hearing, while SCHAEFFLER AG requested the holding of a hearing before the Council.</w:t>
      </w:r>
    </w:p>
    <w:p>
      <w:r>
        <w:t>23. On May 29, 2014, in compliance with the provisions of Article 50.5 of the LDC, the file with the Proposal Report from the DC was submitted to the Council of the CNMC.</w:t>
      </w:r>
    </w:p>
    <w:p>
      <w:r>
        <w:t>24. On October 2, 2014, the Council of the CNMC agreed to incorporate the documentation provided by SCHAEFFLER into the file and denied the request for a hearing made by the latter and by SCHAEFFLER AG.</w:t>
      </w:r>
    </w:p>
    <w:p>
      <w:r>
        <w:t>25. On October 8, 2014, the Council issued an Agreement informing the parties that on October 2, 2014, the Proposal for Resolution of the file had been sent to the European Commission in the terms indicated in Article 11.4 of Regulation EC 1/2003, whereby, in compliance with Article 37.2.c) of Law 15/2007, the maximum deadline for resolving the file had been suspended until the European Commission responded to the information sent, or the period referred to in the aforementioned Article 11.4 of Regulation EC 1/2003 elapsed. After the 30-day period referred to in the last mentioned provision had elapsed, by Agreement of November 3, 2014, the Council resolved to lift the suspension of the maximum deadline for resolving the reference file, which was notified to the parties.</w:t>
      </w:r>
    </w:p>
    <w:p>
      <w:r>
        <w:t>26. The Council completed its deliberation and ruled on the present file in its meeting of December 4, 2014.</w:t>
      </w:r>
    </w:p>
    <w:p>
      <w:r>
        <w:t>27. The interested parties are: SCHAEFFLER IBERIA, S.L., SKF ESPAÑOLA S.A., NSK SPAIN, S.A., NSK Europe Ltd., SCHAEFFLER AG, and AB SKF.</w:t>
      </w:r>
    </w:p>
    <w:p>
      <w:r>
        <w:t>PROVEN FACTS</w:t>
      </w:r>
    </w:p>
    <w:p>
      <w:r>
        <w:t>1. THE PARTIES</w:t>
      </w:r>
    </w:p>
    <w:p>
      <w:r>
        <w:t>The parties involved in this file, as stated in the PCH of the DC, are as follows:</w:t>
      </w:r>
    </w:p>
    <w:p>
      <w:r>
        <w:t>1. NSK SPAIN, S.A.</w:t>
      </w:r>
    </w:p>
    <w:p>
      <w:r>
        <w:t>NSK Spain, S.A. is a 100% subsidiary of NSK Europe Ltd., based in Barcelona. The corporate purpose of NSK is the import, sale, and distribution of bearings, components for automobiles, and precision machinery. NSK sells in Spain and Portugal the entire range of bearings, linear products, and components for the automotive markets and industrial sectors manufactured by other companies in the group directly to original equipment manufacturers and also through its authorized distributors, offering technical assistance services to all its customers and distributors.</w:t>
      </w:r>
    </w:p>
    <w:p>
      <w:r>
        <w:t>NSK's presence in the market for the supply of industrial bearings for the railway sector is very limited, as NSK does not meet the necessary homologation requirements to supply bearings in the railway sector in Europe, which prevents it from participating in tenders from Spanish manufacturers such as CAF, Construcciones y Auxiliar de Ferrocarriles, S.A. or Talgo, limiting itself to participating in the supply to RENFE and subsequently to RENFE-Operadora.</w:t>
      </w:r>
    </w:p>
    <w:p>
      <w:r>
        <w:t>2. NSK EUROPE LTD</w:t>
      </w:r>
    </w:p>
    <w:p>
      <w:r>
        <w:t>NSK Europe Ltd. has held 100% of the shares of NSK since January 2001. NSK Europe Ltd., with its registered office in the United Kingdom, carries out administrative and sales functions regarding the European business of its Japanese parent company NSK Ltd. NSK Europe Ltd. manufactures, through its subsidiaries, bearings for industrial and automotive machinery, determining the general and strategic policy at the group level, which covers the entirety of the region in which NSK Europe Ltd. operates. Specifically, in the spare parts business segment, local directors have the authority to determine the prices of their products (set discounts and margins) within the budget agreed upon by their respective business unit.</w:t>
      </w:r>
    </w:p>
    <w:p>
      <w:r>
        <w:t>3. SCHAEFFLER IBERIA, S.L. (SCHAEFFLER)</w:t>
      </w:r>
    </w:p>
    <w:p>
      <w:r>
        <w:t>SCHAEFFLER IBERIA, S.L. was established in 1960 as a public limited company, under the name INA Rodamientos de Aguja, S.A. In 2003, INA Rodamientos de Aguja, S.A. was transformed into a limited liability company, changing its name to INA Iberia, S.L. and in 2006 to the current SCHAEFFLER IBERIA, S.L. (SCHAEFFLER). SCHAEFFLER has its registered office in Barcelona, and its corporate purpose is the manufacture, marketing, and sale of all kinds of bearings and other elements for the construction of machinery, devices, and vehicles, as well as the import and export of the same.</w:t>
      </w:r>
    </w:p>
    <w:p>
      <w:r>
        <w:t>4. SCHAEFFLER AG.</w:t>
      </w:r>
    </w:p>
    <w:p>
      <w:r>
        <w:t>SCHAEFFLER AG was established on October 13, 2011, and until that date was organized as a German limited liability entity. In January 2010, it took control of the Schaeffler Group through Schaeffler KG, which from 2001 to 2010 controlled the companies belonging to the Schaeffler Group, including Schaeffler Iberia, S.L., which is the Schaeffler Group company active in Spanish territory.</w:t>
      </w:r>
    </w:p>
    <w:p>
      <w:r>
        <w:t>5. SKF ESPAÑOLA, S.A. (SKF)</w:t>
      </w:r>
    </w:p>
    <w:p>
      <w:r>
        <w:t>SKF ESPAÑOLA, S.A. was established in 1970, as a result of the merger of the companies Rodamientos a Bolas SKF, S.A., Empresa Nacional de Rodamientos, S.A., Fábrica de Rodamientos RSA, S.A., and Comercial Rodamientos RSA, S.A. Since November 22, 2004, SKF is a wholly owned subsidiary of AB SKF, the parent company of the SKF Group. SKF, with its registered office in Madrid, has the purpose of manufacturing, selling, buying, importing, and exporting bearings, accessories, and other components thereof and providing all kinds of technical advisory services, study.</w:t>
      </w:r>
    </w:p>
    <w:p>
      <w:r>
        <w:rPr>
          <w:b/>
        </w:rPr>
        <w:t>[Pages 7–9]</w:t>
      </w:r>
    </w:p>
    <w:p>
      <w:r>
        <w:t>of applications and integrated maintenance related to all types of machines equipped with such parts.</w:t>
      </w:r>
    </w:p>
    <w:p>
      <w:r>
        <w:t>6. AKTIEBOLAGET SKF</w:t>
        <w:br/>
        <w:t>AB SKF was founded in 1907 as a Swedish company manufacturing ball bearings and since then AB SKF and its subsidiaries have primarily been dedicated to the manufacture and marketing of various types of ball and roller bearings, as well as related components, currently being a global supplier of products, solutions, and services in the areas of bearings, seals, services, lubrication systems, and mechatronics. Between 2001 and November 22, 2004, SKF was a 100% indirect subsidiary of AB SKF and since November 22, 2004, it has been a 100% direct subsidiary of AB SKF, headquartered in Sweden.</w:t>
      </w:r>
    </w:p>
    <w:p>
      <w:r>
        <w:t>2. REGULATORY FRAMEWORK</w:t>
        <w:br/>
        <w:t>According to the DC, the applicable regulatory framework includes, on one hand, the regulations applicable to bearings as elements integrated into industrial machines, specifically in railway vehicles, and on the other, the legislation that regulates the entities requesting this type of products and the bidding procedures for their supply. The market for bearings in the railway sector has a series of certification requirements that must be met in order to supply bearings for the railway sector within Europe. These certification standards (UNE-EN 12080 and IRIS), which specify the quality parameters of the bearings necessary to ensure the operation of trains on European networks, as well as the conditions for the approval of such products, apply to bearings for both locomotives and wagons. In this regard, NSK does not have the required certification according to these standards, except for those intended for Mitsubishi locomotives, while other suppliers, such as SCHAEFFLER, SKF, and TIMKEN, have such certification, allowing them to supply bearings for all types of locomotives.</w:t>
      </w:r>
    </w:p>
    <w:p>
      <w:r>
        <w:t>Regarding the railway transport market in Spain, it has traditionally been a monopoly of the public company Red Nacional de Ferrocarriles Españoles (RENFE), created in 1941, which grouped the activity of infrastructure management and the provision of transport services. Law 39/2003, of November 17, on the Railway Sector (LSF) marked the beginning of the liberalization process of railway transport of goods and passengers in Spain, consolidating the model of vertical separation between infrastructure management and service operation. The administration of infrastructures is entrusted exclusively to the public business entity that holds the competencies of administration and construction of railway infrastructures, the Railway Infrastructure Manager (ADIF), except as provided for ADIF-High Speed.</w:t>
      </w:r>
    </w:p>
    <w:p>
      <w:r>
        <w:t>Regarding the provision of railway transport services, both for goods and passengers, the Additional Provision 3 of the LSF created RENFE-Operadora as a public business entity as provided in Article 43.1.b) of the LOFAGE, attached to the Ministry of Development, also integrating from January 1, 2013, the operation of the service on narrow gauge lines after the elimination of FEVE. The indicated legal regime is also provided in the Statute of the entity, approved by Royal Decree 2396/2004, of December 30 (Articles 1, 4, and 5, respectively). Within the transport of goods, RENFE-Operadora operates through companies, 100% subsidiaries: Contren (containers, mobile boxes, and semi-trailers), Irion (steel), and Multi (solid and liquid bulk). In addition, it has the comprehensive logistics operator Logirail and is present in the maintenance and repair market of rolling stock through its subsidiary Integria.</w:t>
      </w:r>
    </w:p>
    <w:p>
      <w:r>
        <w:t>Regarding the bidding procedures called by RENFE and subsequently by RENFE-Operadora, for the acquisition of bearings for railway vehicles, these were governed by Law 48/1998, of December 30, on contracting procedures in the sectors of water, energy, transport, and telecommunications of the Spanish State, which was repealed by Law 31/2007, of October 30, on contracting procedures in the sectors of water, energy, transport, and postal services (also known as the Contracts Law in Excluded Sectors). The aforementioned Law 31/2007 incorporates into the Spanish legal system Directive 2004/17/EC, of the European Parliament and of the Council, of March 31, on the coordination of contracting procedures in the sectors of water, energy, transport, and postal services and Directive 92/13/EEC, of the Council, of February 25, on the coordination of legal, regulatory, and administrative provisions regarding the application of community rules in the award procedures of contracts of entities operating in those sectors.</w:t>
      </w:r>
    </w:p>
    <w:p>
      <w:r>
        <w:t>On the other hand, it should be noted that the Administrative Instruction IN-SGC-001/08, of April 29, 2008, which regulates the contracting procedures of RENFE-Operadora for those contracts whose amount exceeds €50,000 and is below the thresholds set in Article 16 of Law 31/2007, is also applicable and fundamentally reproduces what is regulated in that Law.</w:t>
      </w:r>
    </w:p>
    <w:p>
      <w:r>
        <w:t>Regarding the award procedures, Law 31/2007 establishes in its Article 58 that the contracting entity may choose between the open, restricted, or negotiated procedure. In the negotiated procedure, used by RENFE in the tenders for the supply of bearings for railway vehicles, “the contract will be awarded to the economic operator chosen by the contracting entity, after consultation and negotiation of the terms of the contract with one or several of them.”</w:t>
      </w:r>
    </w:p>
    <w:p>
      <w:r>
        <w:t>3. MARKET FUNCTIONING</w:t>
        <w:br/>
        <w:t>3.1. Product Market</w:t>
        <w:br/>
        <w:t>The product market of the reference file is that of industrial bearings for railway vehicles. As indicated by the DC in the PCH, a bearing is a mechanical element that reduces friction between a shaft and the parts connected to it through rolling, which serves as support and facilitates its movement. Most bearings consist of rings with tracks (inner ring and outer ring), rolling elements (which can be balls or rollers), and a cage, which separates the rolling elements at equal distances, keeps them in place between the outer and inner track, and allows them to roll freely.</w:t>
      </w:r>
    </w:p>
    <w:p>
      <w:r>
        <w:t>The European Commission has also differentiated between the market for industrial bearings and that for automotive applications, as the product requires different solutions and technical support in each of them. This differentiation is reflected in the organization of companies, in which there is generally an industrial division and another for automotive. In general terms, the automotive division would be dedicated to applications for automobile manufacturers and the industrial division to other applications (heavy machinery, production machinery, etc.), which would include railway applications.</w:t>
      </w:r>
    </w:p>
    <w:p>
      <w:r>
        <w:t>In the case of railway vehicles, the bearings used must withstand particularly severe conditions. Thus, depending on the type of bearing and the part in which it performs its function, they must tolerate vibration, impact loads, and extreme temperatures, while ensuring high reliability of operation over long distances and with wide intervals between maintenance. Therefore, maintenance and repairs of rolling stock represent a very relevant part of railway costs. According to data collected in the Strategic Plan for the Promotion of Railway Freight Transport in Spain from 2010 by the Ministry of Development, maintenance costs could represent 18% of the total costs for a freight train.</w:t>
      </w:r>
    </w:p>
    <w:p>
      <w:r>
        <w:t>3.2. Geographical Market</w:t>
        <w:br/>
        <w:t>According to national and community jurisprudence, with previous pronouncements from national competition authorities and in accordance with the Commission's Communication regarding the definition of the relevant market for the purposes of community competition law (97/C 372/03, OJ C 372 of December 9, 1997), the relevant geographical market comprises the area in which the affected companies carry out activities of supplying the products and providing the services in question, where the competitive conditions are sufficiently homogeneous and can be distinguished from other nearby geographical areas due to, in particular, the fact that the prevailing competitive conditions therein are significantly different from those elsewhere.</w:t>
      </w:r>
    </w:p>
    <w:p>
      <w:r>
        <w:rPr>
          <w:b/>
        </w:rPr>
        <w:t>[Pages 10–12]</w:t>
      </w:r>
    </w:p>
    <w:p>
      <w:r>
        <w:t>In fact, this has also been indicated by repeated case law of the CJEU, which has defined the geographic market as "the geographical area where the product in question is marketed and where the competitive conditions are sufficiently homogeneous to allow for the assessment of the impact of the economic power of a particular company."</w:t>
      </w:r>
    </w:p>
    <w:p>
      <w:r>
        <w:t>As the DC indicates in the PCH, in the Spanish case, the acquisition of bearings for railway vehicles has been carried out by RENFE and subsequently by RENFE-Operadora for the entire national market through the Spanish subsidiaries of multinational companies that operate on a supranational scale.</w:t>
      </w:r>
    </w:p>
    <w:p>
      <w:r>
        <w:t>Thus, taking into account the behaviors analyzed in this sanctioning file, the market affected by the infringement is limited to industrial bearings for railway vehicles marketed throughout the Spanish market, affecting the tenders offered by RENFE and subsequently by RENFE-Operadora.</w:t>
      </w:r>
    </w:p>
    <w:p>
      <w:r>
        <w:t>Therefore, the investigated behaviors are confined to the Spanish market, and this is the geographic market of reference in this sanctioning file.</w:t>
      </w:r>
    </w:p>
    <w:p>
      <w:r>
        <w:t>Finally, regarding the possible impact on intra-community trade, the scope of these behaviors has extended to the entire national territory, given that the calling entity was RENFE and subsequently RENFE-Operadora, and they are likely to have a significant effect on intra-community trade. The practices under investigation, in light of the nature and characteristics of the analyzed behaviors as well as the multinational nature of the companies participating in the cartel, constitute a potential competitive disadvantage for entrants into the market, thus hindering the economic interpenetration pursued by the Treaty.</w:t>
      </w:r>
    </w:p>
    <w:p>
      <w:r>
        <w:t>The intra-community market, therefore, would also be affected by the behaviors subject to this file, with Article 101 of the TFEU being applicable, as detailed in the Second Legal Basis.</w:t>
      </w:r>
    </w:p>
    <w:p>
      <w:r>
        <w:t>3.3. Market Structure</w:t>
      </w:r>
    </w:p>
    <w:p>
      <w:r>
        <w:t>On the supply side, it is constituted by multinational companies that operate on a supranational scale, due to the low transportation costs of this type of goods, uniform technical standards, centralized purchasing strategies, as well as the absence of barriers and significant trade in the context of the European Economic Area. However, it should also be noted the existence of a strong local distribution network, particularly significant in Spain, considering the uniqueness of the Spanish railway network, with three different track gauges, which implies a certain comparative specificity from an international perspective that conditions the entry of large international logistics operators that might aspire to supply these products.</w:t>
      </w:r>
    </w:p>
    <w:p>
      <w:r>
        <w:t>Most of the tracks in Spain have a different gauge than the European one, the so-called Iberian gauge of 1,668 mm, present in the conventional Spanish network and through which most of the freight transport by rail is carried out, coexisting with the metric gauge of 1,000 mm, which is mainly concentrated in northern Spain.</w:t>
      </w:r>
    </w:p>
    <w:p>
      <w:r>
        <w:t>Continental Europe shares the same gauge measurement, the so-called UIC of 1,435 mm, which in Spain is exclusively found in high-speed networks and, therefore, is almost exclusively intended for passenger transport.</w:t>
      </w:r>
    </w:p>
    <w:p>
      <w:r>
        <w:t>In fact, it is noteworthy that only a very small percentage of the tracks, 15%, are of international gauge.</w:t>
      </w:r>
    </w:p>
    <w:p>
      <w:r>
        <w:t>The acquisition of vehicles not adapted to the Spanish network would entail substantial modifications to the vehicles, considerably increasing their price, which also affects the supplying companies of bearings for railway vehicles.</w:t>
      </w:r>
    </w:p>
    <w:p>
      <w:r>
        <w:t>When determining the market power of suppliers of bearings for railway vehicles, it must be taken into account that most contracts are awarded through public tender in Spain, as the main client has been RENFE and, subsequently, RENFE-Operadora.</w:t>
      </w:r>
    </w:p>
    <w:p>
      <w:r>
        <w:t>In Spain, the railway bearing market shows a high degree of concentration, with SKF leading the market, holding a share exceeding 40%, followed by SCHAEFFLER, with a share exceeding 30%, thus jointly controlling more than half of the market, with NSK's participation being smaller and practically residual for other competitors, such as HARRY WALKER RODAMIENTOS, S.A. or TIMKEN.</w:t>
      </w:r>
    </w:p>
    <w:p>
      <w:r>
        <w:t>The following shows the estimation of market shares of the main suppliers of industrial bearings for railway vehicles in the Spanish market over the last ten years, according to the information contained in this file:</w:t>
      </w:r>
    </w:p>
    <w:p>
      <w:r>
        <w:t>Estimation of the market shares of the main manufacturers of industrial bearings for railway vehicles in Spain (%)</w:t>
      </w:r>
    </w:p>
    <w:p>
      <w:r>
        <w:t xml:space="preserve">Company 2003 2004 2005 2006 2007 2008 2009 2010 2011 2012 2013 </w:t>
        <w:br/>
        <w:t xml:space="preserve">SKF 40-50 40-50 40-50 40-50 40-50 40-50 40-50 40-50 40-50 40-50 40-50 </w:t>
        <w:br/>
        <w:t xml:space="preserve">SCHAEFFLER 30-40 30-40 30-40 30-40 30-40 30-40 30-40 30-40 30-40 30-40 30-40 </w:t>
        <w:br/>
        <w:t xml:space="preserve">NSK 0-10 0-10 0-10 0-10 0-10 0-10 0-10 0-10 0-10 0-10 0-10 </w:t>
        <w:br/>
        <w:t xml:space="preserve">TIMKEN 0-10 0-10 0-10 0-10 0-10 0-10 0-10 0-10 0-10 0-10 0-10 </w:t>
        <w:br/>
        <w:t xml:space="preserve">Others 0-10 0-10 0-10 0-10 0-10 0-10 0-10 0-10 0-10 0-10 0-10 </w:t>
        <w:br/>
        <w:t>Total 100 100 100 100 100 100 100 100 100 100 100</w:t>
      </w:r>
    </w:p>
    <w:p>
      <w:r>
        <w:t>Source: Table prepared by the Competition Directorate, with the information provided by the entities involved in response to the information requests made.</w:t>
      </w:r>
    </w:p>
    <w:p>
      <w:r>
        <w:t>Regarding the demand for railway bearings, as indicated by the DC in its PCH, it comes directly from manufacturing clients, who represent the majority of the demand, and from clients for maintenance and repairs and authorized distributors.</w:t>
      </w:r>
    </w:p>
    <w:p>
      <w:r>
        <w:t>The main manufacturing clients (CAF, TALGO, Alstom, Vossloh, etc.) have substantially varied their strategies over the last few years, with demand from maintenance and repair clients being more stable.</w:t>
      </w:r>
    </w:p>
    <w:p>
      <w:r>
        <w:t>The acquisition of rolling stock, especially locomotives, constitutes one of the main costs for railway companies, and furthermore, the acquisition of railway material requires homologation. This cost can be particularly high for new entrants who must face it before operating in the market.</w:t>
      </w:r>
    </w:p>
    <w:p>
      <w:r>
        <w:t>As reflected in the report published by the CNC on May 21, 2013, "Report on Competition in Freight Transport by Rail in Spain," although the liberalization of freight transport by rail began at the European level in 2001, with the approval of the First Railway Package, and in Spain was concretized in the approval of the Railway Sector Law in 2003 and the opening of the market to competition starting in 2005, the degree of market penetration of new operators in 2013 is still low. In fact, according to information from the European Commission, Spain is the country with the lowest penetration of new companies in freight rail transport in 2010 (8.1%), while entrants hold shares of 20% in France, 24% in Italy, 25% in Germany, and 51% in the United Kingdom.</w:t>
      </w:r>
    </w:p>
    <w:p>
      <w:r>
        <w:t>Therefore, the demand for railway bearings has been composed almost exclusively of RENFE and subsequently RENFE-Operadora, a public business entity providing passenger and freight rail transport services that depends on the Ministry of Development and obtains the supply of railway bearings through tenders, with RENFE-Operadora being the dominant operator, as it is the only operator present throughout the General Interest Railway Network (RFIG). In fact, despite the existence of sixteen companies currently holding a railway company license and eleven having a safety certificate, only six engage in railway activity in the RFIG, and one of the first is 20% owned by RENFE-Operadora. RENFE-Operadora's positioning in the market is reinforced as the only company with a presence throughout the national territory, as the activities of the other participating companies are confined to specific regions and lines, without having formed a national extension network.</w:t>
      </w:r>
    </w:p>
    <w:p>
      <w:r>
        <w:t>Thus, RENFE-Operadora is the company in Spain that carries out almost all railway services, both passenger and freight, and therefore the main demander of railway bearing supplies for the maintenance of the existing fleet, with a market share close to 85%.</w:t>
      </w:r>
    </w:p>
    <w:p>
      <w:r>
        <w:t>In relation to the demand for bearings, according to the information provided by some of the entities involved in this file, based on the tenders from RENFE published in the BOE and on estimates based on their</w:t>
      </w:r>
    </w:p>
    <w:p>
      <w:r>
        <w:rPr>
          <w:b/>
        </w:rPr>
        <w:t>[Pages 13–15]</w:t>
      </w:r>
    </w:p>
    <w:p>
      <w:r>
        <w:t>perception of the demand from Spanish railway manufacturers and the demand from other metro operating companies (such as CAF, TALGO, Gec Alsthom, Metro de Madrid, TMB, etc.), the size of the industrial bearings market for railway vehicles in Spain would be as follows over the last ten years:</w:t>
      </w:r>
    </w:p>
    <w:p>
      <w:r>
        <w:t>Estimation of the total size of the industrial bearings market for railway vehicles in Spain</w:t>
      </w:r>
    </w:p>
    <w:p>
      <w:r>
        <w:t>Year Value (EUR) Volume (units)</w:t>
        <w:br/>
        <w:t>2003 6,500,000 55,000</w:t>
        <w:br/>
        <w:t>2004 7,000,000 56,000</w:t>
        <w:br/>
        <w:t>2005 8,500,000 65,000</w:t>
        <w:br/>
        <w:t>2006 9,600,000 70,000</w:t>
        <w:br/>
        <w:t>2007 10,000,000 69,000</w:t>
        <w:br/>
        <w:t>2008 13,000,000 88,000</w:t>
        <w:br/>
        <w:t>2009 14,000,000 92,000</w:t>
        <w:br/>
        <w:t>2010 13,750,000 87,000</w:t>
        <w:br/>
        <w:t>2011 13,000,000 80,000</w:t>
        <w:br/>
        <w:t>2012 12,700,000 75,000</w:t>
        <w:br/>
        <w:t>2013 11,700,000 67,000</w:t>
      </w:r>
    </w:p>
    <w:p>
      <w:r>
        <w:t>Source: Table prepared by the Competition Directorate, with the information provided by the entities involved in response to the information requests.</w:t>
      </w:r>
    </w:p>
    <w:p>
      <w:r>
        <w:t>On the other hand, the railway is one of the infrastructures where significant public investments are anticipated in the coming years, with the Infrastructure, Transport and Housing Plan (PITVI), presented on September 26, 2012, which foresees investments equivalent to between 0.89% and 0.94% of Spanish GDP, depending on the scenarios of macroeconomic evolution in Spain until the year 2024, with approximately 90% of these resources allocated to transport policies.</w:t>
      </w:r>
    </w:p>
    <w:p>
      <w:r>
        <w:t>4. CONDUCTS CARRIED OUT</w:t>
      </w:r>
    </w:p>
    <w:p>
      <w:r>
        <w:t>The facts established in this file are based on the information provided by NSK Ltd. in its exemption request, the documentation collected during the simultaneous inspections carried out on April 24 and 25, 2013, by the DI at the premises of SCHAEFFLER IBERIA and SKF Española, including internal emails from them, as well as in the responses to the information requests made to the involved companies and to RENFE-Operadora.</w:t>
      </w:r>
    </w:p>
    <w:p>
      <w:r>
        <w:t>Taking into account the information contained in the file and that described by the DC in sections (75) to (138) of the PCH, the Competition Chamber of the CNMC Council considers the following facts to be established:</w:t>
      </w:r>
    </w:p>
    <w:p>
      <w:r>
        <w:t>4.1. Organization and functioning of the cartel</w:t>
      </w:r>
    </w:p>
    <w:p>
      <w:r>
        <w:t>The cartel was organized and developed through meetings and phone calls of executives from NSK, SKF, and SCHAEFFLER, which took place coinciding with the announcement of each RENFE tender, and subsequently RENFE-Operadora, for the contracting of the supply of railway bearings in the years 2004, 2007, and 2011, given that the duration of such contracts is normally four years. RENFE and subsequently RENFE-Operadora publish the tenders in the Official State Gazette a few months before the expiration of the contracts related to the previous tender. The conditions for participating in the tender are established in the announcement in the BOE, which includes a description of the legal, technical, and financial requirements to be admitted to the General Register of Suppliers of RENFE and subsequently of RENFE-Operadora. The announcement also generally includes the deadlines for requesting participation in the tender and submitting bids.</w:t>
      </w:r>
    </w:p>
    <w:p>
      <w:r>
        <w:t>Once these tenders were announced by RENFE and subsequently by RENFE-Operadora, executives from the involved companies contacted, either directly in meetings or by phone, to agree on the bids to be submitted and thus share the aforementioned tenders, maintaining the allocation of the supply of registrations or references that had historically been supplied to RENFE by each of these companies (each registration corresponds to a specific type of bearing).</w:t>
      </w:r>
    </w:p>
    <w:p>
      <w:r>
        <w:t>To this end, NSK, SKF, and SCHAEFFLER established the references or registrations that would be assigned to each company, determining the prices that each of the cartel companies should offer for each supply in their proposal to RENFE within the framework of each tender, to ensure that the result was in accordance with the strategy organized by the cartel. Furthermore, in all those occasions where the convened tender allowed for the awarding by lots or models to various awardees, the offers were adjusted among the cartel companies so that each one would be awarded the volumes that approximately represented the historically assigned supply.</w:t>
      </w:r>
    </w:p>
    <w:p>
      <w:r>
        <w:t>For the 2004 tender, the entities participating in the cartel used a template with the specifications of the 2001 tender, as the first meeting of the cartel was held prior to the publication of the 2004 tender, so the cartel companies could not agree on the prices to be offered and the registrations to be assigned based on the specifications of the new tender, which had not yet been published. For the 2007 tender, phone conversations were maintained and no base document was used, as there was no agreement registration by registration, but rather a percentage increase in the prices to be offered was set. Finally, for the 2011 tender, the document of the new tender, which had already been published at the time the cartel companies agreed on the terms regarding it, was used as a basis, setting the price increases registration by registration, as was done in the 2004 tender.</w:t>
      </w:r>
    </w:p>
    <w:p>
      <w:r>
        <w:t>The representatives of the companies attending the meetings – regarding the tenders of 2004 and 2011 – or maintaining phone contacts – regarding the 2007 tender – were senior executives of the same, with knowledge of the fundamental aspects of their corporate strategy and commercial policy, as well as sufficient powers to represent them. Thus, it is particularly significant that during the period of validity of the cartel, their meetings were held at the highest level of representation and the individuals were replaced in them as changes occurred in those executive positions.</w:t>
      </w:r>
    </w:p>
    <w:p>
      <w:r>
        <w:t>NSK normally sells its products through its authorized distributors and, therefore, in the tenders of 2004 and 2007, it presented itself through its distributor PERMARIN and when this company declared bankruptcy in September 2011, in the 2011 tender NSK presented itself through its new distributor, FEYC. SKF also has distributors that have supplied bearings to railway customers significantly in the last ten years, such as TELEBEARING, S.A., LINK SOLUCIONES INDUSTRIALES, or RODABAU, S.L., but as SKF itself has pointed out, the sales of the distributors to railway customers are marginal in relation to the total of their sales and are usually limited to service needs from the customer, which SKF cannot cover directly through its specific business unit for that market segment. Notwithstanding the above, TELEBEARING, S.A. participated in the 2007 tender, obtaining the supply to RENFE of several registrations for the 2007-2011 contract.</w:t>
      </w:r>
    </w:p>
    <w:p>
      <w:r>
        <w:t>SCHAEFFLER, on the other hand, presents itself to the tenders directly and not through distributors, although under the FAG brand.</w:t>
      </w:r>
    </w:p>
    <w:p>
      <w:r>
        <w:t>4.2. Agreements reached for each tender</w:t>
      </w:r>
    </w:p>
    <w:p>
      <w:r>
        <w:t>4.2.1. 2004 Tender</w:t>
      </w:r>
    </w:p>
    <w:p>
      <w:r>
        <w:t>The first accredited meetings between NSK, SKF, and SCHAEFFLER to agree on how to respond to the tenders called by RENFE date back to 2004 and aimed to agree on the distribution of the supply of bearings by assigning registrations among the aforementioned companies, in light of the new tender planned for that year, once the previous supply of 2001 had concluded, for a period of four years. The intention of the aforementioned companies when contacting in 2004 was to maintain their status quo regarding the aforementioned supply, following the previous tender of 2001.</w:t>
      </w:r>
    </w:p>
    <w:p>
      <w:r>
        <w:t>Therefore, they met prior to the publication of the announcement of the 2004 tender, which was finally published in the BOE on June 24, 2004, regarding the RENFE tender 6.4/0104.492/1-00000, for the supply of industrial bearings for railway vehicles. According to the aforementioned announcement, the deadline for submitting requests to participate in this tender was July 27, 2004, and the estimated date for sending invitations to receive offers was July 29, 2004.</w:t>
      </w:r>
    </w:p>
    <w:p>
      <w:r>
        <w:rPr>
          <w:b/>
        </w:rPr>
        <w:t>[Pages 16–18]</w:t>
      </w:r>
    </w:p>
    <w:p>
      <w:r>
        <w:t>Organized by NSK, there was a first meeting in 2004 to agree on prices for the supply tender of bearings to RENFE among NSK, SKF, and SCHAEFFLER at a restaurant in Madrid, prior to the publication of said tender. Therefore, the aforementioned companies did not have exact knowledge of the registrations that were going to be tendered in 2004 by Renfe, which is why the agreement adopted was based on the registrations included in the previous RENFE tender of 2001.</w:t>
      </w:r>
    </w:p>
    <w:p>
      <w:r>
        <w:t>As SKF had the largest market share, it was that company that determined at this meeting the level of price increase to be applied and proposed the supply quotas for each company, according to historical sales, agreeing to hold another meeting to discuss the tender in more detail.</w:t>
      </w:r>
    </w:p>
    <w:p>
      <w:r>
        <w:t>During the second meeting held in Madrid in 2004, they evaluated the prices to be presented regarding the different registrations of the tender, using the previous one from 2001 as a basis, and they divided these in order to maintain their respective supply quotas, setting the prices that each of the participating companies in the cartel would offer in order to win the tender for those registrations. The handwritten notes taken by NSK on this matter are included in the file, made in a document that contained the specifications of the RENFE tender of 2001. It lists the registrations for which offers were requested, designation, reference, and the agreed distribution of those registrations, indicating the market share attributed to each cartel company for each type of bearing or registration, reflecting the historical shares of those companies.</w:t>
      </w:r>
    </w:p>
    <w:p>
      <w:r>
        <w:t>Specifically, in the left column of that document, the "current prices" for those models were noted, per unit, and in the right column, the "new prices" agreed upon during the meeting, which correspond to the minimum prices at which the cartel companies had to bid in order to be awarded the registrations assigned by the cartel. The annotation "contract" referred to whether the company awarded the registration already had a contract with RENFE, that is, if that company was supplying that product to RENFE. The objective was for each cartel company to maintain its supply quota with RENFE at the prices agreed upon by the cartel.</w:t>
      </w:r>
    </w:p>
    <w:p>
      <w:r>
        <w:t>From the assessment carried out by the DC on the information in the file, it is observed that the so-called "current prices" mostly coincide with those in effect at the time the handwritten notes were made (prices, in pesetas, of the award of the 2001 tender).</w:t>
      </w:r>
    </w:p>
    <w:p>
      <w:r>
        <w:t>To facilitate the comparison of the data provided by NSK in its leniency application, as well as that provided by SCHAFFLER, SKF, and NSK itself in response to the information requests made, with the results of the 2001 tender, the DC prepared a table, included in the PR, which states the following:</w:t>
      </w:r>
    </w:p>
    <w:p>
      <w:r>
        <w:t>First, in the first two columns, the registrations of the bearings for railway vehicles tendered in 2001 are listed in sequential order. These registrations are those that appear in the document with handwritten notes provided by NSK in its leniency application and that were used as a reference for the agreements made by the parties involved.</w:t>
      </w:r>
    </w:p>
    <w:p>
      <w:r>
        <w:t>Subsequently, under the heading "Tender of 2001," the offer made by each of the three companies participating in the cartel in 2001 is related for each registration. The purpose of these columns is to verify the market prices of the bearings before the tender and to assess their approximate coincidence with the handwritten notes regarding the prices prior to the agreement.</w:t>
      </w:r>
    </w:p>
    <w:p>
      <w:r>
        <w:t>Next, the table reflects the transcription of the handwritten notes contained in the document provided by NSK in its leniency application. Thus, under the column "current price," the transcription of the handwritten notes found on the right side of the document presented by NSK appears, indicating the prices prior to the agreement. In the column "annotations about the winner," the transcription of the handwritten notes found in the central-right part of the document provided by NSK appears, which contains the data of the name of the company agreed to win the tender. Finally, in the column "minimum prices," the handwritten notes found on the left side of the document used to make the agreement are related for each registration. These last two columns would summarize the agreement adopted, that is, the assignment by the cartel of the company that should win the tender and the price above which the other participating companies in the cartel had to bid.</w:t>
      </w:r>
    </w:p>
    <w:p>
      <w:r>
        <w:t>Finally, the results of the 2004 tender are presented, in which the offer submitted by each company is recorded according to the information provided by RENFE-Operadora, as well as the awarded company, whose offered and ultimately winning amount has been highlighted in bold. These prices have been referenced in pesetas to facilitate the comparison of the data.</w:t>
      </w:r>
    </w:p>
    <w:p>
      <w:r>
        <w:t>The registrations for which there are annotations related to the distribution and price-fixing but which were ultimately not tendered by RENFE in 2004 have been marked as "not tendered."</w:t>
      </w:r>
    </w:p>
    <w:p>
      <w:r>
        <w:t>Attached below is the aforementioned table prepared by the DC, taking into account the documentation provided by NSK in its leniency application, as well as that provided by RENFE-Operadora, SCHAEFFLER, SKF, and NSK in response to the information requests made, with the registrations subject to distribution by the participating companies in the cartel regarding the RENFE tender of 2004, based on the 2001 tender.</w:t>
      </w:r>
    </w:p>
    <w:p>
      <w:r>
        <w:rPr>
          <w:b/>
        </w:rPr>
        <w:t>[Pages 19–21]</w:t>
      </w:r>
    </w:p>
    <w:p>
      <w:r>
        <w:t>Comparison of RENFE tenders from 2001 and 2004</w:t>
      </w:r>
    </w:p>
    <w:p>
      <w:r>
        <w:t>TENDER OF 2001 HANDWRITTEN NOTES RESULT OF THE TENDER OF 2004</w:t>
        <w:br/>
        <w:t>REGISTRATION PRICE NOTE NOTE OFFER OFFER</w:t>
        <w:br/>
        <w:t>NOTE</w:t>
        <w:br/>
        <w:t>FAG PRICE PRICE IS ON FAG OFFER HARRY OFFER</w:t>
        <w:br/>
        <w:t>NOTE PRICE</w:t>
        <w:br/>
        <w:t>(SCHAEFFL SKF NSK THE PRICES (SCHAEFFL SKF WALKER NSK</w:t>
        <w:br/>
        <w:t>CURRENT</w:t>
        <w:br/>
        <w:t>ER) WINNER MINIMUMS ER) (HW)</w:t>
        <w:br/>
        <w:t>without without</w:t>
        <w:br/>
        <w:t>1 6416130 - - - without note not tendered not tendered not tendered not tendered</w:t>
        <w:br/>
        <w:t>note note</w:t>
        <w:br/>
        <w:t>Contract</w:t>
        <w:br/>
        <w:t>2 6431210 14,150 14,790 14,150 14,860 14,375.75 17,452.23</w:t>
        <w:br/>
        <w:t>100% FAG</w:t>
        <w:br/>
        <w:t>Contract</w:t>
        <w:br/>
        <w:t>100% FAG,</w:t>
        <w:br/>
        <w:t>3 6431216 12,600 12,875 12,620 13,175 13,054.64</w:t>
        <w:br/>
        <w:t>SKF also</w:t>
        <w:br/>
        <w:t>supplies</w:t>
        <w:br/>
        <w:t>TIMKEN</w:t>
        <w:br/>
        <w:t>4 6600176 - 50,250</w:t>
        <w:br/>
        <w:t>100%</w:t>
        <w:br/>
        <w:t>Contract</w:t>
        <w:br/>
        <w:t>5 19003500 7,950 7,498 7,500 11,250 8,307.65 7,793.52 12,029.71</w:t>
        <w:br/>
        <w:t>100% SKF</w:t>
        <w:br/>
        <w:t>Contract SKF</w:t>
        <w:br/>
        <w:t>6 19003511 8,975 8,820 8,800 9,300 not tendered not tendered not tendered not tendered</w:t>
        <w:br/>
        <w:t>(85%)</w:t>
        <w:br/>
        <w:t>No contract</w:t>
        <w:br/>
        <w:t>7 19003535 10,568 10,085 10,084 11,010 11,043.03 10,117.93 7,509</w:t>
        <w:br/>
        <w:t>SKF 60%</w:t>
        <w:br/>
        <w:t>Contract SKF</w:t>
        <w:br/>
        <w:t>8 19003539 35,500 27,950 27,980 29,650 37,095.75 29,571.78 21,541.99</w:t>
        <w:br/>
        <w:t>100%</w:t>
        <w:br/>
        <w:t>No contract</w:t>
        <w:br/>
        <w:t>9 19003590 20,220 21,325 20,485 20,200 20,200 not tendered not tendered not tendered not tendered</w:t>
        <w:br/>
        <w:t>FAG 60%</w:t>
        <w:br/>
        <w:t>FAG 13,000</w:t>
        <w:br/>
        <w:t>10 19033260 14,152 15,450 10,943 NSK? 12,200 13,844.97 18,189.31 11,568.81</w:t>
        <w:br/>
        <w:t>SKF 15,000</w:t>
      </w:r>
    </w:p>
    <w:p>
      <w:r>
        <w:t>TENDER OF 2001 HANDWRITTEN NOTES RESULT OF THE TENDER OF 2004</w:t>
        <w:br/>
        <w:t>REGISTRATION PRICE NOTE NOTE OFFER OFFER</w:t>
        <w:br/>
        <w:t>NOTE</w:t>
        <w:br/>
        <w:t>FAG PRICE PRICE IS ON FAG OFFER HARRY OFFER</w:t>
        <w:br/>
        <w:t>NOTE PRICE</w:t>
        <w:br/>
        <w:t>(SCHAEFFL SKF NSK THE PRICES (SCHAEFFL SKF WALKER NSK</w:t>
        <w:br/>
        <w:t>CURRENT</w:t>
        <w:br/>
        <w:t>ER) WINNER MINIMUMS ER) (HW)</w:t>
        <w:br/>
        <w:t>2004 NSK</w:t>
        <w:br/>
        <w:t>Without</w:t>
        <w:br/>
        <w:t>11 19033335 23,185 24,000 22,227 22,700 contract 22,794.88 24,751.58 23,343.95</w:t>
        <w:br/>
        <w:t>note</w:t>
        <w:br/>
        <w:t>100%</w:t>
        <w:br/>
        <w:t>SKF- FAG</w:t>
        <w:br/>
        <w:t>12 19033340 21,605 21,650 21,650 100% (between 22,400 not tendered not tendered not tendered not tendered</w:t>
        <w:br/>
        <w:t>the two)</w:t>
        <w:br/>
        <w:t>SKF 60%</w:t>
        <w:br/>
        <w:t>13 19033377 40,883 39,790 39,790 FAG 40% 41,900 42,907.62</w:t>
        <w:br/>
        <w:t>(No contract)</w:t>
        <w:br/>
        <w:t>SKF =/FAG=</w:t>
        <w:br/>
        <w:t>14 19033405 35,000 35,735 35,000 36,900 36,322.06 35,972.65</w:t>
        <w:br/>
        <w:t>(No contract)</w:t>
        <w:br/>
        <w:t>FAG - 105</w:t>
        <w:br/>
        <w:t>15 19033455 59,980 61,250 60,000 63,800 62,531.18 61,953.82</w:t>
        <w:br/>
        <w:t>pc/year</w:t>
        <w:br/>
        <w:t>Without</w:t>
        <w:br/>
        <w:t>16 19033568 209,785 211,145 200,415 204,000 NSK 100% not tendered not tendered not tendered not tendered</w:t>
        <w:br/>
        <w:t>note</w:t>
        <w:br/>
        <w:t>SKF Contract 181,404.0</w:t>
        <w:br/>
        <w:t>17 19033600 184,930 177,500 177,500 188,000 193,252.35</w:t>
        <w:br/>
        <w:t>100% 0</w:t>
        <w:br/>
        <w:t>FAG</w:t>
        <w:br/>
        <w:t>102,284.1</w:t>
        <w:br/>
        <w:t>18 19033620 84,085 88,230 84,100 Contract 89,400 86,187.94</w:t>
        <w:br/>
        <w:t>3</w:t>
        <w:br/>
        <w:t>100%</w:t>
        <w:br/>
        <w:t>SKF Contract</w:t>
        <w:br/>
        <w:t>19 19034465 61,740 57,900 57,900 59,700 64,507.85 63,025.35</w:t>
        <w:br/>
        <w:t>100%</w:t>
        <w:br/>
        <w:t>FAG</w:t>
        <w:br/>
        <w:t>20 19036150 38,325 - 37,600 Contract 39,900 39,916 11,843.35</w:t>
        <w:br/>
        <w:t>100%</w:t>
        <w:br/>
        <w:t>20</w:t>
      </w:r>
    </w:p>
    <w:p>
      <w:r>
        <w:t>TENDER OF 2001 HANDWRITTEN NOTES RESULT OF THE TENDER OF 2004</w:t>
        <w:br/>
        <w:t>REGISTRATION PRICE NOTE NOTE OFFER OFFER</w:t>
        <w:br/>
        <w:t>NOTE</w:t>
        <w:br/>
        <w:t>FAG PRICE PRICE IS ON FAG OFFER HARRY OFFER</w:t>
        <w:br/>
        <w:t>NOTE PRICE</w:t>
        <w:br/>
        <w:t>(SCHAEFFL SKF NSK THE PRICES (SCHAEFFL SKF WALKER NSK</w:t>
        <w:br/>
        <w:t>CURRENT</w:t>
        <w:br/>
        <w:t>ER) WINNER MINIMUMS ER) (HW)</w:t>
        <w:br/>
        <w:t>SKF Contract</w:t>
        <w:br/>
        <w:t>21 19036337 26,120 22,250 22,250 23,180 not tendered not tendered not tendered not tendered</w:t>
        <w:br/>
        <w:t>100%</w:t>
        <w:br/>
        <w:t>SKF Contract</w:t>
        <w:br/>
        <w:t>22 19037298 30,175 29,560 29,551 31,700 39,916 30,683.24</w:t>
        <w:br/>
        <w:t>100%</w:t>
        <w:br/>
        <w:t>SKF Contract</w:t>
        <w:br/>
        <w:t>23 19037444 70,500 66,980 56,980 72,100 41,812.80 71,204.88</w:t>
        <w:br/>
        <w:t>100%</w:t>
        <w:br/>
        <w:t>NSK</w:t>
        <w:br/>
        <w:t>Without</w:t>
        <w:br/>
        <w:t>24 19037445 88,180 78,150 75,833 76,500 Contract not tendered not tendered not tendered not tendered</w:t>
        <w:br/>
        <w:t>note</w:t>
        <w:br/>
        <w:t>100%</w:t>
        <w:br/>
        <w:t>SKF Contract</w:t>
        <w:br/>
        <w:t>25 19048215 13,625 12,830 12,250 13,200 17,636.91 13,929.83 11,866.64</w:t>
        <w:br/>
        <w:t>100%</w:t>
        <w:br/>
        <w:t>SKF Contract</w:t>
        <w:br/>
        <w:t>26 19044260 61,680 20,900 20,500 22,100 22,378.91</w:t>
        <w:br/>
        <w:t>100%</w:t>
        <w:br/>
        <w:t>SKF Contract</w:t>
        <w:br/>
        <w:t>27 19048328 26,350 23,200 23,700 25,500 38,268.78 24,831.44</w:t>
        <w:br/>
        <w:t>100%</w:t>
        <w:br/>
        <w:t>SKF+FAG</w:t>
        <w:br/>
        <w:t>13842-</w:t>
        <w:br/>
        <w:t>28 19048355 14,181 14,142 15,480 15,480 14,775.07 16,567.05</w:t>
        <w:br/>
        <w:t>13660 14142</w:t>
        <w:br/>
        <w:t>- 14181</w:t>
        <w:br/>
        <w:t>SKF Contract</w:t>
        <w:br/>
        <w:t>29 19048358 85,495 48,825 48,255 50,230 51,408.28</w:t>
        <w:br/>
        <w:t>100%</w:t>
        <w:br/>
        <w:t>NSK</w:t>
        <w:br/>
        <w:t>Contract</w:t>
        <w:br/>
        <w:t>Without</w:t>
        <w:br/>
        <w:t>30 19065340 12,570 16,150 11,950 100% 11,314.24 11,790.11 12,395.75</w:t>
        <w:br/>
        <w:t>note</w:t>
        <w:br/>
        <w:t>SKF (some)</w:t>
      </w:r>
    </w:p>
    <w:p>
      <w:r>
        <w:rPr>
          <w:b/>
        </w:rPr>
        <w:t>[Pages 22–24]</w:t>
      </w:r>
    </w:p>
    <w:p>
      <w:r>
        <w:t>BID OF 2001 HANDWRITTEN NOTES RESULT OF THE BID OF 2004</w:t>
        <w:br/>
        <w:t>REGISTRATION PRICE NOTE NOTE OFFER OFFER</w:t>
        <w:br/>
        <w:t>NOTE</w:t>
        <w:br/>
        <w:t>FAG PRICE PRICE IS ON FAG OFFER HARRY OFFER</w:t>
        <w:br/>
        <w:t>PRICE</w:t>
        <w:br/>
        <w:t>(SCHAEFFLER SKF NSK THE PRICES (SCHAEFFLER SKF WALKER NSK</w:t>
        <w:br/>
        <w:t>CURRENT</w:t>
        <w:br/>
        <w:t>ER) WINNER MINIMUMS ER) (HW)</w:t>
        <w:br/>
        <w:t>NSK Without</w:t>
        <w:br/>
        <w:t>31 19065510 80,175 54,050 46,600 46,600 75,063.38 95,066.30 85,600.60 48,950.76</w:t>
        <w:br/>
        <w:t>Contract note</w:t>
        <w:br/>
        <w:t>SKF has</w:t>
        <w:br/>
        <w:t>delivered 40</w:t>
        <w:br/>
        <w:t>32 19065650 - 44,698 44,270 44,700 44,800 31,613.34 46,629.67</w:t>
        <w:br/>
        <w:t>% NSK - SKF</w:t>
        <w:br/>
        <w:t>contract 50%</w:t>
        <w:br/>
        <w:t>Contract Without 121,275.4</w:t>
        <w:br/>
        <w:t>33 19065700 12,4170 - 72,100 73,400 129,756.12 76,451.03</w:t>
        <w:br/>
        <w:t>NSK 100% note 2</w:t>
        <w:br/>
        <w:t>Contract</w:t>
        <w:br/>
        <w:t>FAG 100 %</w:t>
        <w:br/>
        <w:t>641,296.5</w:t>
        <w:br/>
        <w:t>34 19055750 14,6708 24,5300 14,6700 158,580 153,823.85 169,583.94</w:t>
        <w:br/>
        <w:t>7</w:t>
        <w:br/>
        <w:t>Timken</w:t>
        <w:br/>
        <w:t>supplies</w:t>
        <w:br/>
        <w:t>SKF Contract</w:t>
        <w:br/>
        <w:t>35 19301073 55,987 55,125 55,125 60,950 58,504.64 54,837.49</w:t>
        <w:br/>
        <w:t>100%</w:t>
        <w:br/>
        <w:t>BEARING SKF 100%</w:t>
        <w:br/>
        <w:t>Without</w:t>
        <w:br/>
        <w:t>36 19301077 63,530 40,395 TO EXEC 66,388.01 45,295.26</w:t>
        <w:br/>
        <w:t>note</w:t>
        <w:br/>
        <w:t>SPECIAL No contract</w:t>
        <w:br/>
        <w:t>2004 NSK</w:t>
        <w:br/>
        <w:t>Without</w:t>
        <w:br/>
        <w:t>37 19301079 34,115 - 25,270 25,270 100% 35,649.86 34,325.43 26,863.01</w:t>
        <w:br/>
        <w:t>note</w:t>
        <w:br/>
        <w:t>contract</w:t>
        <w:br/>
        <w:t>Contract SKF</w:t>
        <w:br/>
        <w:t>38 19301083 79,315 77,496 77,457 86,100 82,883.52 80,831.98</w:t>
        <w:br/>
        <w:t>100%</w:t>
        <w:br/>
        <w:t>2004</w:t>
        <w:br/>
        <w:t>Contract</w:t>
        <w:br/>
        <w:t>Without 123,458.4</w:t>
        <w:br/>
        <w:t>39 19301087 183,200 - 115,600 128,500 NSK 100% 191,443.73</w:t>
        <w:br/>
        <w:t>note 1</w:t>
        <w:br/>
        <w:t>(FAG</w:t>
        <w:br/>
        <w:t>310000)</w:t>
        <w:br/>
        <w:t>22</w:t>
      </w:r>
    </w:p>
    <w:p>
      <w:r>
        <w:t>BID OF 2001 HANDWRITTEN NOTES RESULT OF THE BID OF 2004</w:t>
        <w:br/>
        <w:t>REGISTRATION PRICE NOTE NOTE OFFER OFFER</w:t>
        <w:br/>
        <w:t>NOTE</w:t>
        <w:br/>
        <w:t>FAG PRICE PRICE IS ON FAG OFFER HARRY OFFER</w:t>
        <w:br/>
        <w:t>PRICE</w:t>
        <w:br/>
        <w:t>(SCHAEFFLER SKF NSK THE PRICES (SCHAEFFLER SKF WALKER NSK</w:t>
        <w:br/>
        <w:t>CURRENT</w:t>
        <w:br/>
        <w:t>ER) WINNER MINIMUMS ER) (HW)</w:t>
        <w:br/>
        <w:t>NSK</w:t>
        <w:br/>
        <w:t>Without</w:t>
        <w:br/>
        <w:t>40 19301094 302,530 - 65,900 66,950 Contract 316,133.40 69,857.16</w:t>
        <w:br/>
        <w:t>note</w:t>
        <w:br/>
        <w:t>100%</w:t>
        <w:br/>
        <w:t>NSK</w:t>
        <w:br/>
        <w:t>Without</w:t>
        <w:br/>
        <w:t>41 19301096 411,650 - 64,900 66,200 Contract 430,174.36 68,795.61</w:t>
        <w:br/>
        <w:t>note</w:t>
        <w:br/>
        <w:t>100%</w:t>
        <w:br/>
        <w:t>42 19301105 66,275 68,400 64,660 FAG 100% 71,126 59,907.27 65,205 68,209.94</w:t>
        <w:br/>
        <w:t>FAG</w:t>
        <w:br/>
        <w:t>43 19301106 268,400 - 67,100 Contract 71,000 69,882.12</w:t>
        <w:br/>
        <w:t>100%</w:t>
        <w:br/>
        <w:t>2004 NSK -</w:t>
        <w:br/>
        <w:t>Without 256,068.0</w:t>
        <w:br/>
        <w:t>44 19301118 352,400 - 242,000 242,000 Contract 368,253.81</w:t>
        <w:br/>
        <w:t>note 5</w:t>
        <w:br/>
        <w:t>100%</w:t>
        <w:br/>
        <w:t>NSK</w:t>
        <w:br/>
        <w:t>Without</w:t>
        <w:br/>
        <w:t>45 19301120 367,500 - 358,000 358,000 Contract not tendered not tendered not tendered not tendered</w:t>
        <w:br/>
        <w:t>note</w:t>
        <w:br/>
        <w:t>100%</w:t>
        <w:br/>
        <w:t>Without</w:t>
        <w:br/>
        <w:t>46 19301140 294,500 - 294,500 FAG 80% 294,499.89 291,508.27</w:t>
        <w:br/>
        <w:t>note</w:t>
        <w:br/>
        <w:t>Source: Table prepared by the Competition Directorate, according to the information in the file.</w:t>
        <w:br/>
        <w:t>23</w:t>
      </w:r>
    </w:p>
    <w:p>
      <w:r>
        <w:t>It should be noted that, indeed, as stated by the NSK executive who participated in the meetings, there are only notes regarding the registrations tendered in 2001, which indicates the ignorance that competitors had at that time of the registrations that would be offered by RENFE in 2004. Therefore, although the cartel companies divided the registrations that were listed in the 2001 tender, ultimately the 2004 tender coincided with the previous one in 38 of the 46 registrations that were in the document. That is to say, 8 of the 46 registrations that served as the basis for the division - and which are indicated in the table as "not tendered" - were not put out to tender by RENFE.</w:t>
        <w:br/>
        <w:t>Regarding the notes made determining the company that should be awarded that tender, if we analyze the result of the 38 coinciding registrations in 2001 and 2004, it is observed that it corresponds to the allocation that is noted in the aforementioned notes in a total of 30 of those registrations. Thus, by way of example, in registration 6431210 it is observed that the price listed in the column "current price," which contains the handwritten notes on the right side of the document provided by NSK in its leniency application, indeed corresponds or approximates the price prior to the agreement, according to what was offered in 2001 by the companies participating in the cartel. Subsequently, it is observed how in the agreement, as deduced from the aforementioned handwritten notes, registration 6431210 is assigned to FAG (SCHAEFFLER). It can be verified from the result of the tender that the other competitor participating in the cartel, SKF, submitted an offer of 17,452.75 pesetas. This amount is, according to the agreement, above the minimum price established that the competing companies participating in the cartel had to offer (14,860 pesetas) in order for SCHAEFFLER to win the tender for this registration. Indeed, and as indicated in those handwritten notes, SCHAEFFLER wins the award of this registration from RENFE.</w:t>
        <w:br/>
        <w:t>If we analyze the rest of the registrations divided by the cartel, in all of them approximately the same behavior is observed, having been obtained by the companies participating in the cartel following what was agreed, as indicated in the handwritten notes, with the exception of eight of them. Of these eight, three were assigned by RENFE to the company HARRY WALKER (HW in the table) (registrations 19055750, 1930108, and 19301140), which did not participate in the cartel and also submitted an offer; regarding another 2 registrations, the cartel companies had assigned themselves a percentage of the quantity of bearings corresponding to those registrations, as this possibility was contemplated in the RENFE tenders, which reserved the right to award total or partially to one or several bidders, although in these 2 cases RENFE ultimately awarded all of these bearings to the company with the best offer (registrations 19033377 and 19033405); in one registration, the cartel company to which the registration had been assigned did not ultimately submit an offer for it (registration 19301083) and finally, a breach of the agreement by the cartel is noted regarding the remaining 2 registrations, numbered 19037444 and 19065340.</w:t>
        <w:br/>
        <w:t>For all these reasons, it should be considered that indeed in 2004 there was an agreement between SCHAEFFLER, SKF, and NSK for the division of the registrations tendered by RENFE, 17 Information provided by NSK in its application for exemption from the payment of a fine (folios 2428 to 2458). 18 Information provided by RENFE-Operadora in response to the information request made (folios 2072 and 2197).</w:t>
      </w:r>
    </w:p>
    <w:p>
      <w:r>
        <w:rPr>
          <w:b/>
        </w:rPr>
        <w:t>[Pages 25–27]</w:t>
      </w:r>
    </w:p>
    <w:p>
      <w:r>
        <w:t>as stated in the document and in the handwritten notes provided by NSK in its request for leniency and which has been corroborated by the responses to the information requests made to the companies involved and to RENFE-Operadora, and that this agreement was fulfilled by the companies participating in the cartel. Thus, it is observed that in 19 of the 26 registrations where minimum prices are established, the offers submitted by the other cartel companies that were not to be awarded according to the cartel's agreement are higher than these minimum prices established by the cartel to avoid obtaining such awards or directly the other cartel companies did not submit offers.</w:t>
      </w:r>
    </w:p>
    <w:p>
      <w:r>
        <w:t>4.2.2. 2007 Tender</w:t>
        <w:br/>
        <w:t>On August 3, 2007, the announcement regarding the tender of RENFE-Operadora EX/2007/03415/000.00 for the supply of industrial bearings for railway vehicles was published in the BOE. According to this announcement, the estimated total value of the acquisitions during the entire duration of the framework agreement, excluding VAT, was 15 million euros. The duration of the contract or execution period was 47 months and 30 days from the award of the contract, and the deadline for the submission of offers or requests for participation was September 21, 2007.</w:t>
      </w:r>
    </w:p>
    <w:p>
      <w:r>
        <w:t>After the submission of participation requests by the companies, RENFE-Operadora sent an invitation letter to those that met the requirements set out in the announcement, attaching the specific terms and establishing the deadline for the submission of offers. According to the information in the file, this date was October 26, 2007. From the receipt of this invitation letter, the companies participating in the cartel contacted each other to set the price increase for the registrations to which they were going to submit offers, within the general agreement to respect the historical registrations of each participating company in the cartel.</w:t>
      </w:r>
    </w:p>
    <w:p>
      <w:r>
        <w:t>Thus, in October 2007, NSK, SKF, and SCHAEFFLER maintained new contacts, mainly by phone, to set the prices to be offered regarding the 2007 tender of RENFE-Operadora, where the competitors agreed to increase their prices to RENFE-Operadora by between 14% and 16%. According to NSK, SKF did not have direct contact with SCHAEFFLER, with NSK acting as an intermediary at SKF's request. Thus, SKF asked NSK to contact SCHAEFFLER and inform them about the planned price increase, so it was NSK that contacted SCHAEFFLER and informed them of the agreed price increase, as stated in the entries in the electronic agenda of the NSK executive participating in the cartel, with said increase ultimately being 14-16%.</w:t>
      </w:r>
    </w:p>
    <w:p>
      <w:r>
        <w:t>Subsequently, NSK communicated to its distributor PERMARÍN the increase in the prices to be offered for this tender, as already indicated, NSK supplies railway bearings in Spain through its authorized distributor PERMARÍN. NSK has stated in its declaration that it did not set the prices at which PERMARÍN sold to RENFE-Operadora, but merely recommended the selling prices, following what was agreed by the cartel.</w:t>
      </w:r>
    </w:p>
    <w:p>
      <w:r>
        <w:t>Consequently, PERMARÍN could freely determine the prices at which it ultimately sold to RENFE-Operadora and could sell at prices different from those recommended by NSK. In this case, PERMARÍN did not exactly follow the price proposal indicated by NSK, and therefore an executive from SKF contacted NSK to complain about the breach of the agreement among the companies participating in the cartel.</w:t>
      </w:r>
    </w:p>
    <w:p>
      <w:r>
        <w:t>Despite this, both the agreement to respect the awarding of historical registrations and a significant price increase were implemented. Thus, if the data from the 2007 tender is analyzed and compared with the data from the common registrations that had been tendered in 2004, few changes are observed regarding the companies that were awarded the tenders. To facilitate this comparison, according to the information in the file, the DC prepared a comparative table that includes the 51 registrations included in both the 2004 tender and the 2007 tender.</w:t>
      </w:r>
    </w:p>
    <w:p>
      <w:r>
        <w:t>In order to verify the maintenance of the awarding of the common registrations between 2004 and 2007, the table reflects the winners of the tenders for each registration, that is, the companies participating in this cartel, NSK, SKF (also through its authorized distributor TELEBEARING, S.A.) and SCHAEFFLER (identified as FAG, since SCHAEFFLER only sold bearings in the railway sector under this brand), as well as other competing companies, such as HARRY WALKER RODAMIENTOS, S.A. (HW).</w:t>
      </w:r>
    </w:p>
    <w:p>
      <w:r>
        <w:t>When comparing the winners of the awards for the 51 common registrations, it is observed that in 2007, 41 were awarded to the same company that was awarded in 2004 (registrations numbered in the table from 1 to 41). Of the remaining ten registrations, six of them (42 to 47) were awarded in 2007 to TELEBEARING (TB), which was the distributor of SKF, the company that was awarded in 2004. Of the remaining four, two of them (48 and 49) were obtained by HARRY WALKER (HW), which did not participate in the cartel; the other two registrations (50 and 51) are the only cases where, having obtained an award in 2004 by a cartel company, it was awarded to another cartel company in 2007.</w:t>
      </w:r>
    </w:p>
    <w:p>
      <w:r>
        <w:t>All this data can be verified in the aforementioned table prepared by the DC based on the information in the file.</w:t>
      </w:r>
    </w:p>
    <w:p>
      <w:r>
        <w:rPr>
          <w:b/>
        </w:rPr>
        <w:t>[Pages 28–30]</w:t>
      </w:r>
    </w:p>
    <w:p>
      <w:r>
        <w:t>REGISTRATION Awarded in 2004 Awarded in 2007</w:t>
        <w:br/>
        <w:t>33 19301081 SKF SKF</w:t>
        <w:br/>
        <w:t>34 19301083 SKF SKF</w:t>
        <w:br/>
        <w:t>35 19301087 NSK NSK</w:t>
        <w:br/>
        <w:t>36 19301094 NSK NSK</w:t>
        <w:br/>
        <w:t>37 19301096 NSK NSK</w:t>
        <w:br/>
        <w:t>38 19301106 FAG FAG</w:t>
        <w:br/>
        <w:t>39 19301107 FAG FAG</w:t>
        <w:br/>
        <w:t>40 19301118 NSK NSK</w:t>
        <w:br/>
        <w:t>41 19301140 HW HW</w:t>
        <w:br/>
        <w:t>42 8303202 SKF TB</w:t>
        <w:br/>
        <w:t>43 19033377 SKF TB</w:t>
        <w:br/>
        <w:t>44 19033405 SKF TB</w:t>
        <w:br/>
        <w:t>45 19033455 SKF TB</w:t>
        <w:br/>
        <w:t>46 19033600 SKF TB</w:t>
        <w:br/>
        <w:t>47 19034465 SKF TB</w:t>
        <w:br/>
        <w:t>48 6500302 SKF HW</w:t>
        <w:br/>
        <w:t>49 7708618 SKF HW</w:t>
        <w:br/>
        <w:t>50 6431216 FAG SKF</w:t>
        <w:br/>
        <w:t>51 19048320 SKF FAG</w:t>
      </w:r>
    </w:p>
    <w:p>
      <w:r>
        <w:t>In relation to registration 19048320 (51), it is noteworthy that it was awarded to SKF despite having higher prices than those offered by SCHAEFFLER, which did not happen in the 2007 tender, where the company that offered a lower price was awarded. Regarding this registration, in response to the information request made by the DC, RENFE-Operadora indicated that registration 19048320 was awarded in 2004 to SKF, despite having offered a price more than double that of SCHAEFFLER, because the specific conditions of the tender established as an essential requirement for the award of this supply, the prior approval of the products by the Engineering and Quality Directorate of the UN of MIT or any other competent body of Renfe, relating to the registrations of the tender that required such approval and that the aforementioned registration had that requirement and was technically linked to SKF. Consequently, the award of the supply for the aforementioned registration was established in favor of that company22.</w:t>
        <w:br/>
        <w:t>22 Response from RENFE-Operadora to the information request made by the Competition Directorate (pages 2724 and 2725).</w:t>
      </w:r>
    </w:p>
    <w:p>
      <w:r>
        <w:t>Thus, it can be concluded that in relation to the 2007 tender, the companies participating in the cartel complied with what was agreed and the registrations tendered were awarded following, in their vast majority, what was established by the cartel (47 out of 51 registrations). In fact, there is a chain of internal emails from SCHAEFFLER in the file mentioning NSK's complaint regarding registration 19033335 (no. 16 of the table), which had been awarded by RENFE-Operadora to SCHAEFFLER and which NSK believed should have been assigned to them respecting the agreement established by the cartel. In response to this complaint, SCHAEFFLER decided to modify the supply conditions, specifically, the deadline for supplying that type of bearing in order to avoid that registration being ultimately awarded to them, trying to ensure that NSK was indeed awarded, following what was agreed by the cartel23:</w:t>
        <w:br/>
        <w:t>“(...) I have passed this information to RENFE but we still do not know if they will award it to us or not. We have done this because NSK gave us a warning for being a historical type for them. To avoid a war in this regard, it was preferred to lose options for them to award it to us and give a longer deadline (...)”.</w:t>
        <w:br/>
        <w:t>Thus, in the aforementioned chain of emails, there is also communication to RENFE-Operadora by SCHAEFFLER of the change in conditions regarding the supply deadline for that registration24:</w:t>
        <w:br/>
        <w:t>“Dear Mr. (RENFE-Operadora):</w:t>
        <w:br/>
        <w:t>This week we sent you an email that included a table with the revised deadlines for the registrations discussed during the visit. In one of them, specifically registration 19033335 (ref. FAG NU319EM1P6F1C4), we have detected a delay regarding what was communicated in that table. Due to capacity issues and all ongoing productions being covered, the deadline for that registration would ultimately be more than 24 months, invalidating the previous information. We apologize for any inconvenience this change may have caused (...).</w:t>
        <w:br/>
        <w:t>Schaeffler Iberia s.l.”.</w:t>
        <w:br/>
        <w:t>In fact, according to the information provided by RENFE, it is observed that that registration -19033335- was ultimately awarded to NSK, as had been previously agreed by the cartel25. Similarly, if the data from the 2007 tender is analyzed and compared with the data from the 2004 tender, taking into account the prices offered by the companies for the common registrations, it is observed that there is a significant increase in prices compared to those offered in 2004.</w:t>
        <w:br/>
        <w:t>23 Internal email from SCHAEFFLER dated January 2, 2008, Subject: “Re: Review EUROCONTRACT 2008-2011 file: Ex/2007/03415/000.00”, obtained during the inspection of SCHAEFFLER (page 1776).</w:t>
        <w:br/>
        <w:t>24 Email sent by SCHAEFFLER to Renfe-Operadora on December 21, 2007, Subject: “Re: Review EUROCONTRACT 2008-2011 file: Ex/2007/03415/000.00”, obtained during the inspection of SCHAEFFLER (pages 1776 and 1777).</w:t>
        <w:br/>
        <w:t>25 Information provided by RENFE-Operadora (pages 1359 to 1773), in response to the information request made.</w:t>
      </w:r>
    </w:p>
    <w:p>
      <w:r>
        <w:t>To facilitate the comparison of this data, the DC prepared a table (Common registrations tender 2004-2007) in which the following is provided:</w:t>
        <w:br/>
        <w:t>The registration code.</w:t>
        <w:br/>
        <w:t>-</w:t>
        <w:br/>
        <w:t>The prices in euros offered in 2004 for each registration by the companies, with the price offered by the company that was awarded each registration highlighted in bold.</w:t>
        <w:br/>
        <w:t>The awardee of each registration in the 2004 tender.</w:t>
        <w:br/>
        <w:t>-</w:t>
        <w:br/>
        <w:t>The prices in euros offered in 2007 for each registration by the companies, with the price offered by the company that was awarded each registration highlighted in bold.</w:t>
        <w:br/>
        <w:t>The awardee of each registration in the 2007 tender.</w:t>
        <w:br/>
        <w:t>-</w:t>
        <w:br/>
        <w:t>The price increase26 in percentage in the offers submitted by the companies for the common registrations in the 2004 and 2007 tenders.</w:t>
        <w:br/>
        <w:t>As can be seen in the table, PERMARÍN -the distributor of NSK- submitted offers with price increases exceeding 13% in 12 of the 15 registrations. For its part, SKF directly increased the prices of its bearings in 30 of the 38 registrations offered above the established 14%, and in 29 of the 38 the increase was greater than 16%. Regarding SCHAEFFLER (which in the table is represented under its brand, FAG), it also increased its prices, between 8 and 10%. Below is the aforementioned comparative table prepared by the DC, taking into account the documentation provided by NSK in its leniency application, as well as that provided by RENFE-Operadora, SCHAEFFLER, SKF, and NSK in response to the information requests made, with the 51 registrations included in both the RENFE tender of 2004 and that of 2007 and subject to distribution by the companies participating in the cartel27:</w:t>
        <w:br/>
        <w:t>26 [(Price 2007 – Price 2004)/price 2004]*100.</w:t>
        <w:br/>
        <w:t>27 Information provided by NSK in its application for exemption from the payment of a fine (pages 117, 170 to 174 and 2439 to 2444) and information provided by SCHAEFFLER (pages 2459 to 2473), SKF (pages 2536 to 2559), NSK (pages 2561 to 2576) and RENFE-Operadora (pages 1359 to 1773, 2724 and 2725), in response to the information requests made.</w:t>
      </w:r>
    </w:p>
    <w:p>
      <w:r>
        <w:rPr>
          <w:b/>
        </w:rPr>
        <w:t>[Pages 31–33]</w:t>
      </w:r>
    </w:p>
    <w:p>
      <w:r>
        <w:t>Common registrations tender 2004-2007</w:t>
      </w:r>
    </w:p>
    <w:p>
      <w:r>
        <w:t>REGISTRATION 2004 2004 2007 2007 Increase 2004-2007 in %</w:t>
        <w:br/>
        <w:t>NSK BARLO TELE NSK</w:t>
        <w:br/>
        <w:t>FAG SKF HW FAG SKF HW FAG SKF HW NSK</w:t>
        <w:br/>
        <w:t>(PERMARÍN) BEARING BEARING (PERMARÍN)</w:t>
        <w:br/>
        <w:t>6431210 86.4 104.8 FAG 93.28 145.22 162.5 108.78 FAG 7.96 38.57</w:t>
        <w:br/>
        <w:t>6600176 263.08 612.36 HW 585.37 621 690 HW 122.51 12.68</w:t>
        <w:br/>
        <w:t>7600020 401.94 652.38 SKF 577.15 624 667 SKF 43.59 2.24</w:t>
        <w:br/>
        <w:t>7641096 463.39 611.15 FAG 467.38 841.91 716.65 876 540 FAG 0.8 81.68</w:t>
        <w:br/>
        <w:t>7641130 268 401.51 SKF 335.2 423.11 454.08 465 SKF 57.88</w:t>
        <w:br/>
        <w:t>7700706 310.8 224.55 NSK 575 249.33 NSK 11.04</w:t>
        <w:br/>
        <w:t>9871148 2.2 2.83 1.91 2.35 SKF 2.43 2.83 2.7 2.8 2.27 SKF 10.45 0 -3.4</w:t>
        <w:br/>
        <w:t>19003498 36.8 36.75 31.58 50.25 SKF 40.66 48.68 70 51 54.17 SKF 10.49 32.46 61.49 7.8</w:t>
        <w:br/>
        <w:t>19003500 49.93 46.84 72.3 SKF 55.17 53.38 76.7 58.5 SKF 10.49 13.96</w:t>
        <w:br/>
        <w:t>19003535 66.37 60.81 45.13 SKF 73.34 72.92 95.64 77 80.6 SKF 10.5 19.91</w:t>
        <w:br/>
        <w:t>19003539 222.95 177.73 129.47 SKF 230.5 245 217.05 SKF 29.69</w:t>
        <w:br/>
        <w:t>19015095 109.6 124.59 FAG 113.19 137.59 125.56 146 114 FAG 3.28 10.43</w:t>
        <w:br/>
        <w:t>19033260 83.21 109.32 69.53 NSK 91.95 140.35 118.97 140 79.61 NSK 10.5 28.38 14.5</w:t>
        <w:br/>
        <w:t>19033270 80 112.89 FAG 77.01 145 117.1 160.5 67.57 FAG -3.74 28.44</w:t>
        <w:br/>
        <w:t>19033299 92 121.5 96.9 FAG 100.47 173.12 154.05 111.5 FAG 9.21 42.49 15.07</w:t>
        <w:br/>
        <w:t>19033335 137 148.76 140.3 NSK 151.39 199.61 232.13 299 154.93 NSK 10.5 34.18 10.43</w:t>
        <w:br/>
        <w:t>19033620 518 614.74 FAG 550 734.87 661.97 805 654.44 FAG 6.18 19.54</w:t>
      </w:r>
    </w:p>
    <w:p>
      <w:r>
        <w:t>REGISTRATION 2004 2004 2007 2007 Increase 2004-2007 in %</w:t>
        <w:br/>
        <w:t>NSK BARLO TELE NSK</w:t>
        <w:br/>
        <w:t>FAG SKF HW FAG SKF HW FAG SKF HW NSK</w:t>
        <w:br/>
        <w:t>(PERMARÍN) BEARING BEARING (PERMARÍN)</w:t>
        <w:br/>
        <w:t>19037298 189.15 184.41 SKF 205.32 220.15 197.98 253 232.05 SKF 8.55 19.38</w:t>
        <w:br/>
        <w:t>19037444 251.3 427.95 FAG 275.76 436.42 536.78 485 527.8 FAG 9.73 1.98</w:t>
        <w:br/>
        <w:t>19048328 230 149.24 SKF 178.6 205 186.6 SKF 19.67</w:t>
        <w:br/>
        <w:t>19048355 88.8 99.57 SKF/FAG 97.65 123.66 129 159 SKF/FAG 9.97 24.19</w:t>
        <w:br/>
        <w:t>19048358 308.97 SKF 370.28 415 367.72 SKF 19.84</w:t>
        <w:br/>
        <w:t>19065340 68 70.86 74.5 FAG 74.1 92.57 138 84.93 FAG 8.97 30.64 14</w:t>
        <w:br/>
        <w:t>19065341 48 65.25 90 FAG 52.58 94.6 95 90 FAG 9.54</w:t>
        <w:br/>
        <w:t>19065510 451.14 571.36 514.47 294.2 NSK 498.61 764.38 333.62 NSK 10.52 13.4</w:t>
        <w:br/>
        <w:t>19065650 190 280.25 NSK 395 416 319.5 NSK 14.01</w:t>
        <w:br/>
        <w:t>19065651 319.97 SKF 405 450 SKF 26.57</w:t>
        <w:br/>
        <w:t>19065700 779.85 728.88 459.48 NSK 732.83 812 1134.01 519.44 NSK 55.58 13.05</w:t>
        <w:br/>
        <w:t>19065750 924.5 3,854.20 1,019.22 HW 1,050 1,610 1,045 1,160.86 HW 13.57 2.53</w:t>
        <w:br/>
        <w:t>19301073 351.62 329.58 SKF 354.95 384.36 502.19 405 445.8 SKF 0.95 16.62</w:t>
        <w:br/>
        <w:t>19301077 399 272.23 SKF 321.4 365 304.3 SKF 18.06</w:t>
        <w:br/>
        <w:t>19301079 214.26 206.3 161.45 NSK 183.6 NSK 13.72</w:t>
        <w:br/>
        <w:t>19301081 269.98 1,235.78 SKF 322.41 370 1,235 SKF 19.42 -0.06</w:t>
        <w:br/>
        <w:t>19301083 498.14 485.81 SKF 514.2 558.36 788.44 620 630.28 SKF 3.22 14.93</w:t>
        <w:br/>
        <w:t>19301087 1,150.60 742 NSK 853.3 NSK 15</w:t>
        <w:br/>
        <w:t>19301094 1,900 419.85 NSK 1,540 1,675 478.6 NSK 13.99</w:t>
        <w:br/>
        <w:t>19301096 2,585.40 413.47 NSK 1,550 1,675 473.13 NSK 14.43</w:t>
        <w:br/>
        <w:t>19301106 420 FAG 1,781.12 2,731 519.74 FAG 324.08</w:t>
        <w:br/>
        <w:t>19301107 141.9 FAG 158.71 243.36 FAG 11.85</w:t>
      </w:r>
    </w:p>
    <w:p>
      <w:r>
        <w:t>REGISTRATION 2004 2004 2007 2007 Increase 2004-2007 in %</w:t>
        <w:br/>
        <w:t>NSK BARLO TELE NSK</w:t>
        <w:br/>
        <w:t>FAG SKF HW FAG SKF HW FAG SKF HW NSK</w:t>
        <w:br/>
        <w:t>(PERMARÍN) BEARING BEARING (PERMARÍN)</w:t>
        <w:br/>
        <w:t>19301118 2,213.25 1,539 NSK 1,757.54 NSK 14.2</w:t>
        <w:br/>
        <w:t>19301140 1,769.98 1,752 HW 1,954 2,996 1,800 2,155.84 HW 10.4 2.74</w:t>
        <w:br/>
        <w:t>-</w:t>
        <w:br/>
        <w:t>8303202 430 336.34 579.77 SKF 402.9 399 477 TB 19.79</w:t>
        <w:br/>
        <w:t>17.73</w:t>
        <w:br/>
        <w:t>19033377 257.88 SKF 310.35 352 306.72 TB 20.35</w:t>
        <w:br/>
        <w:t>19033405 218.3 216.2 SKF 241.22 257.6 322.42 288 270.12 TB 10.5 19.15</w:t>
        <w:br/>
        <w:t>19033455 375.82 372.35 SKF 415.28 411.29 460.7 498 467.04 TB 10.5 10.46</w:t>
        <w:br/>
        <w:t>19033600 1,161.47 1,090.26 SKF 1,302.56 1,859.20 1,396 1,376.22 TB 19.47</w:t>
        <w:br/>
        <w:t>6500302 411 403.33 120 SKF 477.12 506 399 HW 18.3 232.5</w:t>
        <w:br/>
        <w:t>19034465 387.7 378.79 SKF 428.41 467.13 425.66 515 437 TB 10.5 23.32</w:t>
        <w:br/>
        <w:t>7708618 663.92 558.83 1,123.25 SKF 2,663.00 1,122 HW 301.1 -0.11</w:t>
        <w:br/>
        <w:t>6431216 78.46 81.26 220 84.3 FAG 84.88 88.29 127.83 90 98 SKF 8.18 8.65 16.25</w:t>
        <w:br/>
        <w:t>19048320 240 495.32 SKF 265.2 490.32 397.33 491 277.9 FAG 10.5 -1.01</w:t>
      </w:r>
    </w:p>
    <w:p>
      <w:r>
        <w:t>Source: table prepared by the Competition Directorate, in accordance with the information contained in the file.</w:t>
      </w:r>
    </w:p>
    <w:p>
      <w:r>
        <w:rPr>
          <w:b/>
        </w:rPr>
        <w:t>[Pages 34–36]</w:t>
      </w:r>
    </w:p>
    <w:p>
      <w:r>
        <w:t>From the analysis of the data, it is deduced that despite the price increase implemented by the companies participating in the cartel, they maintained the award of 41 of the 51 registrations offered, a figure that would increase to 47 if we take into account those obtained by TELEBEARING, distributor of SKF. This must be attributed to the agreement maintained among the competing companies participating in the cartel for the allocation of the historical registrations to each of them.</w:t>
      </w:r>
    </w:p>
    <w:p>
      <w:r>
        <w:t>Therefore, the documentation in the file, specifically that collected during the inspections and that provided by the entities involved and by RENFE-Operadora in response to the information requests made regarding the offers submitted by the companies in the tenders of 2004 and 2007, corroborates the information provided by NSK in its leniency application, confirming the maintenance of the cartel in the 2007 tender. Thus, the companies in the cartel maintained their historical registrations and significantly increased their prices as a result of the agreement reached among them.</w:t>
      </w:r>
    </w:p>
    <w:p>
      <w:r>
        <w:t>4.2.3. Tender of 2011</w:t>
      </w:r>
    </w:p>
    <w:p>
      <w:r>
        <w:t>On August 5, 2011, the announcement of the RENFE-Operadora tender No. 2011-02314 was published in the BOE, for the supply of industrial bearings for railway vehicles, with an estimated total value of the acquisitions during the entire duration of the framework agreement, excluding VAT, of 11 million euros. The duration of the contract or execution period was 48 months from the award of the contract, and the deadline for the submission of offers or requests for participation was September 12, 2011. Similarly to previous tenders, once RENFE-Operadora verified the compliance of the documentation provided by the companies that had submitted offers for the tender, the invitation letter for participation was sent, attaching the specific conditions and setting a later date for the submission of offers.</w:t>
      </w:r>
    </w:p>
    <w:p>
      <w:r>
        <w:t>From the information provided by NSK in its leniency application and that obtained during the inspection of SKF, it has been established that the companies in the cartel maintained contacts in which they agreed on the prices to be offered for the 2011 tender of RENFE-Operadora or the increases thereof, as corroborated by the information provided by RENFE-Operadora in response to the information request made by the DC. Thus, NSK met with SKF on October 24, 2011, in Zaragoza to evaluate this tender and exchanged information on the minimum prices they intended to offer for each registration. Following this meeting, NSK contacted SCHAEFFLER to inform them about the discussions with SKF in Zaragoza and, in particular, about the minimum prices of SKF related to the bearings ("registrations") that SCHAEFFLER was supplying to RENFE-Operadora.</w:t>
      </w:r>
    </w:p>
    <w:p>
      <w:r>
        <w:t>NSK presents as evidence a document with handwritten notes related to this tender taken during the meeting in Zaragoza, which contain the prices agreed upon in that meeting concerning several of the registrations of interest for these companies, as corroborated by the analysis of the tender results, observing consistency in most of these notes with the prices offered by SKF and NSK.</w:t>
      </w:r>
    </w:p>
    <w:p>
      <w:r>
        <w:t>Thus, SKF and NSK exchanged information regarding the minimum prices they intended to offer for each type of bearing to be supplied to RENFE-Operadora. Subsequently, SCHAEFFLER was informed by phone, to which the intention to increase the offered prices by 25-30% was conveyed, as stated by NSK.</w:t>
      </w:r>
    </w:p>
    <w:p>
      <w:r>
        <w:t>To facilitate the analysis of this price increase, the DC prepared the following table (Price Increases in the 2011 Tender), also included in the PR, which contains the prices of the common registrations in the RENFE-Operadora tenders of 2007 and 2011 – the winning offer is highlighted in bold – taking into account the documentation provided by NSK in its leniency application, as well as that provided by RENFE-Operadora, SCHAEFFLER, SKF, and NSK in response to the information requests.</w:t>
      </w:r>
    </w:p>
    <w:p>
      <w:r>
        <w:t>In this table, a very significant price increase by the companies participating in the cartel can be observed in the common registrations tendered in 2007 and 2011. Thus, SCHAEFFLER (designated in the table under its brand, FAG) increased its prices by an average of 17.81%, SKF by an average of 16.2%, and FEIC (the new distributor of NSK) by an average of 23.30%, following the price increase agreed upon by the cartel. These data contrast with the variation in prices in the common registrations 2004-2007 offered by HARRY WALKER, which decreased its prices by an average of 17%.</w:t>
      </w:r>
    </w:p>
    <w:p>
      <w:r>
        <w:t>This resulted in five of the registrations that had initially been awarded in 2007 to the companies of the cartel being ultimately obtained by HARRY WALKER, which had submitted lower-priced offers.</w:t>
      </w:r>
    </w:p>
    <w:p>
      <w:r>
        <w:t>Thus, it is observed that in the 2011 tender, the agreement among the companies of the cartel was not as successful as in the two previous tenders of 2004 and 2007, as RENFE-Operadora awarded registrations to companies that submitted better offers, resulting in those companies not being part of the cartel and, therefore, the prices offered being significantly lower than those offered by NSK, SKF, and SCHAEFFLER.</w:t>
      </w:r>
    </w:p>
    <w:p>
      <w:r>
        <w:t>However, it is noted that the agreed price increase was implemented by the companies of the cartel, and thus SCHAEFFLER increased its prices by an average of 17.81%, SKF by an average of 16.2%, and FEIC (NSK) by an average of 23.30%.</w:t>
      </w:r>
    </w:p>
    <w:p>
      <w:r>
        <w:t>Price Increases in the 2011 Tender</w:t>
      </w:r>
    </w:p>
    <w:p>
      <w:r>
        <w:t>Price Increase of Offer 2007-2011</w:t>
        <w:br/>
        <w:t>Registration</w:t>
        <w:br/>
        <w:t>BARLO NSK NSK NSK</w:t>
        <w:br/>
        <w:t>FAG SKF BEARING TELEBEARING HW (PERMARIN) FAG SKF HW (FEYC) FAG SKF HW (FEYC)</w:t>
        <w:br/>
        <w:t>5402280 322.49 358 658 383.12 420 18.80 -36.17</w:t>
        <w:br/>
        <w:t>5402282 229.82 243 298 273.24 221 18.89 -25.84</w:t>
        <w:br/>
        <w:t>5653380 13.47 14.3 13.45 11.5 16.75 12.69 13.69 14.88 -5.79 1.78 29.39</w:t>
        <w:br/>
        <w:t>6431210 93.28 145.22 162.5 108.78 108.11 165.5 15.90 13.97</w:t>
        <w:br/>
        <w:t>6431216 84.88 88.29 127.83 90 98 103.54 95.15 127.54 21.98 7.77 30.14</w:t>
        <w:br/>
        <w:t>6500302 477.12 506 399 420.32 406.98 -11.90 2.00</w:t>
        <w:br/>
        <w:t>6541048 173 226.8 265.27 247.5 197.9 265.22 14.39 16.94</w:t>
        <w:br/>
        <w:t>6542510 159.1 192.31 243.98 187 183.2 192 20.68</w:t>
        <w:br/>
        <w:t>6542518 500.82 732.93 734.73 821 1,166 566.13 699.45 437.5 13.04 -4.57 -62.48</w:t>
        <w:br/>
        <w:t>6542532 135.66 208.01 91.65 156.01 152.33 15.00</w:t>
        <w:br/>
        <w:t>6542856 108.12 80.72 85.9 183 124.87 368 15.49 355.90</w:t>
        <w:br/>
        <w:t>6546132 84.13 62.29 89 72.61 99.54 69.24 88.31 18.32 11.16 21.62</w:t>
        <w:br/>
        <w:t>6600176 585.37 621 690 460.76 690 -21.29</w:t>
        <w:br/>
        <w:t>6603156 43.21 43.7 48.9 46 52.85 49.88 49.6 22.31 14.14 7.83</w:t>
        <w:br/>
        <w:t>7600020 577.15 624 667 648.26 771.01 12.32 15.59</w:t>
        <w:br/>
        <w:t>7641096 467.38 841.91 716.65 876 540 536 632.24 14.68 -24.90</w:t>
        <w:br/>
        <w:t>7641130 335.2 423.11 454.08 465 407.19 550.55 21.48 30.12</w:t>
        <w:br/>
        <w:t>7700706 575 249.33 325.3 30.47</w:t>
        <w:br/>
        <w:t>8303202 402.9 399 477 526.44 538.63 30.66 12.92</w:t>
      </w:r>
    </w:p>
    <w:p>
      <w:r>
        <w:rPr>
          <w:b/>
        </w:rPr>
        <w:t>[Pages 37–39]</w:t>
      </w:r>
    </w:p>
    <w:p>
      <w:r>
        <w:t>Increase in offer price 2007-</w:t>
        <w:br/>
        <w:t>2007 2011 2011 %</w:t>
        <w:br/>
        <w:t>Registration</w:t>
        <w:br/>
        <w:t>BARLO NSK NSK NSK</w:t>
        <w:br/>
        <w:t>FAG SKF BEARING TELEBEARING HW (PERMARIN) FAG SKF HW (FEYC) FAG SKF HW (FEYC)</w:t>
        <w:br/>
        <w:t>9871148 2.43 2.83 2.7 2.8 2.27 2.95 2.72 2.27 2.22 21.40 -3.89 -2.20</w:t>
        <w:br/>
        <w:t>19003050 1.06 1.02 1.05 1.24 1.06 1.29 1.12 1.46 1.01 21.70 9.80 -4.72</w:t>
        <w:br/>
        <w:t>No offer</w:t>
        <w:br/>
        <w:t>19003110 1.68 1.92 1.8 1.79 1.45 1.95 1.83 1.48 1.84 16.07 -4.69 in 2007 26.90</w:t>
        <w:br/>
        <w:t>No offer</w:t>
        <w:br/>
        <w:t>19003360 11.98 13.06 12.43 12.2 10.23 13.98 12.88 11.91 12.93 16.69 -1.38 in 2007 26.39</w:t>
        <w:br/>
        <w:t>No offer</w:t>
        <w:br/>
        <w:t>19003415 21.07 24.32 19.75 19.3 16.38 26.02 20.46 18.92 20.56 23.49 -15.87 in 2007 25.52</w:t>
        <w:br/>
        <w:t>19003498 40.66 48.68 70 51 54.17 47.77 55.31 60.29 17.49 13.62 11.30</w:t>
        <w:br/>
        <w:t>19003500 55.17 53.38 76.7 58.5 65.2 56.31 18.18 5.49 0.00</w:t>
        <w:br/>
        <w:t>19003590 147.9 150.32 178.45 160 138 170.09 150.5 171.7 165.78 15.00 0.12 20.13</w:t>
        <w:br/>
        <w:t>19004170 2 1.84 2.07 1.9 1.75 2.42 2.09 1.95 1.86 21.00 13.59 6.29</w:t>
        <w:br/>
        <w:t>19004180 2.55 2.24 2.44 2.3 2 3.11 2.76 2.29 2.19 21.96 23.21 9.50</w:t>
        <w:br/>
        <w:t>19005181 2.98 3.85 3.25 3.36 2.63 3.41 3.11 2.68 2.63 14.43 -19.22 0.00</w:t>
        <w:br/>
        <w:t>19005310 8.05 6.35 9.84 6.85 7.6 9.66 8.83 8.21 7.01 20.00 39.06 -7.76</w:t>
        <w:br/>
        <w:t>No offer</w:t>
        <w:br/>
        <w:t>19005416 21.66 23.42 22.75 23.4 18.74 25 23.57 19.03 23.68 15.42 0.64 in 2007 26.36</w:t>
        <w:br/>
        <w:t>19007130 1.87 2.16 2.01 2.12 1.62 2.24 2.04 1.89 1.61 19.79 -5.56 -0.62</w:t>
        <w:br/>
        <w:t>19007165 1.79 2.14 2.18 2.1 1.77 2.08 2.08 1.79 1.75 16.20 -2.80 -1.13</w:t>
        <w:br/>
        <w:t>19007170 2.16 2.44 2.37 2.42 1.91 2.5 2.25 1.94 1.9 15.74 -7.79 -0.52</w:t>
        <w:br/>
        <w:t>19007176 2.06 2.54 2.51 2.51 2.02 2.39 2.39 2.06 2.01 16.02 -5.91 -0.50</w:t>
        <w:br/>
        <w:t>No offer</w:t>
        <w:br/>
        <w:t>19007190 15.35 16.06 16.15 16 13.38 17.65 16.74 15.47 16.81 14.98 4.23 in 2007 25.64</w:t>
        <w:br/>
        <w:t>19015095 113.19 137.59 125.56 146 114 129.57 138.55 14.47 0.70 0.00</w:t>
        <w:br/>
        <w:t>37</w:t>
      </w:r>
    </w:p>
    <w:p>
      <w:r>
        <w:t>Increase in offer price 2007-</w:t>
        <w:br/>
        <w:t>2007 2011 2011 %</w:t>
        <w:br/>
        <w:t>Registration</w:t>
        <w:br/>
        <w:t>BARLO NSK NSK NSK</w:t>
        <w:br/>
        <w:t>FAG SKF BEARING TELEBEARING HW (PERMARIN) FAG SKF HW (FEYC) FAG SKF HW (FEYC)</w:t>
        <w:br/>
        <w:t>19020250 10.9 18.55 11.47 17.5 9.45 13.02 35.44 19.45 91.05 0.00</w:t>
        <w:br/>
        <w:t>19033087 16.88 18.2 20.25 19.3 15.77 19.41 15.25 18.82 14.99 -16.21 19.34</w:t>
        <w:br/>
        <w:t>19033140 25.89 27.05 29.56 29.2 23.7 30.15 29.34 27.71 16.45 8.47 16.92</w:t>
        <w:br/>
        <w:t>19033260 91.95 140.35 118.97 140 79.61 108.22 127.2 101.1 17.69 -9.37 26.99</w:t>
        <w:br/>
        <w:t>19033270 77.01 145 117.1 160.5 67.57 88.86 74.24 15.39 -48.80 0.00</w:t>
        <w:br/>
        <w:t>19033291 91.22 229.9 139.87 229 98 105.5 124.44 15.65 -45.87 0.00</w:t>
        <w:br/>
        <w:t>19033299 100.47 173.12 154.05 111.5 114.17 184.22 150.35 13.64 6.41 34.84</w:t>
        <w:br/>
        <w:t>19033335 151.39 199.61 232.13 299 154.93 182.99 216.16 193.57 20.87 8.29 24.94</w:t>
        <w:br/>
        <w:t>19033405 241.22 257.6 322.42 288 270.12 293 345 21.47 33.93 0.00</w:t>
        <w:br/>
        <w:t>19033455 415.28 411.29 460.7 498 467.04 503.5 450.44 21.24 9.52 0.00</w:t>
        <w:br/>
        <w:t>19033620 550 734.87 661.97 805 654.44 621.87 615.24 13.07 -16.28 0.00</w:t>
        <w:br/>
        <w:t>19034142 36.15 48.27 47.7 51 37.14 44.26 35.24 54.5 22.43 -26.99 46.74</w:t>
        <w:br/>
        <w:t>19035060 20 21.54 26.56 23.65 35.2 23 15.22 24.67 15 -29.34 -29.91</w:t>
        <w:br/>
        <w:t>19037298 205.32 220.15 197.98 253 232.05 243.4 255.34 18.55 15.98 0.00</w:t>
        <w:br/>
        <w:t>19037444 275.76 436.42 536.78 485 527.8 316.26 324.24 14.69 -25.70 0.00</w:t>
        <w:br/>
        <w:t>19048320 265.2 490.32 397.33 491 277.9 305.98 474.3 15.38 -3.27 0.00</w:t>
        <w:br/>
        <w:t>19048355 97.65 123.66 129 159 110.55 168.32 13.21 36.12 0.00</w:t>
        <w:br/>
        <w:t>19048358 370.28 415 367.72 427.8 15.53 0.00</w:t>
        <w:br/>
        <w:t>19065340 74.1 92.57 138 84.93 85.22 110.44 15.01 19.30 0.00</w:t>
        <w:br/>
        <w:t>19065341 52.58 94.6 95 90 60.07 88.45 14.24 0.00</w:t>
        <w:br/>
        <w:t>19065510 498.61 764.38 333.62 599.01 425.12 20.14 27.43</w:t>
        <w:br/>
        <w:t>19065650 395 416 319.5 446.6 406.75 13.06 27.31</w:t>
        <w:br/>
        <w:t>38</w:t>
      </w:r>
    </w:p>
    <w:p>
      <w:r>
        <w:t>Increase in offer price 2007-</w:t>
        <w:br/>
        <w:t>2007 2011 2011 %</w:t>
        <w:br/>
        <w:t>Registration</w:t>
        <w:br/>
        <w:t>BARLO NSK NSK NSK</w:t>
        <w:br/>
        <w:t>FAG SKF BEARING TELEBEARING HW (PERMARIN) FAG SKF HW (FEYC) FAG SKF HW (FEYC)</w:t>
        <w:br/>
        <w:t>No</w:t>
        <w:br/>
        <w:t>offer</w:t>
        <w:br/>
        <w:t>in</w:t>
        <w:br/>
        <w:t>19065700 732.83 812 1134.01 519.44 492.64 629.41 662.65 2007 -44.50 27.57</w:t>
        <w:br/>
        <w:t>19068120 5.28 5.5 5.37 5.5 5.36 6.54 5.34 4.97 23.86 -2.91 -7.28</w:t>
        <w:br/>
        <w:t>19068165 7.45 7 7.4 7.5 5.6 9.27 6.75 6.83 24.43 -3.57 21.96</w:t>
        <w:br/>
        <w:t>19201145 2.42 2.65 2.48 2.65 1.69 2.87 2.15 18.60 -18.87 0.00</w:t>
        <w:br/>
        <w:t>19301073 354.95 384.36 502.19 405 445.8 430.32 381.64 21.23 -0.71 0.00</w:t>
        <w:br/>
        <w:t>19301079 183.6 224.35 22.19</w:t>
        <w:br/>
        <w:t>19301081 322.41 370 1,235 398.99 23.75 0.00</w:t>
        <w:br/>
        <w:t>19301083 514.2 558.36 788.44 620 630.28 615.87 590.34 19.77 5.73 0.00</w:t>
        <w:br/>
        <w:t>19301087 853.3 1,121 31.37</w:t>
        <w:br/>
        <w:t>19301094 1,540 1,675 478.6 629.82 31.60</w:t>
        <w:br/>
        <w:t>19301096 1,550 1,675 473.13 622.23 31.51</w:t>
        <w:br/>
        <w:t>19301118 1,757.54 2,496 42.02</w:t>
        <w:br/>
        <w:t>AVERAGE INCREASE 17.81 16.02 -17.09 23.30</w:t>
        <w:br/>
        <w:t>Source: table prepared by the Competition Directorate, according to the information in the file.</w:t>
      </w:r>
    </w:p>
    <w:p>
      <w:r>
        <w:rPr>
          <w:b/>
        </w:rPr>
        <w:t>[Pages 40–42]</w:t>
      </w:r>
    </w:p>
    <w:p>
      <w:r>
        <w:t>Thus, the existence of the aforementioned agreement is also evidenced in the tender of RENFE-Operadora for the year 2011 and, therefore, given that the duration and execution period of this was 4 years, the effects of the cartel continue to this day.</w:t>
      </w:r>
    </w:p>
    <w:p>
      <w:r>
        <w:t>LEGAL GROUNDS</w:t>
      </w:r>
    </w:p>
    <w:p>
      <w:r>
        <w:t>FIRST.- COMPETENT AUTHORIZATION</w:t>
      </w:r>
    </w:p>
    <w:p>
      <w:r>
        <w:t>In accordance with the provisions of the first additional provision of Law 3/2013, of June 4, establishing the National Commission of Markets and Competition, by Order ECC/1796/2013, of October 4, October 7, 2013, was determined as the date of commencement of operations of the CNMC. According to the second additional provision of the same Law, "the references that current legislation contains to the National Commission of Competition [...] shall be understood as made to the National Commission of Markets and Competition [...]" and "The references that Law 15/2007, of July 3, contains to the Investigation Directorate of the National Commission of Competition shall be understood as made to the Competition Directorate of the National Commission of Markets and Competition."</w:t>
      </w:r>
    </w:p>
    <w:p>
      <w:r>
        <w:t>On the other hand, according to Article 5.1.c) of Law 3/2013, it is the responsibility of the CNMC to "apply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r>
    </w:p>
    <w:p>
      <w:r>
        <w:t>Consequently, the competence to resolve this procedure corresponds to the Competition Chamber of the CNMC Council.</w:t>
      </w:r>
    </w:p>
    <w:p>
      <w:r>
        <w:t>SECOND.- OBJECT OF THE RESOLUTION AND APPLICABLE REGULATIONS</w:t>
      </w:r>
    </w:p>
    <w:p>
      <w:r>
        <w:t>In the present sanctioning file, this Chamber must resolve, based on the instruction carried out by the DC, as reflected in the Report and Proposal for Resolution, whether the investigated conduct constitutes anti-competitive practices consisting of price-fixing and market-sharing agreements that affect the sector of industrial bearings for railway vehicles in the Spanish market, which would have affected the tenders called by RENFE and RENFE-Operadora for the supply of railway bearings.</w:t>
      </w:r>
    </w:p>
    <w:p>
      <w:r>
        <w:t>The DC considers that the analyzed conduct is a practice prohibited by Article 1 of Law 16/1989, Article 1 of the LDC, and Article 101 of the TFEU. The DC understands that this conduct corresponds to the definition of a cartel, as it consisted of the adoption and implementation of agreements consisting of price-fixing and market-sharing in the sector of industrial bearings for railway vehicles in the Spanish market. Therefore, it would be a very serious, unique, complex, and ongoing infringement, whose initiation dates back to 2004 and would extend until at least 2011, although its effects would still be in force given that the duration and execution period of the 2011 tender was four years.</w:t>
      </w:r>
    </w:p>
    <w:p>
      <w:r>
        <w:t>The DC observes that the conduct extends both during the validity of Law 16/1989 and Law 15/2007, with the infringement contemplated in Article 1 of the aforementioned laws being identical. However, citing precedents from the Spanish competition authority, it concludes that the sanctioning regime designed by Law 15/2007 is, from a global perspective, more favorable to offenders than that contemplated by Law 16/1989, and therefore Law 15/2007 is the applicable legislation in this case from a substantive point of view.</w:t>
      </w:r>
    </w:p>
    <w:p>
      <w:r>
        <w:t>Furthermore, the DC argues that the collusive agreements analyzed are likely to have appreciable effects on intra-community trade and, therefore, are capable of infringing Article 101 of the TFEU. This consideration is based on the fact that the relevant market encompasses the entire national territory, given that the calling entity was RENFE and RENFE-Operadora, and that due to the type of conduct carried out and the characteristics of the companies participating in the cartel, a potential competitive disadvantage is generated for new entrants in the market, thus hindering the economic interpenetration pursued by the Treaty.</w:t>
      </w:r>
    </w:p>
    <w:p>
      <w:r>
        <w:t>Indeed, regarding the applicable national regulations, this file concerns practices carried out during the validity of Law 16/1989 and the LDC, and both laws prohibit any agreement, decision, or collective recommendation, or concerted or consciously parallel practice, that has as its object, produces, or may produce the effect of preventing, restricting, or distorting competition in all or part of the national market, and in particular, Law 16/1989 and the LDC prohibit in Article 1.1.a) agreements that have as their object, produce, or may produce the effects of "the direct or indirect fixing of prices or other commercial or service conditions" in all or part of the national market, and in its letter c) "the market or supply source sharing," opposing any contact between competitors that has as its object or may have as its effect an obstruction of effective competition.</w:t>
      </w:r>
    </w:p>
    <w:p>
      <w:r>
        <w:t>Thus, as the Council of the CNC has repeatedly pointed out in its resolutions, a criterion that this Competition Chamber fully shares (recently, in the Resolution of September 22, 2014, Expte. S/0428/12 PALÉS), it would be indifferent to apply one legal provision or another, having to opt for one of the two laws, although, according to the provisions of Article 128 of Law 30/1992, of November 26, on the Legal Regime of Public Administrations and Common Administrative Procedure, it must be the one that is more beneficial to the offender in the specific case, in accordance with the principles of non-retroactivity of the more unfavorable sanctioning norm and retroactivity of the more favorable one.</w:t>
      </w:r>
    </w:p>
    <w:p>
      <w:r>
        <w:t>This more favorable application of Law 15/2007 has been recognized on previous occasions by the Council of the CNC and the CNMC and by the National Court, which recently stated the following:</w:t>
      </w:r>
    </w:p>
    <w:p>
      <w:r>
        <w:t>"In the following reason, the plaintiff claims that the CNC has made an improper retroactive application of Law 15/2007. In this regard, it is worth noting that the conduct attributed would have begun on February 8, 1989, would have continued during the validity of Law 16/1989, of July 17, on the Defense of Competition, and would have continued under Law 15/2007, of July 3, on the Defense of Competition, which came into force on September 1, 2007, until February 28, 2008.</w:t>
      </w:r>
    </w:p>
    <w:p>
      <w:r>
        <w:t>Since the initiation of the file occurred on June 16, 2008, its processing has been carried out in accordance with the procedural rules of Law 15/2007, as it results, sensu contrario, from what is established in the First Transitional Provision of the aforementioned legal text, which states that "Sanctioning procedures regarding prohibited conduct initiated before the entry into force of this Law shall be processed and resolved in accordance with the provisions in force at the time of their initiation."</w:t>
      </w:r>
    </w:p>
    <w:p>
      <w:r>
        <w:t>But regarding the substantive law, it should be noted that without prejudice to the fact that the conduct regulated by Article 1 of both laws is identical, the truth is that the sanctioning regime designed by Law 15/2007 is, from a global perspective, more favorable to offenders than that contemplated by the previous Law 16/1989. This is evident, among other elements of judgment, from the system of graduation of infringements nonexistent in the previous legislation, the establishment of maximum limits on the amount of some sanctions of lower amounts than the general one provided for in Article 10 of Law 16/1989, the reduction of the limitation periods for some of the typified conducts, or the particularly noteworthy possibility in this case, common to all who have participated in a cartel, to request exemption or reduction of the sanction.</w:t>
      </w:r>
    </w:p>
    <w:p>
      <w:r>
        <w:t>Therefore, since both laws sanctioned exactly the same conducts, their treatment is identical as well as the quantification of the fine, since both indicate that the amount may be increased up to 10% of the sales volume corresponding to the immediate previous economic year to the resolution of the Court, it cannot be stated that the new Law is more detrimental to the plaintiff than the old one."</w:t>
      </w:r>
    </w:p>
    <w:p>
      <w:r>
        <w:t>This appreciation of Law 15/2007 as the more favorable law results, among other elements of judgment, from the system of graduation of infringements - nonexistent in the previous legislation - from the establishment of maximum limits on the amount of some sanctions.</w:t>
      </w:r>
    </w:p>
    <w:p>
      <w:r>
        <w:rPr>
          <w:b/>
        </w:rPr>
        <w:t>[Pages 43–45]</w:t>
      </w:r>
    </w:p>
    <w:p>
      <w:r>
        <w:t>sanctions of an amount lower than the general one provided for by Article 10 of Law 16/1989, the reduction of the limitation periods for some of the behaviors typified, or the possibility, common to all those who have participated in a cartel, to request the exemption from the payment of the fine or the reduction of the amount of the fine under the leniency program, introduced precisely by Law 15/2007.</w:t>
      </w:r>
    </w:p>
    <w:p>
      <w:r>
        <w:t>This Chamber considers that the application of Articles 65 and 66 cannot be understood as a mere procedural aspect, but rather as substantive, and that the possibility of benefiting from its application in cartel cases is one of the elements that determines that the applicable norm in the present sanctioning procedure is Law 15/2007, as it is deemed more favorable to the parties. This has also been pointed out by the now-defunct CNC in various resolutions.</w:t>
      </w:r>
    </w:p>
    <w:p>
      <w:r>
        <w:t>In light of all this, Law 15/2007 is the applicable norm to the present sanctioning procedure.</w:t>
      </w:r>
    </w:p>
    <w:p>
      <w:r>
        <w:t>The Council also agrees with the analysis of the DC that the investigated behaviors are indeed likely to appreciably affect intra-community trade, since the scope of these behaviors has extended throughout the national territory, given that the calling entity was RENFE and subsequently RENFE-Operadora. According to established community doctrine and as repeatedly pointed out by the CNC Council and this Chamber, if the practices being analyzed have a national scope, as is the case, it must be understood that they are likely to appreciably affect intra-community trade. Likewise, given the nature and characteristics of the analyzed behaviors as well as the companies participating in the cartel, the investigated behaviors are capable of generating a potential competitive disadvantage for new entrants in the market, thereby hindering the economic interpenetration pursued by the Treaty.</w:t>
      </w:r>
    </w:p>
    <w:p>
      <w:r>
        <w:t>Ultimately, the criteria for possible impact on trade between Member States developed in the European Commission Communication, Guidelines on the concept of effect on trade contained in Articles 81 and 82 (2004/C 101/07) are met, which, in accordance with Regulation 1/2003, requires the application of Article 101 of the TFEU for the purposes of this file.</w:t>
      </w:r>
    </w:p>
    <w:p>
      <w:r>
        <w:t>THIRD. LEGAL ASSESSMENT OF THE INSTRUCTING BODY</w:t>
      </w:r>
    </w:p>
    <w:p>
      <w:r>
        <w:t>Upon completion of the investigation of the file, the DC understands that the existence of an agreement between NSK, SKF, and SCHAEFFLER for market sharing and price fixing in the tenders of RENFE-Operadora for the supply of railway bearings for the tenders of 2004, 2007, and 2011 has been established, the effects of which would still be in force, and based on Article 50.4 of the LDC, the DC has proposed to the Council the following:</w:t>
      </w:r>
    </w:p>
    <w:p>
      <w:r>
        <w:t>− First. That the existence of a practice prohibited by Article 1 of Law 16/1989, Article 1 of the LDC, and Article 101 of the TFEU be declared, due to the agreements adopted and implemented by SCHAEFFLER IBERIA, S.L., SKF ESPAÑOLA, S.A., and NSK SPAIN, S.A., through contacts and meetings between representatives of these entities from 2004 to 2011, although their effects would still be in force given that the duration and execution period of the 2011 tender was 4 years, which falls within the definition of a cartel, in that the object of the agreements reached by these entities has consisted of price fixing and market sharing in the industrial bearings sector for railway vehicles in the Spanish market.</w:t>
      </w:r>
    </w:p>
    <w:p>
      <w:r>
        <w:t>− Second. That this collusive conduct be classified, for the purposes of determining the sanction to be imposed, as a very serious infringement under Article 62.4.a) of the LDC.</w:t>
      </w:r>
    </w:p>
    <w:p>
      <w:r>
        <w:t>− Third. That NSK SPAIN, S.A. and jointly liable its parent NSK EUROPE LTD., SCHAEFFLER IBERIA, S.L. and jointly liable its parent SCHAEFFLER AG, and SKF ESPAÑOLA, S.A. and jointly liable its parent AB SKF, be declared responsible for this infringement, in accordance with Article 61 of the LDC, for their participation in the cartel for the period from 2004 to 2011, although their effects would still be in force given that the duration and execution period of the 2011 tender was 4 years.</w:t>
      </w:r>
    </w:p>
    <w:p>
      <w:r>
        <w:t>− Fourth. That the sanction provided for in Article 63.1.c) of the LDC for very serious infringements be imposed, with a fine of up to 10% of the total turnover of the infringing entities in the financial year immediately preceding the imposition of the fine, taking into account the criteria for determining the sanction provided for in Article 64 of the LDC.</w:t>
      </w:r>
    </w:p>
    <w:p>
      <w:r>
        <w:t>− Fifth. That in application of the LDC and the RDC regarding the leniency program, and in view of the actions taken, NSK SPAIN, S.A. and its parent NSK EUROPE LTD. be exempted from the payment of the fine, in accordance with the conditional exemption granted, pursuant to Article 65.1.a) of the LDC and Article 47.1 of the RDC, for providing evidence that allowed for the ordering of an inspection in relation to the cartel described in the aforementioned exemption request. Therefore, if at the end of the sanctioning procedure, NSK SPAIN, S.A. and its parent NSK EUROPE LTD. have met the requirements of Article 65.2 of the LDC, the CNMC Council, in accordance with the proposal of the Competition Directorate, will grant them exemption from the payment of the fine that would otherwise be applicable.</w:t>
      </w:r>
    </w:p>
    <w:p>
      <w:r>
        <w:t>Taking into account the information contained in the file, the DC considers that the existence of an agreement for price fixing and the sharing of the Spanish market for industrial bearings for railway vehicles, which would have affected the tenders called by RENFE and subsequently by RENFE-Operadora in 2004, 2007, and 2011 for the supply of railway bearings, has been established.</w:t>
      </w:r>
    </w:p>
    <w:p>
      <w:r>
        <w:t>The DC states that it has been established that the cartel was organized and developed through meetings and phone calls between executives of NSK, SKF, and SCHAEFFLER, which took place coinciding with the announcement of each RENFE tender, and subsequently RENFE-Operadora, for the contracting of the supply of railway bearings in the years 2004, 2007, and 2011, given that the duration of such contracts is normally four years. Thus, RENFE (and RENFE-Operadora) publishes the tenders in the BOE a few months before the expiration of the contracts related to the previous tender. The conditions for participating in the tender are established in the announcement in the BOE, which includes a description of the legal, technical, and financial requirements to be admitted to the General Register of Suppliers of RENFE and RENFE-Operadora, as well as the deadlines for requesting participation in the tender and submitting bids.</w:t>
      </w:r>
    </w:p>
    <w:p>
      <w:r>
        <w:t>The DC understands that, once these tenders were announced by RENFE and subsequently by RENFE-Operadora, executives of the investigated companies contacted, either directly in meetings or by phone, to agree on the bids to be submitted and thus share the aforementioned tenders, maintaining in any case the assignment of the supply of references that had historically been supplied to RENFE by each of these companies.</w:t>
      </w:r>
    </w:p>
    <w:p>
      <w:r>
        <w:t>To this end, according to the DC, NSK, SKF, and SCHAEFFLER established the references or registrations that would be assigned to each company, determining the prices that each of the cartel companies should offer for each supply in their proposal to RENFE within the framework of each tender, to ensure that the result was in accordance with the strategy organized by the cartel. Furthermore, in all those occasions where the called tender allowed for the awarding by lots or models to various awardees, the offers were adjusted among the cartel companies so that each one would be awarded volumes that approximately represented the historically assigned supply.</w:t>
      </w:r>
    </w:p>
    <w:p>
      <w:r>
        <w:t>FOURTH. ALLEGATIONS PRESENTED TO THE RESOLUTION PROPOSAL</w:t>
      </w:r>
    </w:p>
    <w:p>
      <w:r>
        <w:t>On March 5, 2014, the DC submitted its Report with a resolution proposal to the CNMC Council, in which it proposes, as indicated, that the existence of practices prohibited by Article 1 of Law 16/1989, Article 1 of the LDC, and Article 101 of the TFEU be declared, and that the collusive behaviors be classified, for the purposes of determining the sanction to be imposed, as unique and ongoing very serious infringements under Article 62.4.a) of the LDC.</w:t>
      </w:r>
    </w:p>
    <w:p>
      <w:r>
        <w:t>The investigated companies have submitted allegations to the resolution proposal, which are subsequently addressed by this Chamber of the CNMC Council.</w:t>
      </w:r>
    </w:p>
    <w:p>
      <w:r>
        <w:t>4.1. On the non-existence of a cartel.</w:t>
      </w:r>
    </w:p>
    <w:p>
      <w:r>
        <w:rPr>
          <w:b/>
        </w:rPr>
        <w:t>[Pages 46–48]</w:t>
      </w:r>
    </w:p>
    <w:p>
      <w:r>
        <w:t>SKF admits to the meetings held in 2004 and 2011, as well as telephone contacts with NSK in 2007, although it denies the adoption of agreements, its possible leading role in the practices, and asserts that the general topics discussed with NSK do not constitute a competition infringement. SCHAEFFLER, for its part, denies the contacts and states that if certain isolated contacts existed, they do not constitute a cartel and that the documentation provided by NSK does not confirm any alleged cartel.</w:t>
      </w:r>
    </w:p>
    <w:p>
      <w:r>
        <w:t>Response from the Competition Chamber:</w:t>
        <w:br/>
        <w:t>According to the established facts, it is recorded in the file that the companies involved divided the registrations offered in the 2004 tender, coinciding with the 2001 tender. It is noted that such a division agreement was adopted by the cartel companies regarding the offers to be submitted in the 2004 tender and that this agreement was effectively implemented. This is evidenced by the handwritten notes provided by NSK in its leniency application, taken by the NSK executive who actively participated in the investigated events. These notes are undated but can be dated to have been prepared prior to the 2004 tender. Such notes reflecting the objective that each participating company in the cartel maintain its supply quota with RENFE at the prices agreed upon by the cartel are corroborated by the offers submitted by the companies and the final award made, which presents a degree of coincidence that can only be explained by the existence of the aforementioned behaviors, and the involved parties have not been able to provide any plausible alternative explanation to counter such evidence.</w:t>
      </w:r>
    </w:p>
    <w:p>
      <w:r>
        <w:t>Regarding the 2011 tender, the file contains the exchange of information between SKF and NSK concerning the minimum prices they intended to offer for each type of bearing to be supplied to RENFE-Operadora, and the subsequent information to SCHAEFFLER regarding the intention to increase the offered prices by between 25% and 30%. The analysis of the final prices offered indeed reveals a very significant price increase by the cartel companies, thus corroborating the information provided in the information requests and the contacts evidenced by the telephone records. The investigation reveals that in the tenders of 2007 and 2011, a price review was expressly foreseen starting from the second year, therefore, against the allegations made by SCHAEFFLER, there was no reason to anticipate a possible increase in the production costs of railway bearings, and such an increase could not be attributed to a rise in costs, as evidenced by the decrease in prices offered by another participating company in the tender that was not part of the cartel.</w:t>
      </w:r>
    </w:p>
    <w:p>
      <w:r>
        <w:t>As detailed below in response to the allegations regarding the assessment of the leniency application submitted by NSK, it is also worth highlighting the particularly high evidentiary value recognized for the self-incriminating statements made by executives of the cartel companies, as noted by the DC in its resolution proposal and recognized by community jurisprudence, given the considerable economic and legal risks that it entails for the declaring company to acknowledge the existence of an infringement.</w:t>
      </w:r>
    </w:p>
    <w:p>
      <w:r>
        <w:t>This community jurisprudence regarding the special credibility of the company that acknowledges its participation in a cartel has also been accepted in several resolutions of the Spanish competition authority and coincides with the position of the National Court regarding the assessment of the confession of the facts made by some involved in the infringement.</w:t>
      </w:r>
    </w:p>
    <w:p>
      <w:r>
        <w:t>4.2. On the existence of a single and continuous infringement: prescription</w:t>
        <w:br/>
        <w:t>SKF states that there is no continuous infringement and that at least the alleged agreement for the 2004 tender would have expired. SCHAEFFLER claims that it was not part of a single and continuous infringement.</w:t>
      </w:r>
    </w:p>
    <w:p>
      <w:r>
        <w:t>Response from the Competition Chamber:</w:t>
        <w:br/>
        <w:t>Article 68 of the LDC states that very serious infringements will expire after four years. The term of prescription will be computed from the day the infringement was committed or, in the case of continuous infringements, from when they ceased. Furthermore, in its third section, it states that the prescription is interrupted by any act of the Administration with formal knowledge of the interested party aimed at compliance with the Law and by the acts carried out by the interested parties in order to ensure, complete, or execute the corresponding resolutions.</w:t>
      </w:r>
    </w:p>
    <w:p>
      <w:r>
        <w:t>In this regard, it is pertinent for this Chamber to bring to attention the ruling of the Supreme Court dated November 6, 2013 (2736/2010), which, in relation to the prescription of infringements provided for in competition law, states the following:</w:t>
        <w:br/>
        <w:t>“In the field of Criminal Law, from which the construction of the continuous infringement originates, the 2nd Chamber of the Supreme Court has indicated that the computation of the prescription of continuous crimes does not begin until the last of the acts constituting the criminal continuity is carried out. This is recognized in the ruling of September 30, 2008 (appeal 2305/2007, of the 2nd Chamber): and it is a reiterated jurisprudential doctrine that in the hypothesis of criminal continuity, the computation of the prescription period does not start until the last act constituting that chain of actions obedient to the same and unique plan conceived by the acting subject is carried out. The starting point or days a quo for the computation of the prescription time, even in the case of a continuous crime, begins when the wrongful act being judged is completed.</w:t>
      </w:r>
    </w:p>
    <w:p>
      <w:r>
        <w:t>Therefore, the initial moment is not altered by being a continuous infringement, as the last of the accused's clumsy actions will be the one that counts.</w:t>
        <w:br/>
        <w:t>[...] Thus, if all the agreements and practices described in the legal basis no. 5 of this ruling constitute a continuous infringement, the prescription could not be appreciated, even if many of those agreements were adopted in the early 1990s, that is, fifteen years before the initiation of the sanctioning file, because all of them would constitute a single infringement, which had not ceased when the sanctioning file was initiated in 2005.”</w:t>
      </w:r>
    </w:p>
    <w:p>
      <w:r>
        <w:t>Regarding the existence of a continuous infringement, the established facts reveal that we are faced with an infringing behavior constituted by a plurality of actions that infringe the same provision, executed under a preconceived plan, with the infringers persisting in their commission and taking advantage of the successive identical opportunities provided by the tenders of RENFE and subsequently RENFE Operadora. This fits within the concept of continuous infringement as outlined in Article 4 of Royal Decree 1398/1993, of August 4, which approves the Regulation of the Procedure for the Exercise of the Sanctioning Power.</w:t>
      </w:r>
    </w:p>
    <w:p>
      <w:r>
        <w:t>For this Chamber, all the described facts must clearly be considered a single and continuous infringement, without it being argued that we are facing autonomous and independent behaviors from each other.</w:t>
      </w:r>
    </w:p>
    <w:p>
      <w:r>
        <w:t>As stated in the ruling of the Court of Justice of December 6, 2012, (Case C-441/11): “According to established jurisprudence, an infringement of Article 81 EC, paragraph 1, currently 101.1 TFEU, can result not only from an isolated act but also from a series of acts or even from a continuous behavior, even when one or several elements of that series of acts or the continuous behavior may also constitute by themselves and when considered in isolation an infringement of the aforementioned provision. Therefore, when the various actions are part of a ‘joint plan’ due to their identical object that distorts competition within the internal market, the Commission may attribute responsibility for those actions based on participation in the infringement considered as a whole.”</w:t>
      </w:r>
    </w:p>
    <w:p>
      <w:r>
        <w:t>This community jurisprudence has also been accepted by the National Court and by the Spanish competition authority.</w:t>
      </w:r>
    </w:p>
    <w:p>
      <w:r>
        <w:t>The qualification of the behavior as a continuous infringement has the evident consequence that the computation of the prescription period for it cannot begin until the behavior has concluded. The Supreme Court has had the opportunity to express itself on continuous infringement in the field of competition law.</w:t>
      </w:r>
    </w:p>
    <w:p>
      <w:r>
        <w:rPr>
          <w:b/>
        </w:rPr>
        <w:t>[Pages 49–51]</w:t>
      </w:r>
    </w:p>
    <w:p>
      <w:r>
        <w:t>administrative application of competition law, both under Law 16/1989 and the current LDC (see, among others, Judgment of the TS of November 6, 2013 and the cases cited therein).</w:t>
      </w:r>
    </w:p>
    <w:p>
      <w:r>
        <w:t>In light of the above, considering that the infringement assessed here is classified as very serious, that it constitutes a single and continuous infringement, and that its effects would still be in force given that the duration and execution period of the 2011 tender was four years, it is not possible to understand that the infringement has expired in any case.</w:t>
      </w:r>
    </w:p>
    <w:p>
      <w:r>
        <w:t>4.3. On the assessment of the leniency application submitted by NSK</w:t>
      </w:r>
    </w:p>
    <w:p>
      <w:r>
        <w:t>Both SKF and SCHAEFFLER allege that NSK has provided inaccurate testimony, and that the DC relies on inconclusive and unauthenticated documents and an inadequate analysis of the tenders to conduct the investigation of this file. Given NSK's relatively minor importance in the Spanish railway bearings market, they question whether SCHAEFFLER or SKF could have incentives to reach agreements with NSK, which would instead be the only company benefiting from the existence of a cartel. SCHAEFFLER and SKF consider that NSK's leniency statements and their subsequent corroboration do not meet the legally required standards of proof. They also argue, somewhat contradictorily regarding their questioning of the existence of a cartel, that NSK should be considered the instigator of the cartel and that it continued to participate in the alleged conduct after its communication to the competition authorities.</w:t>
      </w:r>
    </w:p>
    <w:p>
      <w:r>
        <w:t>Response from the Competition Chamber:</w:t>
      </w:r>
    </w:p>
    <w:p>
      <w:r>
        <w:t>The DC clarifies, based on a detailed chronological exposition of the facts, that the first notice the investigating body of the Spanish competition authority had regarding the facts investigated in this sanctioning file (the railway bearings market in Spanish territory) occurred on November 13, 2012. By that date, at the time NSK completed the abbreviated leniency application, it had ended its participation in the railway bearings cartel. Furthermore, as noted by the DC, having obtained conditional immunity for providing evidence that allowed the Spanish competition authority to order an inspection regarding the cartel described in its exemption application, it was not decisive for NSK to clarify the participation of the other companies involved in the cartel in order to benefit from the leniency program, which should serve to assess the information that NSK continued to provide, mainly statements from NSK executives involved in the practices under investigation. Such information is usually presented once the investigation is public and there is no risk of jeopardizing the investigation.</w:t>
      </w:r>
    </w:p>
    <w:p>
      <w:r>
        <w:t>Since NSK was unaware of the information gathered during the inspections conducted at SKF and SCHAEFFLER until the public version of it became available, it cannot be concluded that the information provided by NSK after the inspections sought to aggravate the investigated conduct. Such information describes the contacts maintained and the functioning of the cartel without indicating a leadership role regarding any of the cartel companies.</w:t>
      </w:r>
    </w:p>
    <w:p>
      <w:r>
        <w:t>The limited presence of NSK in the railway bearings market in Spain does not undermine the information and evidence provided by it in its leniency application. In its case, this limited relevance of NSK in the Spanish market makes it less explainable that it had information, regarding its competitors, contained in the notes provided by NSK in such leniency application. Furthermore, as demonstrated by the case of HARRY WALKER RODAMIENTOS, S.A., a company with little presence can successfully submit competitive bids in those tenders, thus having an incentive to gain market share.</w:t>
      </w:r>
    </w:p>
    <w:p>
      <w:r>
        <w:t>The significant evidentiary value of the self-incrimination made by cartel participants has already been anticipated, as recognized by community jurisprudence and various resolutions of the Spanish competition authority. Thus, the recent judgment of the General Court of June 5, 2012 (case T-214/06, Imperial Chemical Industries Ltd / Commission) clarifies:</w:t>
      </w:r>
    </w:p>
    <w:p>
      <w:r>
        <w:t>“(59) A certain distrust regarding the voluntary statements of the main participants in an illegal cartel is understandable, as such participants could minimize the importance of their contribution to the infringement and maximize that of others. However, given the inherent logic of the procedure provided for in the Communication on cooperation, the fact of requesting the benefit of its application to obtain a reduction in the amount of the fine does not necessarily create an incentive to present distorted evidence regarding the other participants in the investigated cartel. Indeed, any attempt to mislead the Commission could call into question the sincerity and completeness of the company's cooperation and, therefore, jeopardize the possibility of it fully benefiting from the Communication on cooperation (Judgments of the Court of November 16, 2006, Organic Peroxides/Commission, T-120/04, Rec. p. II-4441, paragraph 70, and Lafarge/Commission, cited in paragraph 53 above, paragraph 58).</w:t>
      </w:r>
    </w:p>
    <w:p>
      <w:r>
        <w:t>(60) In particular, it must be considered that the fact that a person confesses to having committed an infringement and thus acknowledges the existence of facts that exceed what could be directly deduced from such documents implies a priori, unless special circumstances indicate otherwise, that such person has resolved to tell the truth. Thus, statements contrary to the interests of the declarant must be considered, in principle, especially reliable evidence (Judgments of the Court JFE Engineering and others/Commission, cited in paragraph 54 above, paragraphs 211 and 212; of April 26, 2007, Bolloré and others/Commission, T-109/02, T-118/02, T-122/02, T-125/02, T-126/02, T-128/02, T-129/02, T-132/02 and T-136/02, Rec. p. II 947, paragraph 166, and Lafarge/Commission, cited in paragraph 53 above, paragraph 59).”</w:t>
      </w:r>
    </w:p>
    <w:p>
      <w:r>
        <w:t>At the national level, it is appropriate to cite the judgment of the Audiencia Nacional of October 26, 2012, which ratifies the assessment of the evidence made by the CNC, stating:</w:t>
      </w:r>
    </w:p>
    <w:p>
      <w:r>
        <w:t>“Well, assessing the evidence as a whole, both the documents and the payments, as well as the confession of the facts by some involved parties, it is undoubtedly concluded that the previous factual account has been fully proven. […] Well, all the factual elements indicated – citations in documents, payments made, and confessions of some involved parties – lead to only one possible conclusion, which is the participation of the appellant in the facts attributed to it; without a reasonable alternative explanation being offered, fundamentally regarding the payments made, and without the Chamber finding any explanation different from that given by the CNC regarding the facts at hand.”</w:t>
      </w:r>
    </w:p>
    <w:p>
      <w:r>
        <w:t>Similarly, the judgment of the Audiencia Nacional of November 30, 2012 reiterates the relevance of the confessions of other involved companies as a means of evidence:</w:t>
      </w:r>
    </w:p>
    <w:p>
      <w:r>
        <w:t>“assessing the evidence as a whole, both the documents and the confessions of the facts by some involved parties, as well as the operations in the tenders, the participants, awardees, and the discounts, it is undoubtedly concluded that the previous factual account has been fully proven. It is not only a matter of assessing the participation of the acting entity in the 2008 meeting, but also its subsequent behavior in the tenders, elements that, converging with other proven facts, imply a set of facts from which the attribution made can be concluded. (…).”</w:t>
      </w:r>
    </w:p>
    <w:p>
      <w:r>
        <w:t>Regarding the veracity of the evidentiary elements in the file, in addition to what has been stated about the special evidentiary value of the acknowledgments of participation in the cartel, the DC has corroborated and completed the information provided by the applicant for exemption from the payment of the fine, as required, through inspections carried out at the headquarters of SKF and SCHAEFFLER, information provided by the accused companies, and information gathered from RENFE-Operadora. Through the inspections and information requests, data and information have been obtained, including internal emails from the other initiated cases apart from the lenient one, consistent and coherent with the documents provided by NSK in its leniency application.</w:t>
      </w:r>
    </w:p>
    <w:p>
      <w:r>
        <w:t>4.4. On the absence of implementation or effects</w:t>
      </w:r>
    </w:p>
    <w:p>
      <w:r>
        <w:t>SKF alleges the total absence of implementation or effect of the infringement, and SCHAEFFLER states that if there had been any hypothetical agreement or common understanding, it was not respected by the parties.</w:t>
      </w:r>
    </w:p>
    <w:p>
      <w:r>
        <w:t>Response from the Competition Chamber:</w:t>
      </w:r>
    </w:p>
    <w:p>
      <w:r>
        <w:t>In restrictions by object, such as the cartel under investigation, it is not necessary to demonstrate the existence of effects, without prejudice to their possible consideration.</w:t>
      </w:r>
    </w:p>
    <w:p>
      <w:r>
        <w:rPr>
          <w:b/>
        </w:rPr>
        <w:t>[Pages 52–54]</w:t>
      </w:r>
    </w:p>
    <w:p>
      <w:r>
        <w:t>the effects of quantifying the fine. As the Spanish competition authority has repeatedly stated, proof of actual anti-competitive effects is not required when the anti-competitive object of the reproached behaviors has been proven. Similarly, the Court of Justice of the European Union has stated that: “it should be recalled that, according to established case law, in the context of the application of Article 101 TFEU, paragraph 1, the assessment of the specific effects of an agreement is superfluous when it is found that they have the object of preventing, restricting or distorting competition (see, in this regard, the judgments of July 13, 1966, Consten and Grundig/Commission, 56/64 and 58/64, Rec. p. 429, and of December 8, 2011 [CJEU 2011, 399], KME). In this regard, the Court of Justice has stated that the distinction between “object infringements” and “effect infringements”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of June 4, 2009, T-Mobile Netherlands and others, C-8/08, Rec. p. I-4529, paragraph 29). Therefore, it should be considered that an agreement that may affect trade between Member States and has an anti-competitive object constitutes, by its very nature and regardless of its specific effects, a significant restriction of competition.” The Supreme Court in its judgment of December 18, 2007, in a similar sense, has stated that: "Regarding the plaintiff's allegations that its behavior had no negative effects in the market since it did not reflect in prices or in market sharing nor, ultimately, in the fact that the sanctioned companies maintained, improved or increased their market power, it is sufficient to point out two things. First, that the sanction of the behaviors included in Article 1 of the Competition Defense Law does not require that such effects have occurred, but only that they may occur, which would already avoid having to examine such arguments." The Supreme Court, in its judgment of September 12, 2013 (appeal 6932/2010), also states: “First, it is necessary to recall that the behaviors prohibited by Article 1 of the Competition Defense Law are those that can produce anti-competitive effects, without it being necessary - as we have reiterated in constant case law - for such effects to have actually occurred.”</w:t>
      </w:r>
    </w:p>
    <w:p>
      <w:r>
        <w:t>In any case, this Chamber agrees with the assessment of the DC in the sense that the price-fixing and market-sharing agreements were not only adopted but also implemented, as has been evidenced in the investigation of the file, where it is demonstrated how the agreements adopted by the companies participating in the cartel were carried out, with the consequent elimination of the necessary uncertainty among such companies when establishing their commercial strategy, which resulted in anti-competitive effects consisting of an increase in the final award prices of supplies (an average of 4% for the 2004 tender and 16% for the 2007 and 2011 tenders), in line with the prices offered as agreed by the cartel, as well as a stabilization of the shares of the participants in the affected tenders.</w:t>
      </w:r>
    </w:p>
    <w:p>
      <w:r>
        <w:t>4.5. On the applicable legislation</w:t>
      </w:r>
    </w:p>
    <w:p>
      <w:r>
        <w:t>In the allegations made by AB SKF, it is argued that Law 16/1989, of July 17, on Competition Defense is more favorable to it, due to the different burden of proof for imputing to the controlling companies in relation to the regulation of the current LDC 2007.</w:t>
      </w:r>
    </w:p>
    <w:p>
      <w:r>
        <w:t>Response from the Competition Chamber:</w:t>
      </w:r>
    </w:p>
    <w:p>
      <w:r>
        <w:t>As has been extensively pointed out above in the Second Ground, this Council considers that, in cases of restrictive practices carried out during the validity of Law 16/1989 and of the LDC Law 15/2007, Law 15/2007 is the most favorable, among other elements, due to the system of grading infringements, non-existent in the previous legislation, the establishment of maximum limits on the amount of certain fines, lower than the general one provided for in Article 10 of Law 16/1989, the reduction of limitation periods for some of the classified behaviors or the possibility, common to all those who have participated in a cartel, to request exemption from the payment of the fine or reduction of the amount of the fine under the leniency program, introduced precisely by Law 15/2007. It is not necessary to elaborate on this point beyond what the DC already does in the resolution proposal (point 4.1.1), given also the consistency of the position of the Competition Authority on this matter, expressed in numerous resolutions, confirmed by the National Court (judgment of April 2, 2014, appeal 194/2011, of L'OREAL ESPAÑA S.A. and L'OREAL S.A.) and that this Chamber has also had the opportunity to reiterate (Resolution of September 22, 2014, Expte. S/0428/12 PALÉS).</w:t>
      </w:r>
    </w:p>
    <w:p>
      <w:r>
        <w:t>Regarding the specific allegation of the parent AB SKF, it should be noted that the system of imputing the actions of a company to the companies or individuals that control it established in Article 8 of the LDC 16/1989 ["For the purposes of applying this Law, it is understood that the behaviors of a company provided for in it are also attributable to the company that controls it, when the economic behavior of the former is determined by the latter"] is substantially analogous to that provided for in the current Article 61.2 LDC ["For the purposes of applying this Law, the actions of a company are also attributable to the companies or individuals that control it, except when its economic behavior is not determined by any of them"]. The partial difference in wording cannot be interpreted in the sense intended by AB SKF. Such interpretation held here regarding the proof of that control has been supported by community case law during the validity of Law 16/1989 (judgment of the CJEU of October 25, 1983, in the case "Allgemeine Elektricitäts-Gesellschaft AEG-Telefunken AG v. Commission). The attribution to the parent company in cases such as those described constitutes a consolidated doctrine in the European sphere. Thus, “it is sufficient for the Commission to prove that the entire capital of a subsidiary belongs to its parent company to presume that the latter exercises decisive influence over the commercial policy of its subsidiary. The Commission may therefore consider the parent company jointly liable for the payment of the fine imposed on its subsidiary, unless the said parent company, which bears the burden of rebutting this presumption, provides sufficient evidence to demonstrate that its subsidiary acts autonomously in the market” and “in the specific case where the parent company owns the entire capital of its subsidiary, according to established case law, it can be legitimately presumed that the former effectively exercises decisive influence over the behavior of the latter” (judgment of the TG of September 9, 2011, Case T-24/04, Alliance One, SCTC and TLTC, paragraphs 130 and 140). In the same sense, see the judgments of the Supreme Court of February 14 (35/2012) and March 29 (162/2012) of 2012.</w:t>
      </w:r>
    </w:p>
    <w:p>
      <w:r>
        <w:t>4.6. On the delimitation of the affected market</w:t>
      </w:r>
    </w:p>
    <w:p>
      <w:r>
        <w:t>SCHAEFFLER alleges that the product market definition used by the DC is not sufficiently precise and that the relevant affected market is narrower than that considered by the DC. SCHAEFFLER understands that the affected market is that of industrial bearings for railway vehicles sold as spare parts in the independent aftermarket. NSK agrees with such delimitation of the affected market and SKF has made no observations on this matter.</w:t>
      </w:r>
    </w:p>
    <w:p>
      <w:r>
        <w:t>Response from the Competition Chamber:</w:t>
      </w:r>
    </w:p>
    <w:p>
      <w:r>
        <w:rPr>
          <w:b/>
        </w:rPr>
        <w:t>[Pages 55–57]</w:t>
      </w:r>
    </w:p>
    <w:p>
      <w:r>
        <w:t>The DC recalls that for cartel cases, the exact delimitation of the market or the characterization of all its elements is not essential in order to prove the conduct prohibited by Article 1 of the LDC or Article 101 TFEU, as long as the existence of such cartel has been demonstrated, with the exact delimitation of the relevant market not being an element of the type of infringement. However, the DC extensively argues, supported by community precedents and the internal organization of the companies, why the affected market is that of industrial bearings without differentiation based on the type of customer. This Competition Chamber fully shares the reasoning set forth by the instructing body in paragraphs (50) to (66) of the PR (pages 3385 to 3390) and adopts the conclusions reached by the DC regarding the delimitation of the affected market.</w:t>
      </w:r>
    </w:p>
    <w:p>
      <w:r>
        <w:t>4.7. On the characteristics of the bidding system of RENFE and RENFE-Operadora</w:t>
      </w:r>
    </w:p>
    <w:p>
      <w:r>
        <w:t>Both SKF and SCHAEFFLER consider that the DC has not sufficiently taken into account certain peculiarities of the negotiated bidding procedure of RENFE and RENFE-Operadora, which are relevant in the analysis of the sanctioning file. Thus, SCHAEFFLER argues that price is not the only competitive parameter among the suppliers participating in RENFE's tenders, since delivery times and technical characteristics are also taken into account by RENFE. SKF argues that the multiannual nature of the contracts and the resulting pressure on prices due to inflation, raw material costs, and volume variations have not been adequately considered, which would justify, according to their allegations, the average price increase for these contracts. Furthermore, SCHAEFFLER and SKF mention the homologation, customized manufacturing, the development of high production scales, and proven experience in terms of service quality as elements that do not facilitate supplier switching. SCHAEFFLER also points out that the circumstance that RENFE may decide to have more than one supplier for certain registrations, in order to guarantee supply, complicates any hypothetical coordination among competitors, as it would require considering coordination on factors other than price, as well as a second phase of negotiations.</w:t>
      </w:r>
    </w:p>
    <w:p>
      <w:r>
        <w:t>Response from the Competition Chamber:</w:t>
      </w:r>
    </w:p>
    <w:p>
      <w:r>
        <w:t>As the DC points out, all relevant available information related to the tenders under investigation is included in the file, and the elements related to the current regulations regarding such procedures and the peculiarities of the conditions for participating in the tender, as well as the elements considered for the final award, have been taken into account. As stated in the PR, "The final award was made to the best technical-economic offer for each tender reference, and the quantities and, therefore, the amount to be purchased were determined by calculation based on historical consumption, the last purchase precedent, and the validity of the contract, with the annual purchase forecast being indicative, not acquiring RENFE and subsequently RENFE-Operadora the firm commitment to purchase such quantities, with the evaluation criteria for the offers based on the individual and overall price levels and the initial supply deadlines."</w:t>
      </w:r>
    </w:p>
    <w:p>
      <w:r>
        <w:t>In fact, regarding SCHAEFFLER's allegation that price is not the only competitive parameter among the suppliers participating in the tenders, since RENFE also takes delivery times into account, the DC emphasizes how an email collected during the inspection of SCHAEFFLER's headquarters shows that it decided to modify the delivery time for a type of bearing so that NSK would be awarded the contract and thus fulfill what was agreed upon by the cartel.</w:t>
      </w:r>
    </w:p>
    <w:p>
      <w:r>
        <w:t>Furthermore, the DC notes that in the tenders of 2007 and 2011, a price review was indeed anticipated, so there is no justification for preemptively anticipating possible increases in the production costs of bearings, as claimed by SKF and SCHAEFFLER, and in the case of steel and other raw material costs, these are applicable to all companies, so the price increase due to the costs of those inputs should be reflected in a similar manner by the companies in the sector and not only by the companies participating in the cartel, which did not happen in practice.</w:t>
      </w:r>
    </w:p>
    <w:p>
      <w:r>
        <w:t>The DC rightly argues that the elements mentioned by both SKF and SCHAEFFLER are applicable to any competing company and that given their status as subsidiaries of multinational companies, they had the capacity to adjust to the technical, service, and quality conditions demanded by RENFE, being able to at least match the prices offered by their competitors. Furthermore, the DC demonstrates how the award percentage for SKF, SCHAEFFLER, and NSK remained stable, with the three companies being awarded 97% (2004 award), 90.42% (2007 tender), and 92.78% (2011 tender), with similar internal distribution percentages in all three processes, as can be seen in the following table, extracted from the data prepared by the DC with the information provided by RENFE Operadora.</w:t>
      </w:r>
    </w:p>
    <w:p>
      <w:r>
        <w:t>Comparative internal distribution percentages</w:t>
      </w:r>
    </w:p>
    <w:p>
      <w:r>
        <w:t>Company/Year 2004 2007 2011 tender</w:t>
        <w:br/>
        <w:t>SKF 43.77 34.32 34.60</w:t>
        <w:br/>
        <w:t>SCHAEFFLER 31.79 34.80 42.71</w:t>
        <w:br/>
        <w:t>NSK (through distributors) 21.44 21.30 15.47</w:t>
      </w:r>
    </w:p>
    <w:p>
      <w:r>
        <w:t>Information provided by RENFE-Operadora in response to the information request made (pages 863 to 868 and 1359 to 1363). SKF maintained an average award of 37.38%, SCHAEFFLER 35.83%, and NSK 19.89%, that is, 93.11% of the total awarded in these three tenders, for a total amount of €28,021,925.34.</w:t>
      </w:r>
    </w:p>
    <w:p>
      <w:r>
        <w:t>4.8. On joint liability: parent-subsidiary relationship</w:t>
      </w:r>
    </w:p>
    <w:p>
      <w:r>
        <w:t>Both parent companies, SCHAEFFLER AG and AB SKF, state that there is decision-making autonomy of their subsidiaries regarding actions in the Spanish market for industrial bearings. They also allege a lack of knowledge regarding any contacts between executives of their subsidiaries and those of NSK.</w:t>
      </w:r>
    </w:p>
    <w:p>
      <w:r>
        <w:t>Response from the Competition Chamber:</w:t>
      </w:r>
    </w:p>
    <w:p>
      <w:r>
        <w:t>To respond to the previous allegations, we must start from the following facts established in the file:</w:t>
      </w:r>
    </w:p>
    <w:p>
      <w:r>
        <w:t>a) SCHAEFFLER AG was incorporated on October 13, 2011, and until that date was organized as a German limited liability company, established on September 26, 2009, which assumed control over the Schaeffler Group in January 2010 through Schaeffler KG, which controlled the companies belonging to the Schaeffler Group from 2001 to 2010, including Schaeffler Iberia, S.L. The evolution of the ownership and control structure of the Schaeffler group, therefore, allows linking SCHAEFFLER Iberia and SCHAEFFLER AG since 2001, with the former being a subsidiary of the latter through successive companies 100% (in one case 99.23%) owned by SCHAEFFLER AG. Although SCHAEFFLER AG has indicated that SCHAEFFLER Iberia has a high degree of business autonomy, the file contains an email dated April 27, 2012, collected during the inspection of SCHAEFFLER Iberia, in which a complaint is made about its commercial dependence on its German parent, from which it depends to make offers, as prices are agreed upon by the group.</w:t>
      </w:r>
    </w:p>
    <w:p>
      <w:r>
        <w:t>b) SKF was a 100% indirect subsidiary of AB SKF between 2001 and November 22, 2004, and since that latter date, it has been a direct 100% subsidiary of AB SKF.</w:t>
      </w:r>
    </w:p>
    <w:p>
      <w:r>
        <w:t>In consideration of the legal relationship existing between the aforementioned companies, Article 61.2 of the LDC applies, which states that the actions of a company are also attributable to the companies or persons that control it, except when its economic behavior is not determined by any of them.</w:t>
      </w:r>
    </w:p>
    <w:p>
      <w:r>
        <w:rPr>
          <w:b/>
        </w:rPr>
        <w:t>[Pages 58–60]</w:t>
      </w:r>
    </w:p>
    <w:p>
      <w:r>
        <w:t>In this regard, the community and Spanish courts have considered that in cases where a parent company holds 100% of the share capital of its subsidiary, there is a "iuris tantum" presumption that the parent exercises decisive influence over the behavior of its subsidiary, this presumption being a specific element of competition law derived from the concept of economic unit inherent to this discipline. In such cases, it is up to the parent company to rebut this presumption by providing evidence that demonstrates that its subsidiary autonomously determines its conduct in the market.</w:t>
      </w:r>
    </w:p>
    <w:p>
      <w:r>
        <w:t>For its clarity on this point, it is worth citing the judgment of the National Court of April 2, 2014, which, citing community jurisprudence, states: "The behavior of a subsidiary can be attributed to the parent company when, although it has separate legal personality, that subsidiary does not autonomously determine its conduct in the market. In the event that a parent company participates in 100% of the capital or in the vast majority of it of a company that has violated competition law, there is a "iuris tantum" presumption that this parent company exercises decisive influence over the behavior of its subsidiary and, therefore, it can be considered jointly liable for the conduct since in this case the economic unit is sanctioned, corresponding in this case to the parent to rebut this presumption. (Judgment of the CJEU of September 10, 2009, case C-97/08).</w:t>
      </w:r>
    </w:p>
    <w:p>
      <w:r>
        <w:t>The Court of Justice of the European Union has maintained a consistent line of jurisprudence in this regard, initiated in the judgment of October 25, 1983 (AEG Telefunken), in which it was established that the parent company that controls a subsidiary 100% must prove that despite this, it is capable of developing autonomous conduct, and it has continuously established that the decisive criterion for these purposes is not the legal form adopted by the business relationship, but the existence of a unit of behavior in the market. In the Air Liquide judgment, the General Court established that "any economic, legal, or organizational link" can demonstrate the existence of this effective control of the parent over the subsidiary.</w:t>
      </w:r>
    </w:p>
    <w:p>
      <w:r>
        <w:t>According to the judgment of the General Court of the European Union (Eighth Chamber) of June 16, 2011, in the joined cases -204/08 and T-212/08, Team Relocations NV, "in the specific case of a parent company that owns 100% of the share capital of its subsidiary that engages in infringing behavior, as in the present case, there is a rebuttable presumption that the parent exercises decisive influence over the commercial policy of its subsidiary (see in this regard the judgments of the Court of Justice of October 25, 1983, AEG/Commission, 107/82, Rec. p. 3151, paragraph 50, and of November 16, 2000, Stora Kopparbergs Bergslags/Commission, C-286/98 P, Rec. p. I-9925, paragraph 29, and the judgments of the General Court of April 20, 1999, Limburgse Vinyl Maatschappij and others/Commission, T-305/94 to T-307/94, T-313/94 to T-316/94, T-318/94, T-325/94, T-328/94, T-329/94 and T-335/94, Rec. p. II-931, paragraphs 961 and 984, and of December 12, 2007, Akzo Nobel and others/Commission, T-112/05, Rec. p. II-5049, paragraph 62).</w:t>
      </w:r>
    </w:p>
    <w:p>
      <w:r>
        <w:t>This jurisprudence has been confirmed by the Court of Justice in its judgment of September 10, 2009 (CJEU 2009, 274), Akzo Nobel and others/Commission (C-97/08 P, Rec. p. I-8237).</w:t>
      </w:r>
    </w:p>
    <w:p>
      <w:r>
        <w:t>For the reasons stated above, this Chamber considers that the attribution of responsibility to the parent companies for the conduct displayed and evidenced by their subsidiaries in this file is appropriate, since, as stated, the motivation for such attribution of responsibility arises from the aforementioned presumption of decisive influence derived from the proven control of 100% of the share capital of the subsidiary. Therefore, according to the cited jurisprudence, it would be up to the companies to provide specific evidence to the contrary that would rebut such presumption, which, in the opinion of this Chamber, none of them has done, with additional elements in the file evidencing the presumed dependence and lack of autonomy.</w:t>
      </w:r>
    </w:p>
    <w:p>
      <w:r>
        <w:t>FIFTH.- ASSESSMENT OF THE COMPETITION CHAMBER OF THE COUNCIL</w:t>
      </w:r>
    </w:p>
    <w:p>
      <w:r>
        <w:t>In accordance with the above, the Chamber considers that it has been proven that the companies referred to in this resolution committed a single and continuous infringement, prohibited under Article 1 of the LDC 15/2007 and Article 101 of the TFEU.</w:t>
      </w:r>
    </w:p>
    <w:p>
      <w:r>
        <w:t>The infringement consisted of the adoption by the main suppliers of railway bearings of agreements regarding the fixing and progressive increase of prices and the allocation of the Spanish market, this infringement constituting a cartel.</w:t>
      </w:r>
    </w:p>
    <w:p>
      <w:r>
        <w:t>While it is true that both price-fixing agreements and market allocation, as well as the monitoring of compliance with such agreements, have constituted restrictions of competition by their object, and this would have been sufficient to appreciate the administrative illicit and determine the corresponding responsibilities, it has also been proven that both behaviors have caused harmful effects in the affected market.</w:t>
      </w:r>
    </w:p>
    <w:p>
      <w:r>
        <w:t>The affected market is characterized by the relative standardization and homogeneity of the products offered, which makes price a fundamental differentiating factor among suppliers. The agreements reduced uncertainty regarding the prices and commercial conditions that competing companies would apply, which ultimately led to higher price fixing.</w:t>
      </w:r>
    </w:p>
    <w:p>
      <w:r>
        <w:t>It should also be noted that the accused companies account for the vast majority of the product supply in Spain (over 80%).</w:t>
      </w:r>
    </w:p>
    <w:p>
      <w:r>
        <w:t>In addition to the increase in the cost of the affected public tenders, due to the supra-competitive prices achieved with the cartel, there was an effective allocation of the different registrations offered by RENFE and RENFE-Operadora, with the consequent stabilization of market shares among the cartel companies and the exclusion of other competitors.</w:t>
      </w:r>
    </w:p>
    <w:p>
      <w:r>
        <w:t>SIXTH. RESPONSIBILITY AND DETERMINATION OF THE SANCTION.</w:t>
      </w:r>
    </w:p>
    <w:p>
      <w:r>
        <w:t>6.1. Responsibility of the companies</w:t>
      </w:r>
    </w:p>
    <w:p>
      <w:r>
        <w:t>The responsibility of the companies referred to in the Third Legal Basis of this Resolution is, in the opinion of this Council, unquestionable in light of the proven facts and the evidence and other elements of judgment contained in the resolved file, for which this Council agrees with the attribution of responsibility made by the DC in its PR.</w:t>
      </w:r>
    </w:p>
    <w:p>
      <w:r>
        <w:t>Likewise, this Chamber considers that the attribution of responsibility to the parent companies for the conduct displayed and evidenced by their subsidiaries in this file is appropriate, since, as stated throughout the procedure and in this Resolution, the existence of a decisive influence exerted by the parents over their subsidiaries has been confirmed and has not been rebutted.</w:t>
      </w:r>
    </w:p>
    <w:p>
      <w:r>
        <w:t>Having established and qualified the conduct contrary to the LDC, Article 63.1 of the LDC conditions the exercise of the sanctioning power regarding fines by the Competition Authority on the presence of intent or negligence in the infringing conduct.</w:t>
      </w:r>
    </w:p>
    <w:p>
      <w:r>
        <w:t>Well, the Chamber considers that it has been proven that the companies knew and were aware of the illicit nature of the conduct carried out.</w:t>
      </w:r>
    </w:p>
    <w:p>
      <w:r>
        <w:t>In relation to the conduct that ultimately materializes in price-fixing, there are several elements that evidence this conscious behavior of the parties. Thus, the contacts and meetings established between representatives of the parties involved, the secret nature of the agreements, the existence of handwritten notes, the capacity of the personal and economic means of the companies, and the duration of the conduct are sufficient elements to consider the existence of conscious action.</w:t>
      </w:r>
    </w:p>
    <w:p>
      <w:r>
        <w:rPr>
          <w:b/>
        </w:rPr>
        <w:t>[Pages 61–63]</w:t>
      </w:r>
    </w:p>
    <w:p>
      <w:r>
        <w:t>requested by the parties without any indication of ignorance of the unlawful behavior by any of the companies.</w:t>
      </w:r>
    </w:p>
    <w:p>
      <w:r>
        <w:t>Regarding the conduct manifested in the form of market sharing, the stabilization of market shares among the cartel companies is revealing, achieved through the distribution of the different registrations offered by RENFE and RENFE-Operadora, and the exclusion of other operators.</w:t>
      </w:r>
    </w:p>
    <w:p>
      <w:r>
        <w:t>6.2.- Criteria for determining the fine and applicable law.</w:t>
      </w:r>
    </w:p>
    <w:p>
      <w:r>
        <w:t>Article 62.4.a) of the LDC establishes that behaviors consisting of cartels or other agreements, decisions, or collective recommendations, concerted practices, or consciously parallel practices among competing companies, whether real or potential, shall be classified as very serious infringements.</w:t>
      </w:r>
    </w:p>
    <w:p>
      <w:r>
        <w:t>Article 63.1 of the LDC grants the CNMC the authority to sanction companies and their associations that, deliberately or through negligence, violate the prohibition of collusive agreements. According to established jurisprudence, the principle of culpability is inherent to cartel infringements, but in addition to the proven facts of this Resolution, it is established that the companies were aware of the illicit nature of their anti-competitive conduct.</w:t>
      </w:r>
    </w:p>
    <w:p>
      <w:r>
        <w:t>In this case, we are therefore dealing with a very serious infringement, deserving of an economic sanction. For its calculation, Articles 61 to 64 of the LDC must be followed, which establish the fundamental criteria to be considered when determining such amount, criteria that inspire the "CNC Communication on the quantification of sanctions derived from infringements of Articles 1, 2, and 3 of Law 15/2007, of July 3, on the Defense of Competition and Articles 81 and 82 of the Treaty of the European Community [current Articles 101 and 102 of the TFEU]."</w:t>
      </w:r>
    </w:p>
    <w:p>
      <w:r>
        <w:t>Article 63.1.c) of the LDC indicates that very serious infringements may be punished with a fine of up to 10 percent of the total turnover of the infringing company in the financial year immediately preceding the imposition of the fine, and in cases where it is not possible to determine the turnover, paragraph 3.c) of the aforementioned article states that the amount of the fine will be more than 10 million euros.</w:t>
      </w:r>
    </w:p>
    <w:p>
      <w:r>
        <w:t>Article 64 of the LDC states that the amount of the sanctions will be determined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apply to each of the responsible companies.</w:t>
      </w:r>
    </w:p>
    <w:p>
      <w:r>
        <w:t>The Communication on the imposition of sanctions derived from infringements of Articles 1, 2, and 3 of Law 15/2007, of July 3, on the Defense of Competition and Articles 101 and 102 of the Treaty of the European Community applicable to infringers of competition rules, aims to establish guidelines that, in general, guide the actions of the Competition Authority when applying the criteria set forth in Article 64 of the LDC. This aims to contribute to improving transparency and objectivity in determining the sanction, enhancing its deterrent effect, and favoring the legal certainty of economic operators. These guidelines for specifying the application of the criteria of Article 64 of the LDC have been the ones used by the Council to determine the sanction in this Resolution, fully respecting the criteria dictated by the Supreme Court, which in numerous rulings has maintained that the discretion granted to the Administration must be developed by weighing in all cases the concurrent circumstances in order to achieve the necessary and due proportionality between the alleged facts and the responsibility required, given that any sanction must be determined in accordance with the seriousness of the infringement committed and according to a criterion of proportionality attentive to the objective circumstances of the fact.</w:t>
      </w:r>
    </w:p>
    <w:p>
      <w:r>
        <w:t>The LDC, therefore, first establishes a legal maximum for the sanction (art. 63 LDC), whose purpose is to limit the maximum fine based on the infringer's ability to pay to avoid that the payment of the fine leads to the disappearance of the company – hence Article 63 LDC refers to the total turnover of the period closest to the sanctioning resolution, regardless of the affected market and when the infringement occurred – and then establishes criteria for the gradation of the sanction along with aggravating and mitigating circumstances (art. 64 LDC). Thus, without prejudice to compliance with this legal maximum (10% of total turnover of the previous financial year), the process of determining the fine follows what is provided in the aforementioned Communication, which serves as a parameter for specifying Article 64 of the LDC and provides objectivity and transparency to the methodology followed for setting sanctions, in line with the application of European Union competition regulations.</w:t>
      </w:r>
    </w:p>
    <w:p>
      <w:r>
        <w:t>This Chamber understands that this is the legislator's intent when it states in the Explanatory Memorandum of the LDC that, "... the fifth title includes the sanctioning regime. In this sense, the Law represents a significant advance in legal certainty as it establishes a gradation of the various infringements provided for therein and clarifies the maximum sanctions for each type, set in terms of a percentage of the total sales volume of the infringers. It also specifies the criteria that determine the specific fine in each case, in line with current trends in the European sphere. Furthermore, it provides for the publicity of all sanctions imposed under the Law, which will reinforce the deterrent and exemplary power of the resolutions adopted."</w:t>
      </w:r>
    </w:p>
    <w:p>
      <w:r>
        <w:t>In its allegations, SCHAEFFLER, citing various rulings of the National Court, argues that the maximum sanction that could be imposed would be 10% of the turnover obtained by the company in the economic activity area in which the infringement occurred, in the financial year prior to the imposition of the fine.</w:t>
      </w:r>
    </w:p>
    <w:p>
      <w:r>
        <w:t>The Council, as it has already stated on previous occasions, cannot accept this allegation. The rulings referred to are not final, as the appeals for cassation filed against them are still pending resolution.</w:t>
      </w:r>
    </w:p>
    <w:p>
      <w:r>
        <w:t>In fact, these rulings diverge from the doctrine upheld by the National Court itself in later rulings. For example, the SAN of 12/04/2013 (06/395/2011) refers to the consideration of the maximum limit as a guarantee to safeguard the viability of the company, a limit that is established in relation to the total turnover of the infringing company, and not with the turnover related to the infringement, as is now being claimed:</w:t>
      </w:r>
    </w:p>
    <w:p>
      <w:r>
        <w:t>"In this case, it is not established that the fine exceeds 10 percent of the total turnover of the infringing company in the financial year immediately preceding the imposition of the fine, a percentage set in Article 63 by the legislator, precisely to ensure that the payment of fines does not imply the disappearance of the company."</w:t>
      </w:r>
    </w:p>
    <w:p>
      <w:r>
        <w:t>In this same sense, other rulings express similar views, such as those cited below: SAN 05/02/2013 (06/420/2011), SAN 13/02/2013 (06/377/2011), SAN 25/02/2013 (06/390/2011), SAN 26/02/2013 (06/646/2011), SAN 05/03/2013 (06/566/2011). See also STS of 29/05/2013 (cassation appeal no. 3/1312/2010).</w:t>
      </w:r>
    </w:p>
    <w:p>
      <w:r>
        <w:t>The Council considers that the LDC clearly distinguishes between "affected market" and "total turnover," concepts that, consequently, cannot be used interchangeably. While Article 64.1 of the LDC refers to "the size and characteristics of the market affected by the infringement" as a criterion to be considered for grading the amount of the sanction, Article 63.1 of the LDC expressly refers to "the total turnover of the infringing company in the financial year immediately preceding the imposition of the fine." Thus, the process of calculating sanctions designed by the LDC is structured around a dual phase: on one hand, the criteria that must be taken into account for grading the sanctions listed in Article 64 LDC (developed by the Fines Communication) must be considered; and once the sanctions have been calculated according to such criteria, it must be verified that the amount of the fine does not exceed the maximum threshold established in Article 63.1 of the LDC (i.e., "10 percent of the total turnover of the infringing company in the financial year immediately preceding the imposition of the fine").</w:t>
      </w:r>
    </w:p>
    <w:p>
      <w:r>
        <w:t>In summary, Article 63.1 of the LDC does not set a range of sanctions but rather a limit. And this limit is based on the total turnover of the company, not the turnover corresponding to the market affected by the infringement. This provision does not serve as a liquidation or grading element of the fine, but rather constitutes a maximum threshold beyond which it is not possible to impose a sanction without the payment of the fine posing a risk of the company's disappearance and compromising its future viability (a threshold that is consequently established in consideration of the current economic capacity of the company).</w:t>
      </w:r>
    </w:p>
    <w:p>
      <w:r>
        <w:rPr>
          <w:b/>
        </w:rPr>
        <w:t>[Pages 64–66]</w:t>
      </w:r>
    </w:p>
    <w:p>
      <w:r>
        <w:t>The wording of Article 63.1.c) of the LDC 15/2007 also coincides with that of Article 23.2 of Regulation EC 1/2003, applicable in infringement proceedings of Articles 101 and 102 TFEU (formerly 81 and 82 TEC), and is a consequence of an equivalent system in the national and community scope. Therefore, the Communication on quantification and the Guidelines for calculating fines imposed under Article 23.2.a) of Regulation EC 1/2003 also coincide in the method of calculating the sanction, according to which the basic amount results from a percentage of the value of the sales linked to the infringement, which is multiplied by a coefficient taking into account the number of years of duration of the infringement or participation in it. And it is once the sanction has been calculated according to the previous criteria (that is, taking as a reference the "affected market") that it is appropriate to verify that the threshold of the maximum limit of 10% has not been exceeded. This is because, as the CJEU ruling of 12/07/2012 in case C-181/11 P, CETARSA/Commission recalls:</w:t>
      </w:r>
    </w:p>
    <w:p>
      <w:r>
        <w:t>“82 Indeed, this upper limit aims to prevent fines from being imposed that companies will surely be unable to pay, given their size, dimensions that are determined, albeit in an approximate and imperfect manner, by their overall turnover (...).</w:t>
        <w:br/>
        <w:t>83 It is therefore a limit, uniformly applicable to all companies and adjusted to the size of each, which aims to avoid fines whose amount is excessive and disproportionate. This upper limit thus has a distinct and autonomous objective from that pursued by the criteria of severity and duration of the infringement (...).”</w:t>
      </w:r>
    </w:p>
    <w:p>
      <w:r>
        <w:t>In this same sense, the following can also be cited: CJEU ruling of 07/06/1983, joined cases C-100/80, 101/80, 102/80 and 103/80 Musique Diffusion française/Commission (par.119); CJEU ruling of 28/06/2005 joined cases C-189/02 P, C-202/02 P, C-205/02 P, C-208/02 P and C-213/02 P, Dansk Rørindustri and others/Commission (par.279-282); CJEU ruling of 07/06/2007 case C-76/06, Britannia Alloys &amp; Chemicals/Commission (par. 24); and GC ruling of 16/06/2011, case T-211/08 Putters International/Commission (par. 74 and 75).</w:t>
      </w:r>
    </w:p>
    <w:p>
      <w:r>
        <w:t>All of this leads to disregarding the allegation made in this regard by SCHAEFFLER.</w:t>
      </w:r>
    </w:p>
    <w:p>
      <w:r>
        <w:t>6.3. Determination of the basic amount of the sanction</w:t>
      </w:r>
    </w:p>
    <w:p>
      <w:r>
        <w:t>According to paragraph 8 of the Communication, the quantification of the sanction is carried out in the following phases: (i) determination of the basic amount of the sanction, (ii) application of an adjustment coefficient to the basic amount based on aggravating and mitigating factors, and (iii) adjustment, if applicable, to the limits established in the Law (10% limit) and to the illicit benefit obtained by the infringer.</w:t>
      </w:r>
    </w:p>
    <w:p>
      <w:r>
        <w:t>The first phase, therefore, of the Communication consists of determining the basic amount of the sanction, for which, according to paragraph 9, the criteria indicated in letters a) to e) of Article 64.1 of the LDC will apply “taking into account, therefore, the size and characteristics of the affected market, the market share of the infringer, the scope of the infringement, its duration and its effects.” In relation to the market affected by the infringement (art. 64.1.a LDC), paragraph 10 of the Communication on the quantification of sanctions specifies the following: “The volume of sales affected by the infringement will be the weighted sum of the sales obtained by the infringer in the product or service and geographical markets where the infringement has produced or is likely to produce effects, during the time the infringement has taken place and before the application of VAT and other related taxes. The sales of each period will be weighted according to what is provided in point 15.”</w:t>
      </w:r>
    </w:p>
    <w:p>
      <w:r>
        <w:t>In this case, as already indicated, the market affected by the infringement has been defined as the market for industrial bearings for railway vehicles in Spain. The cartel formed by the entities involved was maintained uninterruptedly over time from at least 2004 until 2011, with effects lasting until the end of the execution period of the 2011 tender (2015).</w:t>
      </w:r>
    </w:p>
    <w:p>
      <w:r>
        <w:t>On this basis, it should be noted that the investigating body, when notifying the proposed resolution (folio 3579), requested from the companies information concerning the total turnover of 2013, and the turnover corresponding to the affected market from 2009 to 2013 and what they have from previous years up to 2004. This request has been responded to by the aforementioned companies (folios 3623-3624 and 3942 in the case of SKF; 3914-3916 for SCHAEFFLER; 3928-3929, AB SKF; 3956, SCHAEFFLER AG; and 4171-4172 for NSK Spain).</w:t>
      </w:r>
    </w:p>
    <w:p>
      <w:r>
        <w:t>The sanction for all the accused companies has been calculated based on the requested information: turnover corresponding to the market for industrial bearings for railway vehicles in Spain during the years 2004 to 2013. To the extent that the infringement has a duration of more than one year, it is necessary to apply the reduction coefficient based on duration provided in paragraph 15 of the Communication. In such a case, a weighting factor equivalent to 1 is applied to the value of the affected market in the last year of the conduct (2013). The volumes corresponding to the successive annual periods prior to the first will receive a decreasing weighting (0.75 for the 2nd period, 0.50 for the 3rd, 0.25 for the 4th, etc.), which implies that for the sanction only a decreasing proportion of the turnover of the affected market is taken into account as the infringement becomes older.</w:t>
      </w:r>
    </w:p>
    <w:p>
      <w:r>
        <w:t>The sum of the turnover (VN) in the affected market (MA) in the period in which the infringement occurred (2004 to 2013, both inclusive), weighted in a decreasing manner according to whether they are older periods (paragraph 15 of the Communication) yields the following result:</w:t>
      </w:r>
    </w:p>
    <w:p>
      <w:r>
        <w:t>VN in MA weighted 2004 to 2013</w:t>
        <w:br/>
        <w:t>SCHAEFFLER 7,151,545 euros</w:t>
        <w:br/>
        <w:t>SKF 19,072,350 euros</w:t>
        <w:br/>
        <w:t>NSK 825,439 euros</w:t>
      </w:r>
    </w:p>
    <w:p>
      <w:r>
        <w:t>On this basis, it is appropriate to apply the percentage (%) of the sanction. According to paragraph 14 of the Communication, the basic amount of the sanction, before taking into account aggravating or mitigating factors, will be obtained by applying, to the volume of sales affected by the infringement, “a percentage that, starting from 10%, may be increased [up to 30%] considering the following criteria”: severity of the conduct or because it is a productive input capable of producing cascading effects in other markets.</w:t>
      </w:r>
    </w:p>
    <w:p>
      <w:r>
        <w:t>Although the DC does not appreciate mitigating or aggravating circumstances that should be taken into account according to Article 64 LDC to set the amount of the sanction regarding the accused companies, this Chamber agrees with the DC in its indication that the increase in the cost of public tenders has been valued by the Spanish Competition Authority as constituting an additional severity of the infringement, given the increase in the cost that must be borne by the Administration and ultimately by the citizens who pay for the services of RENFE-Operadora, either directly or via taxes. As the Competition Authority has had the opportunity to point out, “The arguments put forward by some companies that this type of collusion does not significantly affect consumers or that in the absence of it the outcome would have been the same are unacceptable. Few infringements can harm so much and to such a broad base. By assuming a higher cost of the tender and, with it, a greater budgetary charge, it is affecting nothing less than all taxpayers. The conduct of those who are willing to make bids close to 30% and agree to make them around 3%, dividing among the participants that illicit benefit, which cannot be hidden, is parallel to the harm caused to the Administration that calls the tender, and ultimately to all citizens, is deserving of the utmost reproach” (RCNC of October 19, 2011, Expte. S/0226/10, ROAD TENDERS).</w:t>
      </w:r>
    </w:p>
    <w:p>
      <w:r>
        <w:t>Likewise, the National Court has adopted that same heightened reproach stating: “Regarding proportionality, we must consider the significant impact on the public interest, the concertation we examine altered the prices of tenders funded by public funds, and there was an unjust enrichment for the non-awarded companies that participated in the conduct, precisely at the expense of those public funds. On the other hand, the conduct evaded the administrative rules that guarantee transparency in public contracting and the accuracy in the selection of the most advantageous offer, and directly tended to prevent its application (SAN of May 16, 2014, appeal no. 643/2011).</w:t>
      </w:r>
    </w:p>
    <w:p>
      <w:r>
        <w:t>Given this, this Council considers that in such a case the percentage that best addresses the severity of the infringement is 15% based on the previously calculated and duration-weighted amount, which determines fines of the following amounts:</w:t>
      </w:r>
    </w:p>
    <w:p>
      <w:r>
        <w:t>15%</w:t>
        <w:br/>
        <w:t>SCHAEFFLER 1,072,731</w:t>
        <w:br/>
        <w:t>SKF 2,860,852</w:t>
        <w:br/>
        <w:t>NSK 123,815</w:t>
      </w:r>
    </w:p>
    <w:p>
      <w:r>
        <w:rPr>
          <w:b/>
        </w:rPr>
        <w:t>[Pages 67–69]</w:t>
      </w:r>
    </w:p>
    <w:p>
      <w:r>
        <w:t>It is worth noting that the amounts of the fines thus calculated are significantly distant from the limit established in Article 63 of the LDC, that is, 10% of the total turnover of the company in the fiscal year 2013 prior to the fine, according to the information provided by each of them (folios 3623-3624 and 3942 in the case of SKF; 3914-3916, for SCHAEFFLER; 3928-3929, AB SKF; 3956, SCHAEFFLER AG; and 4171-4172 for NSK Spain).</w:t>
      </w:r>
    </w:p>
    <w:p>
      <w:r>
        <w:t>The percentage applied (15%), on the other hand, almost exactly coincides with that determined as applicable by the European Commission in a partially equivalent matter in which the companies here involved were sanctioned, among others, for an infringement consisting of the coordination of the pricing strategy developed in the bearing sector for automotive applications between the years 2004 and 2011 [European Commission Decision of March 19, 2014, Case AT. 39922 – Bearings, (2014/C 238/09), in which a 16% is applied].</w:t>
      </w:r>
    </w:p>
    <w:p>
      <w:r>
        <w:t>SEVENTH.- Application of Articles 65 and 66 of the LDC</w:t>
      </w:r>
    </w:p>
    <w:p>
      <w:r>
        <w:t>On April 23, 2013, in application of the provisions of Article 65.1 a) of the LDC and Article 47.1 RDC, the DI granted NSK Ltd. and all its subsidiaries a conditional exemption, for being the first company to provide evidence that allowed for the ordering of an inspection in relation to the cartel described in the exemption request made by it.</w:t>
      </w:r>
    </w:p>
    <w:p>
      <w:r>
        <w:t>NSK argues that it has complied with all the requirements of Article 65.2 of the LDC that make it deserving of the exemption from the payment of the fine. It defends the evidentiary value of its leniency application and considers that the information provided has been corroborated by the documents seized during the inspections at the premises of the accused.</w:t>
      </w:r>
    </w:p>
    <w:p>
      <w:r>
        <w:t>In the Council's opinion, there is no doubt that NSK meets the requirements of Article 65.1.a). It was the first to provide evidence that allowed for the ordering of an inspection in relation to the described cartel. The information offered by this company in its exemption request has also been corroborated by the documentary evidence found in that inspection. Additionally, the Council considers that NSK has duly complied with the requirements set forth in Article 65.2 of the LDC.</w:t>
      </w:r>
    </w:p>
    <w:p>
      <w:r>
        <w:t>Against what has been pointed out by SKF Española and SCHAEFFLER IBERIA, which question the credibility of NSK's leniency statements, this Council agrees with the assessment made by the DC in the PR that the evidence provided by NSK has been sufficiently corroborated by external elements, fundamentally the documentation collected during the inspections, and the information provided at the request of the DC.</w:t>
      </w:r>
    </w:p>
    <w:p>
      <w:r>
        <w:t>For all these reasons, this Chamber, in accordance with the proposal of the DC, considers that NSK Ltd., including its subsidiaries, among them NSK and NSK Europe Ltd., should be exempted from the payment of the sanction that would correspond to it according to what is stated in the Sixth Legal Basis.</w:t>
      </w:r>
    </w:p>
    <w:p>
      <w:r>
        <w:t>Therefore, having seen the cited articles and the others of general application, the Council in the Competition Chamber</w:t>
      </w:r>
    </w:p>
    <w:p>
      <w:r>
        <w:t>HAS RESOLVED</w:t>
      </w:r>
    </w:p>
    <w:p>
      <w:r>
        <w:t>FIRST.- To declare that in this file an infringement of Article 1 of Law 16/1989, of July 17, on the Defense of Competition, Article 1 of Law 15/2007, of July 3, on the Defense of Competition, and Article 101 of the Treaty on the Functioning of the European Union has been evidenced, in the terms set forth in the Fifth Legal Basis of this Resolution.</w:t>
      </w:r>
    </w:p>
    <w:p>
      <w:r>
        <w:t>SECOND.- In accordance with the responsibility attributed in the Sixth Legal Basis, to declare the following companies responsible for the aforementioned infringements: SCHAEFFLER IBERIA, S.L., SKF ESPAÑOLA S.A. and NSK SPAIN, S.A for their participation in the single and continuous infringement of a complex nature consisting of price fixing and market sharing from 2004 to 2011, with effects valid until the end of the execution period of the 2011 tender.</w:t>
      </w:r>
    </w:p>
    <w:p>
      <w:r>
        <w:t xml:space="preserve">THIRD.- To impose on the responsible authors of the infringing conduct the following fines: </w:t>
        <w:br/>
        <w:t xml:space="preserve">1. SCHAEFFLER IBERIA, S.L. 1,072,731 euros, for which SCHAEFFLER AG will be jointly liable. </w:t>
        <w:br/>
        <w:t xml:space="preserve">2. SKF ESPAÑOLA, S.A. 2,860,852 euros, for which AB SKF will be jointly liable. </w:t>
        <w:br/>
        <w:t>3. NSK SPAIN, S.A. 123,815 euros, for which NSK Europe Ltd. will be jointly liable.</w:t>
      </w:r>
    </w:p>
    <w:p>
      <w:r>
        <w:t>FOURTH.- To declare that NSK Ltd, including its subsidiaries, meets the requirements set forth in Article 65 of the LDC and, consequently, to exempt it from the payment of the fine that corresponds to it for its participation in the infringing conduct.</w:t>
      </w:r>
    </w:p>
    <w:p>
      <w:r>
        <w:t>FIFTH.- To urge the Competition Directorate to monitor compliance with this Resolution.</w:t>
      </w:r>
    </w:p>
    <w:p>
      <w:r>
        <w:t>Communicate this Resolution to the Competition Directorate and notify SCHAEFFLER IBERIA, S.L., SKF ESPAÑOLA S.A., NSK SPAIN, S.A., NSK Europe Ltd., SCHAEFFLER AG and AB SKF, informing them that there is no administrative appeal against it, and that they may file a contentious-administrative appeal in the National Court, within two months from the day following its notification.</w:t>
      </w:r>
    </w:p>
    <w:p>
      <w:r>
        <w:t>DISSENTING VOTES</w:t>
      </w:r>
    </w:p>
    <w:p>
      <w:r>
        <w:rPr>
          <w:b/>
        </w:rPr>
        <w:t>[Pages 70–72]</w:t>
      </w:r>
    </w:p>
    <w:p>
      <w:r>
        <w:t>DISSENTING OPINION formulated by Counselor Mr. Fernando Torremocha y García-Sáenz to this Resolution approved today, December 4, 2014, by simple majority, within the framework of the Sanctioning File S/0453/12 RAILWAY BEARINGS.</w:t>
      </w:r>
    </w:p>
    <w:p>
      <w:r>
        <w:t>DISAGREEMENT that I specify, develop, and substantiate in the following REASONS</w:t>
      </w:r>
    </w:p>
    <w:p>
      <w:r>
        <w:t xml:space="preserve">FIRST.- PRELIMINARY ISSUE.  </w:t>
        <w:br/>
        <w:t xml:space="preserve">THE COMPETITION CHAMBER is one of the two Chambers in which the National Commission of Markets and Competition is organized functionally and organizationally, recently created by Law 3/2013. The other is the Regulatory Supervision Chamber.  </w:t>
        <w:br/>
        <w:t xml:space="preserve">Both are independent and not interdependent; each has its own composition, and no Counselor can belong to them unless they have been assigned (by appointment) for the agreed time; consequently, it is impossible for Counselors to be assigned to both Chambers at the same time or simultaneously; the matters and subjects they address (by functional organic competence) are legally defined and subject to the corresponding Legal System, which applies specifically.  </w:t>
        <w:br/>
        <w:t xml:space="preserve">It is therefore the responsibility of this COMPETITION CHAMBER to apply, through administrative resolutions (under Law 30/1992 of November 26), the Competition Laws, namely, Law 15/2007 of July 3, on the Defense of Competition and, where applicable, the previous Law 16/1989 of July 17, on the Defense of Competition.  </w:t>
        <w:br/>
        <w:t xml:space="preserve">Hence, its objective and functional competence is attributed by Law and exclusively by Law, as a Competition Chamber, having no hierarchical superior in this prior administrative route. It seems necessary to emphasize once again and repeat ad nauseam that its Resolutions can only be known-reviewed by the contentious-administrative jurisdiction: the National Court.  </w:t>
        <w:br/>
        <w:t xml:space="preserve">Neither the other Regulatory Supervision Chamber nor the Council of the National Commission of Markets and Competition can do so, since it lacks regulatory and supervisory powers over the resolutions issued by the respective Chambers.  </w:t>
        <w:br/>
        <w:t xml:space="preserve">Therefore, when the Reports in their Proposals for Resolution in this case (pages 5, 40, 43, 59, and 64) refer to the COUNCIL, they incur a terminological absurdity, BUT if they take a further step as in paragraph (20) by stating that “The COUNCIL concluded its deliberation and RULING on this file in its meeting (…) THEY INCUR IN NULLITY OF ACTIONS for being a manifestly incompetent body to issue Resolutions.  </w:t>
        <w:br/>
        <w:t>Thus, this Dissenting Counselor makes this clear, for the purposes provided in Law 30/1992 of November 26, on the Legal Regime of Public Administrations and the Common Administrative Procedure, under Articles 27, 145, and 146.</w:t>
      </w:r>
    </w:p>
    <w:p>
      <w:r>
        <w:t xml:space="preserve">SECOND.- Law 15/2007 of July 3, on the Defense of Competition, in its Article 61 Infringing Subjects states that “1. Individuals or legal entities that carry out actions or omissions classified as infringements by this Law shall be infringing subjects; 3. When a fine is imposed on an association, union, or grouping of companies and it is not solvent, the association shall be obliged to collect contributions from its members to cover the amount of the fine (…).”  </w:t>
        <w:br/>
        <w:t xml:space="preserve">In its Article 62 Infringements states that “4. Very serious infringements are (a) the development of collusive behaviors classified in Article 1 of the Law, consisting of cartels or other agreements, decisions, or collective recommendations, concerted practices or consciously parallel practices among competing companies, whether real or potential.”  </w:t>
        <w:br/>
        <w:t xml:space="preserve">Article 63 Sanctions states that “1c. Very serious infringements with a fine of up to 10 percent of the total turnover of the infringing company in the financial year immediately preceding the imposition of the fine.” “The total turnover of associations, unions, or groupings of companies shall be determined by considering the turnover of their members.”  </w:t>
        <w:br/>
        <w:t xml:space="preserve">In light of all the above and what is provided in Article 3 of the Civil Code, and harmonizing and relating the provisions in the first and third sections of the aforementioned Article 63 of Law 15/2007, it must be concluded by saying and prima facie initially abstracting from the possible modifying circumstances of liability, that:  </w:t>
        <w:br/>
        <w:t xml:space="preserve">a) the quantification segment for minor infringements ranges from 0.001% to 1%.  </w:t>
        <w:br/>
        <w:t xml:space="preserve">b) the quantification segment for serious infringements ranges from 1.001% to 5%.  </w:t>
        <w:br/>
        <w:t xml:space="preserve">and c) the quantification segment for very serious infringements ranges from 5.001% to 10%.  </w:t>
        <w:br/>
        <w:t>The opposite would be an interpretation contra legem that would lead to the absurdity that, once the conduct is classified and typified as very serious, it would end up imposing a sanction/fine quantified in the segment of serious conduct; or the serious conduct quantified in the segment of minor conduct. And so on to infinite absurdity.</w:t>
      </w:r>
    </w:p>
    <w:p>
      <w:r>
        <w:t xml:space="preserve">-----0-----  </w:t>
        <w:br/>
        <w:t xml:space="preserve">The jurisprudential doctrine develops these legal normative precepts in order that “the discretion that the Law grants must be executed weighing the concurrent circumstances in each case, in order to achieve the necessary and due proportionality between the alleged facts and the responsibility required, the effects in the market, the existence of modifying circumstances of the conduct, etc., given that every sanction must be determined in congruence with the principles of proportionality and individualization of the sanction, to adapt it to the severity of the conduct.”  </w:t>
        <w:br/>
        <w:t xml:space="preserve">Law 30/1992 of November 26, on the Legal Regime of Public Administrations and the Common Administrative Procedure, in Title IX “On the sanctioning power,” addresses in its Articles 129, 130, 131 such principles.  </w:t>
        <w:br/>
        <w:t xml:space="preserve">Principles assumed and developed by the Justice Chambers of the National Court, as well as the Supreme Court.  </w:t>
        <w:br/>
        <w:t xml:space="preserve">Thus, for merely indicative purposes, we cite the Supreme Court rulings, among others, that of December 1, 2010, Cassation Appeal 2685/2008; that of January 29, 2013, Cassation Appeal 2495/2012; and that of June 28, 2013, Cassation Appeal 1947/2010.  </w:t>
        <w:br/>
        <w:t>And from the National Court, among others, that of November 10, 2010, Appeal 637/2009; that of November 22, 2010, Appeal 365/2009; that of January 18, 2011, Appeal 266/2009; that of February 10, 2011, Appeal 318/2010; that of October 13, 2011, Appeal 795/2009; and that of November 10, 2011, Appeal 846/2009.</w:t>
      </w:r>
    </w:p>
    <w:p>
      <w:r>
        <w:t xml:space="preserve">THIRD.- One more item, the National Court in the very recent Judgment of January 30, 2014, Appeal 422/2012 establishes in the Sixth Legal Basis that “nevertheless, when quantifying sanctions in competition law, the concept of a company conceived as an economic unit must be taken into account.”  </w:t>
        <w:br/>
        <w:t xml:space="preserve">And in order to violate the principle of proportionality of sanctions and without prejudice to what is provided in Article 63.1.a) of Law 15/2007 of July 3, on the Defense of Competition, which states that “that is the maximum figure to be imposed, according to the declaration of the severity of the conduct, which does not necessarily mean that it must always proceed this way,” what it calls “sanctioning level threshold.”  </w:t>
        <w:br/>
        <w:t>And for this purpose, it recalls that “an essential principle of Spanish punitive sanctioning law is the division into degrees (minimum, medium, and maximum) depending on the determination of the amount of the fine in concurrence or not of modifying circumstances of liability.”</w:t>
      </w:r>
    </w:p>
    <w:p>
      <w:r>
        <w:rPr>
          <w:b/>
        </w:rPr>
        <w:t>[Pages 73–75]</w:t>
      </w:r>
    </w:p>
    <w:p>
      <w:r>
        <w:t>From there, the following must be assessed: (a) the modality and scope of the restriction of competition; (b) the size and characteristics of the affected market; (c) the effects of the infringement on consumers and users or on other economic operators; (d) the duration of the restrictive conduct of competition; and (e) the repetition and other circumstances modifying liability: aggravating and/or mitigating factors.</w:t>
      </w:r>
    </w:p>
    <w:p>
      <w:r>
        <w:t>FOURTH.- Article 1 of the Civil Code enshrines the "principle of normative hierarchy," meaning that it becomes unimaginable that a Communication, as a norm of lower rank, could be applicable to the detriment of legal provisions with the rank of Law: whether from Article 10 of Law 16/1989 of July 17, on the Defense of Competition; or from Articles 63, previous and subsequent concordant of Law 15/2007 of July 3, on the Defense of Competition.</w:t>
      </w:r>
    </w:p>
    <w:p>
      <w:r>
        <w:t>In this regard, the Constitutional Court in its Judgment 100/2003 of June 2, regarding "the Reservation of Law in the determination of administrative sanctions," establishes the following: "This opens the possibility for laws to refer to regulatory norms in this area, with the unbreachable limit, in any case, that such referral does not facilitate 'an independent regulation and not clearly subordinate to the Law' (SSTC 42/1987 of April 7; 101/1988 of June 8; 61/1990 of March 29; 341/1993 of November 18; 25/2002 of February 11).</w:t>
      </w:r>
    </w:p>
    <w:p>
      <w:r>
        <w:t>Ultimately, as highlighted in STC 113/2002 of May 9, reiterating what was previously stated in the Legal Foundation Third of STC 305/1993 of October 25, "Article 25 of the Constitution obliges the legislator to regulate by himself the types of administrative infringement and the sanctions applicable to them, without it being possible that, from the Constitution, new infringements can be typified or new sanctions introduced or the framework of the already existing ones altered by a regulatory norm whose content is not sufficiently predetermined or delimited by another with the rank of Law."</w:t>
      </w:r>
    </w:p>
    <w:p>
      <w:r>
        <w:t>-----0-----</w:t>
      </w:r>
    </w:p>
    <w:p>
      <w:r>
        <w:t>The same Constitutional Court recalls what was said in the previously expressed doctrine, in its STC 42/1987 of April 7: "The fundamental right thus stated (...) comprises a double guarantee. The first, of a material order and absolute scope, both regarding the strictly penal sphere and that of administrative sanctions, reflects the special significance of the principle of legal certainty in these limiting areas of individual freedom and translates into the imperative requirement of normative predetermination of illicit conduct and the corresponding sanctions.</w:t>
      </w:r>
    </w:p>
    <w:p>
      <w:r>
        <w:t>The second, of a formal nature, refers to the necessary rank of the norms typifying those conducts and regulating these sanctions, since, as this Court has repeatedly pointed out, the term 'current legislation' contained in Article 25.1 of the Spanish Constitution expresses a Reservation of Law in sanctioning matters" (for all SSTC 13/1999 of July 15; 276/2000 of November 16; 25/2002 of February 11; 75/2002 of April 8 and 113/2002 of May 9)."</w:t>
      </w:r>
    </w:p>
    <w:p>
      <w:r>
        <w:t>FIFTH.- This Dissenting Counselor understands as an incontrovertible obviousness that if this Sanctioning File has been instructed "in a unit of legal normative act" under the provisions of Law 15/2007 of July 3, on the Defense of Competition, regarding the examination and classification of the conducts as collusive under its Article 1; having established the seriousness of the same according to what is provided in its Article 62; it whimsically concludes that sanctions/fines should be imposed according to what is provided in the Communication, abstracting and disregarding the mandate of Article 63 of Law 15/2007 of July 3, on the Defense of Competition, with the addition that this violates the fundamental principles of legality and legal certainty, constitutionally enshrined in Article 9 and from the mandate of Article 103.</w:t>
      </w:r>
    </w:p>
    <w:p>
      <w:r>
        <w:t>SIXTH.- In any case and to further emphasize, I continue to reiterate my previously expressed opinion in my previous Dissenting Votes in the sense that the Communication in its mother formula (algorithm) on which it is based is an ad hoc creation; lacking scientific rigor; and what is worse, affecting the sanctioning scope, since "the basic amount will be obtained by applying to the volume of business affected by the infringing conduct a percentage that, STARTING FROM 10% MAY BE INCREASED considering the following criteria CUMULATIVELY: (a) if the infringement is classified as very serious, the percentage MAY BE INCREASED BY UP TO TEN PERCENTAGE POINTS; (b) if the market or markets related to the infringement correspond to an input capable of causing cascading effects in different markets, the percentage MAY BE INCREASED BY UP TO TEN PERCENTAGE POINTS. Therefore, the basic amount will be between 10% and 30% of the volume of business sales affected by the infringement."</w:t>
      </w:r>
    </w:p>
    <w:p>
      <w:r>
        <w:t>What has been previously written corresponds to Paragraph (14) of the Communication, in literal citation, which authorizes me not to make any further intellectual development of it. And if a simple citation: its application violates the fundamental principles of legality and legal certainty, generating defenselessness for the sanctioned parties, as its application always and in all cases EXCEEDS the threshold of up to 10% contemplated, in this specific case, in Law 15/2007 of July 3, on the Defense of Competition.</w:t>
      </w:r>
    </w:p>
    <w:p>
      <w:r>
        <w:t>SEVENTH.- The Resolution approved today, by simple majority, and from which I dissent, literally states in "page 69 Point 6.3 Basic amount of the sanction," in its first paragraph: "According to paragraph 8 of the Communication, the quantification of the sanction is carried out in the following phases: (i) determination of the basic amount of the sanction, (ii) application of the adjustment coefficient to the basic amount based on aggravating and mitigating factors, and (iii) adjustment, if applicable, to the limits established in the Law (10% limit) and to the illicit benefit obtained by the infringer."</w:t>
      </w:r>
    </w:p>
    <w:p>
      <w:r>
        <w:t>On the following page 65, last paragraph, the Resolution literally establishes: "The sum of the business volumes in the affected market during the period in which the infringement occurred (2004 to 2013, both included), weighted in a decreasing manner according to whether they are older periods (paragraph 15 of the Communication) yields the following result (see table)."</w:t>
      </w:r>
    </w:p>
    <w:p>
      <w:r>
        <w:t>On the following page 66, first paragraph, the Resolution literally establishes: "On this basis, the type (%) of the sanction should be applied. According to paragraph 14 of the Communication, the basic amount of the sanction, before considering aggravating or mitigating factors, will be obtained by applying to the volume of sales affected by the infringement 'a percentage that, starting from 10% MAY BE INCREASED (up to 30%) considering the following criteria: seriousness of the conduct or because it is a productive input capable of producing cascading effects in other markets.'"</w:t>
      </w:r>
    </w:p>
    <w:p>
      <w:r>
        <w:t>And on its pages 66 in fine and 67, the Resolution literally establishes: "In this case, this COUNCIL considers that in such case the percentage that best addresses the seriousness of the infringement is 15% on the previously calculated and weighted basis by duration, which determines fines of the following amount" (see table).</w:t>
      </w:r>
    </w:p>
    <w:p>
      <w:r>
        <w:t>It is worth noting that the amounts of the fines thus calculated significantly differ from the limit established in Article 63 of the LDC, that is, from 10% of the total business volume of the company in the year 2013, according to the information provided by each of them (...). The applied percentage (15%), on the other hand, almost coincides identically with that determined as applicable by the European Commission in a partially equivalent matter (...).</w:t>
      </w:r>
    </w:p>
    <w:p>
      <w:r>
        <w:rPr>
          <w:b/>
        </w:rPr>
        <w:t>[Pages 76–78]</w:t>
      </w:r>
    </w:p>
    <w:p>
      <w:r>
        <w:t>buen desempeño. En este caso, la empresa ha cometido una infracción en el mercado MB1, pero su volumen de negocios total incluye los ingresos de los mercados MB2 y MB3, donde no ha habido infracción. Si se sancionara a la empresa basándose en su volumen de negocios total, se estaría penalizando su desempeño en mercados donde no ha cometido ninguna infracción, lo que sería desproporcionado y contrario al espíritu de la Ley 15/2007.</w:t>
      </w:r>
    </w:p>
    <w:p>
      <w:r>
        <w:t>Por lo tanto, propongo que, para la aplicación del régimen sancionador, se considere únicamente el volumen de negocios correspondiente al mercado en el que se ha producido la infracción, es decir, el mercado MB1. Esto no solo es coherente con el principio de proporcionalidad, sino que también se alinea con el objetivo de la Ley de Defensa de la Competencia de garantizar un funcionamiento eficiente del mercado, evitando sanciones que puedan afectar negativamente a la competitividad de las empresas en mercados donde no han incurrido en conductas infractoras.</w:t>
      </w:r>
    </w:p>
    <w:p>
      <w:r>
        <w:t>En conclusión, la interpretación del término “volumen de negocios total” debe ser restrictiva y referirse únicamente a los ingresos generados en el mercado donde se ha cometido la infracción, en lugar de incluir todos los ingresos de la empresa en todos los mercados en los que opera. Esto asegurará que las sanciones sean justas y proporcionales a la gravedad de la infracción cometida.</w:t>
      </w:r>
    </w:p>
    <w:p>
      <w:r>
        <w:rPr>
          <w:b/>
        </w:rPr>
        <w:t>[Pages 79–81]</w:t>
      </w:r>
    </w:p>
    <w:p>
      <w:r>
        <w:t>serias, hasta el 10%) se convierten en sanciones fijas. Esto es, el sistema se convierte en un mecanismo que, en la práctica, impone sanciones automáticas, sin considerar adecuadamente las circunstancias específicas de cada caso.</w:t>
      </w:r>
    </w:p>
    <w:p>
      <w:r>
        <w:t>(IV) Conclusiones</w:t>
        <w:br/>
        <w:t>En conclusión, el enfoque actual para la determinación de sanciones en virtud de la Ley 15/2007, de Defensa de la Competencia, presenta serias deficiencias que pueden llevar a resultados injustos y desproporcionados. La interpretación del “volumen de negocios total de la empresa infractora” debe ser revisada para alinearse con el espíritu y finalidad de la ley, asegurando que las sanciones sean proporcionales a la gravedad de la infracción y al impacto real en el mercado afectado. Además, el método de cálculo de las sanciones debe ser ajustado para evitar la imposición de sanciones automáticas que no reflejan adecuadamente la realidad de cada caso.</w:t>
      </w:r>
    </w:p>
    <w:p>
      <w:r>
        <w:rPr>
          <w:b/>
        </w:rPr>
        <w:t>[Pages 82–84]</w:t>
      </w:r>
    </w:p>
    <w:p>
      <w:r>
        <w:t>very serious, up to 10%) become irrelevant (whatever the intention with which they were provided by the legislator).</w:t>
      </w:r>
    </w:p>
    <w:p>
      <w:r>
        <w:t>Let us now consider situation (b), that is, when the last year in which we know that the infringement occurred is not the year prior to year t in which the sanction is imposed, but one year prior to that. First, that "last year in which the infringement occurred" must be much earlier than year t in which the sanction is imposed; otherwise, we would find ourselves in the same situation as in (a). This is because a company's sales rarely experience significant changes between two consecutive years; in practice, it is almost always close to and this, in turn, to , etc. Therefore, unless the last year in which the infringement took place is far removed from year t in which the fine is imposed, the situation regarding IB, and therefore S, will be the same as in (a).</w:t>
      </w:r>
    </w:p>
    <w:p>
      <w:r>
        <w:t>But if the last year in which the infringement took place is far removed from year t in which the fine is imposed, we may find that the Commercial Code, Article 30.1, provides the infringing company with an escape route: "[...] the turnover corresponding to the financial years [...], [...] and [...] cannot be provided by the company, since, in accordance with what Article 30.1 of the Commercial Code allows, the documentation and supporting documents concerning its business and relating to those financial years are not retained," which forces the sanctioning body to "invent" the turnover for each of those years.</w:t>
      </w:r>
    </w:p>
    <w:p>
      <w:r>
        <w:t>The Communication proposes to do it as follows: "When for any or some of the years of the duration of the infringement it is not possible to calculate the turnover affected by the infringement, the turnover affected by the infringement of the last year in which there is evidence that the infringement occurred will be attributed to such years [...]. In those cases where it is not even possible to calculate the turnover affected by the infringement during the last year of the same, the turnover of the annual accounts approved in the last fiscal year will be taken instead." With this, the probability of generating the same situation as in (a) increases.</w:t>
      </w:r>
    </w:p>
    <w:p>
      <w:r>
        <w:t>(IV) Consequences of applying the "COMMUNICATION"</w:t>
      </w:r>
    </w:p>
    <w:p>
      <w:r>
        <w:t>The immediate consequence of applying the method of determining fines contemplated in the Communication is that they tend to be much higher than those that, strictly applied, Law 15/2007 produces. This happens because, as has already been indicated, this "method" presents, by construction, a mathematical bias to make disappear from Article 63.1 the qualification "up to," being replaced by "always":</w:t>
      </w:r>
    </w:p>
    <w:p>
      <w:r>
        <w:t>For minor infringements, always 1%; for serious infringements, always 5%; and for very serious infringements, always 10%.</w:t>
      </w:r>
    </w:p>
    <w:p>
      <w:r>
        <w:t>There is only one way to avoid this bias, and even then only in the case of multi-product and/or multi-market companies, and not always. It consists of interpreting the concept "total turnover of the infringing company in the financial year immediately prior to the imposition of the fine" as the consolidated income of the company. In that case, and if the infringement also extends at least to t-2, then &lt;0.1 (but it is more difficult for it to result in &lt;0.05 and &lt;0.01). However, as we have pointed out (See Section [I] of the PREAMBLE), that interpretation of the concept "total turnover [...]" is unacceptable.</w:t>
      </w:r>
    </w:p>
    <w:p>
      <w:r>
        <w:t>The second consequence, probably derived from the above, is that the AN is not in favor of such a "method" and, as a result, systematically annuls at that point (the determination of the amount of the fines) any Resolutions of the Council of the now-defunct CNC that come under its jurisdiction as a result of the contentious-administrative appeals filed by the sanctioned companies.</w:t>
      </w:r>
    </w:p>
    <w:p>
      <w:r>
        <w:t>It also happens that, as &gt;0.1, the sanctioning body is forced to consider that the true picture of sanctions is not Article 63.1, but that resulting from the algorithm; so that the intervals (0%,1%), (0%,5%) and (0%,10%) of Article 63.1 (with their respective high, medium, and low degrees, as Spanish sanctioning law observes) are not true sanctioning intervals, but mere indicators of the maximum fine that can be imposed when exceeded. In other words, the 1%, 5%, and 10% of Article 63.1 are not the upper limit of each sanctioning interval but mere "leveling thresholds" [sic] of the sanctions obtained with the algorithm; and thus, the sanctioning framework of Law 15/2007 is hijacked by the sanction calculation method of the Communication and replaced by the result of it, which is completely different – something that, in my opinion, the CNMC is not authorized to do. The National Court has repeatedly rejected this hijacking of the sanctioning framework of Law 15/2007.</w:t>
      </w:r>
    </w:p>
    <w:p>
      <w:r>
        <w:t>Based on all of the above, I will substantiate some of my disagreements with the "Resolution"</w:t>
      </w:r>
    </w:p>
    <w:p>
      <w:r>
        <w:t>FIRST.- The Resolution states (p. 62): "Criteria for determining the fine [...] the process of determining the fine follows what is provided in the aforementioned Communication." In light of what has been stated in the PREAMBLE, it is clear that in my opinion this method of determining the fine is inappropriate.</w:t>
      </w:r>
    </w:p>
    <w:p>
      <w:r>
        <w:t>SECOND.- The Resolution states the following (p. 64): "[...] it is once the sanction is calculated according to [the Communication], when it is appropriate to verify that the threshold of the maximum limit of 10% has not been exceeded [...]." That is to say, as indicated in Section II of the PREAMBLE, the Resolution puts the cart before the horses: "amount of the fine → % of turnover..." And it continues (p. 63, emphasis added):</w:t>
      </w:r>
    </w:p>
    <w:p>
      <w:r>
        <w:t>[...] Ultimately, Article 63.1 of the LDC does not set a sanctioning range, but a limit [...] This provision does not have the condition of a liquidation element or a graduation of the fine, but constitutes a maximum threshold beyond which it is not possible to sanction without the payment of the fine generating the risk of the company's disappearance."</w:t>
      </w:r>
    </w:p>
    <w:p>
      <w:r>
        <w:t>I do not know if the legislator of 2007 set the sanctioning ceiling at "10% of turnover, etc." thinking that a higher percentage could "generate the risk of the company's disappearance," but what is undoubtedly true is that Article 63.1 of Law 15/2007 does much more than that. Specifically, it does set, in accordance with our Constitution, a sanctioning range, with precise mathematical intervals for the different types of infringements (minor, serious, and very serious), each of which has, by application of Spanish sanctioning law, its corresponding division into low, medium, and high degrees; in short, a complete sanctioning framework, of which "10%" is indeed a part, just like all points of the interval (0%,10%), depending in each case on the type of infringement with which they are associated.</w:t>
      </w:r>
    </w:p>
    <w:p>
      <w:r>
        <w:t>It is a different matter that, as argued in Section IV of the PREAMBLE, the sanctioning framework of Law 15/2007 is "hijacked" by the sanction calculation method of the Communication, being replaced, de facto, by the result of this, which is completely different – something that, as I have pointed out above, in my opinion the CNMC is not authorized to do.</w:t>
      </w:r>
    </w:p>
    <w:p>
      <w:r>
        <w:t>THIRD.- The "hijacking" of the sanctioning framework of Law 15/2007 by the Communication originates from the fact that, as pointed out in the PREAMBLE, the sanction calculation method of the Communication has –by construction– a structural bias to generate sanctions much higher than 10% of the sales made by the infringing company in the affected market in the financial year immediately prior to the imposition of the fine, and the case we are dealing with is an example of this.</w:t>
      </w:r>
    </w:p>
    <w:p>
      <w:r>
        <w:rPr>
          <w:b/>
        </w:rPr>
        <w:t>[Pages 85–86]</w:t>
      </w:r>
    </w:p>
    <w:p>
      <w:r>
        <w:t>In effect, the Resolution concludes by imposing fines in the amounts noted on page 65 and has RESOLVED FIRST; and states (page 67) that these fines are significantly distant from the 10% limit of the turnover established in Law 15/2007, of July 3, on the Defense of Competition. But that is because the turnover that has been used is, in my opinion, not the appropriate one. I have argued in Section I of the Preamble that the "total turnover of the company in the fiscal year immediately prior to the imposition of the fine" referred to in Law 15/2007 is not the consolidated income of the company (which is the one used in this Resolution), but exclusively that obtained in the market affected by the infringement. When this is taken into account, the imposed fines exceed, by far, the aforementioned limit.</w:t>
      </w:r>
    </w:p>
    <w:p>
      <w:r>
        <w:t>FOURTH.- If the previous argumentative development questions the Communication –and therefore the sanctioning procedure of the Resolution– regarding the appropriate mathematical construction to determine the amount of the sanctions provided for in Law 15/2007, of July 3, on the Defense of Competition, the substantive issue lies in the violation of the principle of legality and, consequently, of legal certainty, which inevitably leads to the violation of effective judicial protection, ex Articles 9 and 24 of the Spanish Constitution. The Communication clashes with the principle of legality by attempting to give greater applicative weight to a provision with a normative rank inferior to Law, than to specific legal precepts that do have that rank: Article 10 of Law 16/1989, of July 17, on the Defense of Competition, and Articles 62 and following and concordant of Law 15/2007, of July 3, on the Defense of Competition, precepts that have had a constitutional and jurisprudential doctrinal development. As a simple mention, it is worth citing, among others, the STC 100/2003, of June 2, which regarding the reservation of Law in the determination of administrative sanctions establishes the following: "This opens up the possibility for laws to refer to regulatory norms in this area, with the unbreachable limit, in any case, that such referral does not facilitate 'an independent regulation not clearly subordinate to the Law' (SSTC 42/1987, of April 7, FJ 2; 101/1988, of June 8, FJ 3; 61/1990, of March 29, FJ 8; 341/1993, of November 18, FJ 10; and 25/2002, of February 11, FJ 4). Ultimately, as highlighted in STC 113/2002, of May 9, FJ 3, reiterating what has already been said in legal foundation 3 of STC 305/1993, of October 25, "Article 25 of the Constitution obliges the legislator to regulate by himself the types of administrative infringement and the sanctions applicable to them, without it being possible that, from the Constitution, new sanctions can be introduced or the framework of existing ones altered by a regulatory norm whose content is not sufficiently predetermined or delimited by another with the rank of Law."</w:t>
      </w:r>
    </w:p>
    <w:p>
      <w:r>
        <w:t>Previously, it recalls what was said in the doctrine expressed by STC 42/1987, of April 7: "The fundamental right thus enunciated incorporates the rule 'nullum crimen nulla poena sine [praevia] lege', extending it even to the administrative sanctioning system, and encompasses a double guarantee. The first, of a material nature and absolute scope, both regarding the strictly penal sphere and that of administrative sanctions, reflects the special significance of the principle of security in these limiting areas of individual freedom and translates into the imperative requirement of normative predetermination of illicit conduct and the corresponding sanctions. The second, of a formal nature, refers to the necessary rank of the norms typifying those conducts and regulating these sanctions, since, as this Court has repeatedly pointed out, the term 'current legislation' contained in said Article 25.1 is expressive of a reservation of Law in sanctioning matters" (loc. cit., FJ 2). […] We have emphasized this double guarantee in SSTC 133/1999, of July 15, FJ 2; 276/2000, of November 16, FJ 6; 25/2002, of February 11, FJ 4; 75/2002, of April 8, FJ 4; and 113/2002, of May 9, FJ 3 […]</w:t>
      </w:r>
    </w:p>
    <w:p>
      <w:r>
        <w:t>[…] In what is now strictly relevant, we must point out that, assuming the linkage of the material guarantee with the principle of legal certainty, this Court has specified that it incorporates the mandate of taxativity or lex certa, "which translates into the requirement of normative predetermination of punishable conduct and their corresponding sanctions" (among others, SSTC 142/1999, of July 22, FJ 3, and 123/2001, of June 4, FJ 11). Certainty implies, as the AN has also pointed out (among others, SAN of December 23, 2013, Appeal No. 188/2012) "a clear determination regarding the applicable sanction, establishing at least a minimum and a maximum, which allows for the grading of the administrative sanction […]".</w:t>
      </w:r>
    </w:p>
    <w:p>
      <w:r>
        <w:t>In conclusion, my disagreement with the Resolution is based on two considerations: The first, because a norm of inferior rank to Law (the "Communication on sanctions" of the defunct CNC) cannot challenge what is established by a norm that does have that rank (Law 15/2007, on the Defense of Competition). The second, because the Communication is an ad hoc creation and its application leads to an arithmetic result exceeding the sanction ceiling, which is then whimsically corrected to reduce it to that ceiling, representing a procedure for determining fines that operates in the opposite direction to that contemplated in the aforementioned Law 15/2007, with the consequences outlined in this Particular Dissenting Vote.</w:t>
      </w:r>
    </w:p>
    <w:p>
      <w:r>
        <w:t xml:space="preserve">Thus, by this my Dissenting Particular Vote, I pronounce, command, and sign in Madrid, on December 5, 2014.  </w:t>
        <w:br/>
        <w:t>Signed: Benigno Valdés Díaz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