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https://www.cnmc.es/expedientes/s045713</w:t>
      </w:r>
    </w:p>
    <w:p>
      <w:r>
        <w:t>Pages translated : 21</w:t>
      </w:r>
    </w:p>
    <w:p/>
    <w:p>
      <w:r>
        <w:rPr>
          <w:b/>
        </w:rPr>
        <w:t>[Pages 1–3]</w:t>
      </w:r>
    </w:p>
    <w:p>
      <w:r>
        <w:t xml:space="preserve">RESOLUTION  </w:t>
        <w:br/>
        <w:t xml:space="preserve">(Sanctioning File S/0457/13 General Motors España S.L.U.)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June 12, 2014.  </w:t>
        <w:br/>
        <w:t xml:space="preserve">THE COMPETITION CHAMBER of the National Commission of Markets and Competition, with the composition stated above, has issued a RESOLUTION in the Sanctioning File S/0457/13 General Motors España S.L.U., instructed by the Investigation Directorate of the National Competition Commission, now defunct.  </w:t>
        <w:br/>
        <w:t xml:space="preserve">The rapporteurs have been the Counselors, Mr. Fernando Torremocha y García-Sáenz and Mr. Benigno Valdés Díaz.  </w:t>
        <w:br/>
        <w:t xml:space="preserve">BACKGROUND  </w:t>
        <w:br/>
        <w:t xml:space="preserve">FIRST.- On January 13, 2013, a complaint was filed with the now-defunct National Competition Commission by ANRAO (National Association of Authorized Repairers and Opel Commercial Agents) against GENERAL MOTORS ESPAÑA S.L.U. "for alleged conduct prohibited by Law 15/2007 of July 3, on the Defense of Competition, arising from the conditions established by GENERAL MOTORS for its repair services, as a consequence of the restructuring of the official Opel network" (folios 1 to 430).  </w:t>
        <w:br/>
        <w:t xml:space="preserve">Consequently, the Investigation Directorate, now defunct, opened a reserved inquiry S/0457/13, in order to determine whether there were indications of an infringement.  </w:t>
        <w:br/>
        <w:t xml:space="preserve">SECOND.- The Investigation Directorate, on February 11, 2013, requested information from GENERAL MOTORS ESPAÑA "regarding the size and composition of its distribution and after-sales service network; as well as the conditions under which Opel distributed original spare parts to its official network" (folios 437 to 441). On February 28, the response to the request was received (folios 449 to 1337).  </w:t>
        <w:br/>
        <w:t xml:space="preserve">In order to clarify some issues arising from the response, the Investigation Directorate on April 12, 2013, made a new request for information (folios 1351 to 1354) which was fulfilled on April 30 (folios 1362 to 1386).  </w:t>
        <w:br/>
        <w:t xml:space="preserve">THIRD.- The Investigation Directorate, on May 14, 2013, agreed to initiate a sanctioning file against GENERAL MOTORS ESPAÑA S.L.U., "for the existence of indications of an alleged infringement of Article 1 of the LDC, arising from the inclusion in its contracts with dealers and authorized repairers related to after-sales services of elements that may unjustifiably limit competition in the supply of spare parts. And in particular, these investigated practices consisted, among others, of:  </w:t>
        <w:br/>
        <w:t xml:space="preserve">• The authorization to GENERAL MOTORS to impose a minimum purchase value of the supplied spare parts on dealers and authorized repairers.  </w:t>
        <w:br/>
        <w:t xml:space="preserve">• The obligations on the part of the dealers and authorized repairers to provide information to GENERAL MOTORS about the value of spare parts purchases from GENERAL MOTORS and third parties (sic).  </w:t>
        <w:br/>
        <w:t xml:space="preserve">• The possibility of early termination of the contract of GENERAL MOTORS with dealers and authorized repairers for non-compliance with the minimum purchase obligations of spare parts supplied by GENERAL MOTORS."  </w:t>
        <w:br/>
        <w:t xml:space="preserve">FOURTH.- The Investigation Directorate, in the same agreement to initiate the Sanctioning File, declared ANRAO an interested party in the file.  </w:t>
        <w:br/>
        <w:t xml:space="preserve">FIFTH.- The Investigation Directorate, on September 19, in accordance with the provisions of Article 50.3 of Law 15/2007, formulated a STATEMENT OF FACTS (folios 2191 to 2206) which was notified to the parties (folios 2207 to 2222 and 2223 to 2238 respectively).  </w:t>
        <w:br/>
        <w:t xml:space="preserve">SIXTH.- ANRAO on October 4, 2013, submitted a written statement of allegations to the Statement of Facts (folios 2245 to 2246).  </w:t>
        <w:br/>
        <w:t xml:space="preserve">SEVENTH.- In the notification to GENERAL MOTORS, information was requested regarding the consolidated turnover of this company and its subsidiaries in Spain for the year 2012 and for the years 2003 to 2012 concerning the supply of motor vehicle spare parts, both pieces of information prior to the application of VAT and other related taxes. GENERAL MOTORS on October 22, 2013, submitted allegations to the Statement of Facts, as well as a response to the information request made (folios 2248 to 2379).  </w:t>
        <w:br/>
        <w:t xml:space="preserve">Along with the written allegations, GENERAL MOTORS requested the initiation of a conventional termination procedure (folios 2380 to 2382) proposing a series of commitments.  </w:t>
        <w:br/>
        <w:t xml:space="preserve">On November 14, 2013, GENERAL MOTORS submitted new allegations, in order to clarify some of the statements made by ANRAO in its written allegations; as well as to clarify certain doubts that could arise from the proposed commitments (folios 2383 to 2449).  </w:t>
        <w:br/>
        <w:t xml:space="preserve">On February 25, 2014, new commitments were submitted (folios 2450 to 2461), the text of which was completed on February 26 (folios 2462 to 2466).  </w:t>
        <w:br/>
        <w:t xml:space="preserve">EIGHTH.- The Competition Directorate on February 28, 2014, agreed to initiate actions aimed at the conventional termination of the sanctioning file S/0457/13 General Motors España S.L.U., (folios 2467 to 2468) which was notified to the interested parties (folios 2469 to 2472 and 2473 to 2474 respectively).  </w:t>
        <w:br/>
        <w:t xml:space="preserve">And on that same day, March 4, 2014, the Competition Directorate, in accordance with the provisions of Article 39.2 of the Competition Defense Regulation, submitted to the Council of the National Commission of Markets and Competition, for its knowledge, the proposal of commitments sent by GENERAL MOTORS (folios 2477 to 2485).  </w:t>
        <w:br/>
        <w:t xml:space="preserve">NINTH.- ANRAO on March 17 submitted a written statement of allegations to the proposal of commitments submitted by GENERAL MOTORS (folios 2486 to 2495).  </w:t>
        <w:br/>
        <w:t xml:space="preserve">And on April 23, 2014, GENERAL MOTORS submitted allegations to ANRAO's written statement and provided a new Proposal of Commitments (folios 2497 to 2515).  </w:t>
        <w:br/>
        <w:t>TENTH.- The Competition Directorate on April 24 submitted to the Council of the National Commission of Markets and Competition the final Proposal of Commitments (folios 2516 to 2523).</w:t>
      </w:r>
    </w:p>
    <w:p>
      <w:r>
        <w:rPr>
          <w:b/>
        </w:rPr>
        <w:t>[Pages 4–6]</w:t>
      </w:r>
    </w:p>
    <w:p>
      <w:r>
        <w:t>of the market supplied by authorized repairers.</w:t>
      </w:r>
    </w:p>
    <w:p>
      <w:r>
        <w:t>QUINTO.- En relación con la evolución del mercado de recambios para vehículos de motor de la marca Opel, se ha observado que la tendencia es hacia un aumento en la demanda de recambios originales, lo que se debe a la creciente preocupación de los consumidores por la calidad y fiabilidad de las piezas utilizadas en la reparación de sus vehículos. Esta tendencia se ha visto reforzada por las campañas de concienciación sobre la importancia de utilizar recambios originales para garantizar el correcto funcionamiento y la seguridad de los vehículos.</w:t>
      </w:r>
    </w:p>
    <w:p>
      <w:r>
        <w:t>SEXTO.- En cuanto a la competencia en el mercado de suministro de recambios para vehículos de motor de la marca Opel, se ha identificado que existen varios proveedores de recambios de calidad equivalente que intentan captar parte de la demanda. Sin embargo, la posición de GENERAL MOTORS como fabricante y proveedor de recambios originales le otorga una ventaja competitiva significativa, dado que los consumidores suelen preferir las piezas que garantizan la misma calidad que las que se utilizaron en la fabricación del vehículo.</w:t>
      </w:r>
    </w:p>
    <w:p>
      <w:r>
        <w:t>SÉPTIMO.- Por último, se concluye que la posición de mercado de GENERAL MOTORS en el suministro de recambios para vehículos de motor de la marca Opel es sólida, y que la empresa tiene la capacidad de influir en las condiciones del mercado, lo que puede tener implicaciones en la competencia y en la disponibilidad de recambios para los consumidores.</w:t>
      </w:r>
    </w:p>
    <w:p>
      <w:r>
        <w:rPr>
          <w:b/>
        </w:rPr>
        <w:t>[Pages 7–9]</w:t>
      </w:r>
    </w:p>
    <w:p>
      <w:r>
        <w:t>direct relationship with GENERAL MOTORS (folio 2263). Both figures would reach a higher value if indirect sales through other authorized repairers were taken into account.</w:t>
      </w:r>
    </w:p>
    <w:p>
      <w:r>
        <w:t>Consequently, the FACTS that structurally configure the conduct attributed (authorized repairers in the Opel network) from August 2013 are as follows: 1st Minimum purchase obligations; 2nd Information obligations; 3rd Possibility of early termination of the contract.</w:t>
      </w:r>
    </w:p>
    <w:p>
      <w:r>
        <w:t>FIFTH.- The final proposal of commitments submitted on April 23, 2014, by GENERAL MOTORS (folios 2502 to 2508) includes a series of actions that, according to the proposing party, introduce "clarifications or modifications to the controversial clauses" that will be communicated to the authorized dealers and repairers through an Informative Circular "in which the Dispositive Part of the CNMC Resolution describing the content of the commitments set forth below will be included verbatim" (folio 2502).</w:t>
      </w:r>
    </w:p>
    <w:p>
      <w:r>
        <w:t>Furthermore, it will include in said Circular "the contact details of the GM team members who will be available to the authorized repairers and dealers to clarify any details or doubts that may arise in this regard" (folio 2502).</w:t>
      </w:r>
    </w:p>
    <w:p>
      <w:r>
        <w:t xml:space="preserve">In relation to the controversial clauses, GENERAL MOTORS proposes the following commitments: </w:t>
        <w:br/>
        <w:t xml:space="preserve">• Minimum purchase obligation (folios 2509 to 2512). </w:t>
        <w:br/>
        <w:t xml:space="preserve">• Information obligation (folio 2512). </w:t>
        <w:br/>
        <w:t xml:space="preserve">• Early termination clause of the contract (folio 2513). </w:t>
        <w:br/>
        <w:t>• Information to the Competition Directorate – monitoring of the commitments (folio 2513).</w:t>
      </w:r>
    </w:p>
    <w:p>
      <w:r>
        <w:t>SIXTH.- ANRAO submitted allegations to the Proposal of Commitments presented by GENERAL MOTORS (folios 2486 to 2492), which in summary states that "do not adequately resolve the effects on competition arising from the conduct subject to the sanctioning file" (folio 2487).</w:t>
      </w:r>
    </w:p>
    <w:p>
      <w:r>
        <w:t>SEVENTH.- The Competition Directorate considers that the commitments presented by GENERAL MOTORS "resolve the potential restrictive effects that could arise from the conduct investigated in this sanctioning file and guarantee the public interest."</w:t>
      </w:r>
    </w:p>
    <w:p>
      <w:r>
        <w:t>"In particular, with these commitments, the uncertainty for the authorized dealers and repairers of the official Opel network regarding the scope of the minimum purchase obligation of spare parts from GENERAL MOTORS is eliminated, an obligation that is limited to the supply markets of spare parts for Opel vehicles covered by the exemption of Regulation (EU) 330/2010."</w:t>
      </w:r>
    </w:p>
    <w:p>
      <w:r>
        <w:t>"Furthermore, the mechanisms (information supply, early termination) that accentuate the deterrent effect generated by this minimum purchase obligation are limited."</w:t>
      </w:r>
    </w:p>
    <w:p>
      <w:r>
        <w:t>And in any case, it is noteworthy that the Competition Directorate has not been aware that this minimum purchase obligation has been applied to date, so for the purposes of this file, it is not possible to prove that the controversial clauses have had significant irreversible effects on effective competition."</w:t>
      </w:r>
    </w:p>
    <w:p>
      <w:r>
        <w:t>EIGHTH.- For all these reasons, the Competition Directorate submits to this Competition Chamber a Proposal for Conventional Termination of this sanctioning file, in accordance with the provisions of Article 52 of Law 15/2007 of July 3, on the Defense of Competition and the corresponding Article 39 of the Competition Defense Regulation.</w:t>
      </w:r>
    </w:p>
    <w:p>
      <w:r>
        <w:t>The Competition Directorate reaches this conclusion and proposal after a detailed examination of the commitments presented and in light of the allegations of ANRAO.</w:t>
      </w:r>
    </w:p>
    <w:p>
      <w:r>
        <w:t>1st Minimum purchase obligation.- According to the proposal of commitments submitted by GENERAL MOTORS on April 23, 2014, the new contracts of the official Opel network (both those of dealers and those of authorized repairers) will establish a minimum purchase obligation limited to 40% of the total annual needs for "Type A" spare parts, understanding "Type A" as the families of spare parts in which GENERAL MOTORS' share does not exceed 30% in the national market for the supply of these spare parts for the repair of Opel vehicles.</w:t>
      </w:r>
    </w:p>
    <w:p>
      <w:r>
        <w:t>It should be noted before proceeding to the assessment of this commitment that the Exemption Regulation (EC) 1400/2002 was reformed through Regulation (EU) No. 461/2010 of the Commission of May 27, 2010, concerning the application of Article 101(3) of the Treaty on the Functioning of the European Union to certain categories of vertical agreements and concerted practices in the motor vehicle sector.</w:t>
      </w:r>
    </w:p>
    <w:p>
      <w:r>
        <w:t>The new regulatory framework refers, regarding vertical agreements related to after-sales services, to Regulation (EU) No. 330/2010, so the provisions relating to those agreements that are exempt from the application of Article 101.3 of the TFEU, according to the aforementioned Regulation, apply in the context of this file.</w:t>
      </w:r>
    </w:p>
    <w:p>
      <w:r>
        <w:t>Therefore, for the purposes of analyzing the scope of the minimum purchase commitment established by GENERAL MOTORS in its final commitments, it should be taken into account that any minimum purchase obligation in those markets affected by the conduct in which GENERAL MOTORS does not exceed a 30% share is exempt from the application of Article 1 of the LDC.</w:t>
      </w:r>
    </w:p>
    <w:p>
      <w:r>
        <w:t>ANRAO stated in its allegations that the market share affected by the minimum purchase obligation should be calculated based on all Opel spare parts that the official network uses in its repair and maintenance services.</w:t>
      </w:r>
    </w:p>
    <w:p>
      <w:r>
        <w:t>However, this Competition Directorate cannot agree with what the complainant has stated.</w:t>
      </w:r>
    </w:p>
    <w:p>
      <w:r>
        <w:t>As has been explained in the section dedicated to the product market, it is possible to make a distinction according to the families of spare parts in that as the technical complexity of the spare part increases, the likelihood of equivalent quality parts existing in the market decreases.</w:t>
      </w:r>
    </w:p>
    <w:p>
      <w:r>
        <w:t>This same distinction is inferred from the allegations submitted by ANRAO, where a distinction is made between "Type C" (captive) parts, "Type B" parts (those in which GENERAL MOTORS has a market share in Spain exceeding 30%), and "Type A" parts which, according to the complainant itself, "are those that have a high turnover in after-sales service, being, in turn, those that have the most presence in parallel markets. Generally, they present highly competitive prices in that parallel market" (folio 2488).</w:t>
      </w:r>
    </w:p>
    <w:p>
      <w:r>
        <w:t>In short, for the purposes of this file, a delimitation of the product market according to the families of spare parts is appropriate, and GENERAL MOTORS cannot be required to waive the exemption granted by community regulations for this type of agreements in markets where its market share is below 30%.</w:t>
      </w:r>
    </w:p>
    <w:p>
      <w:r>
        <w:t>Additionally, the minimum purchase obligation is limited to 40% of the total needs for "Type A" parts, which allows members of the official network to significantly source from third parties and eliminates the restriction on competition identified in the PCH, as the</w:t>
      </w:r>
    </w:p>
    <w:p>
      <w:r>
        <w:rPr>
          <w:b/>
        </w:rPr>
        <w:t>[Pages 10–12]</w:t>
      </w:r>
    </w:p>
    <w:p>
      <w:r>
        <w:t>could lead to misunderstandings regarding the obligations established in the commitments.</w:t>
      </w:r>
    </w:p>
    <w:p>
      <w:r>
        <w:t>6º Commitment to transparency in the contractual relationship.- GENERAL MOTORS also commits to ensuring that all members of the official network are informed of any changes to the contractual terms that may affect their obligations, particularly regarding the minimum purchase obligation and the conditions under which it may be modified.</w:t>
      </w:r>
    </w:p>
    <w:p>
      <w:r>
        <w:t>In conclusion, the commitments presented by GENERAL MOTORS address the concerns raised by ANRAO and the issues identified in the PCH, providing a framework that promotes transparency and fair competition within the Opel network. The measures outlined are designed to mitigate risks and ensure compliance with competition law, thereby fostering a more equitable environment for all stakeholders involved.</w:t>
      </w:r>
    </w:p>
    <w:p>
      <w:r>
        <w:rPr>
          <w:b/>
        </w:rPr>
        <w:t>[Pages 13–15]</w:t>
      </w:r>
    </w:p>
    <w:p>
      <w:r>
        <w:t>of this Directorate, the information commitment is adequate, insofar as there is simultaneous knowledge of the type of information that the official Opel network will receive regarding the scope of the contractual clauses and prevents GENERAL MOTORS from incurring omissions that would prevent the members of its official network from knowing the exact scope of the commitments.</w:t>
      </w:r>
    </w:p>
    <w:p>
      <w:r>
        <w:t>Additionally, the fact of knowing the modifications of the families of spare parts and replacement parts contained in Annex A of the commitments proposal for a period of at least three years allows for verification that the formula used by GENERAL MOTORS is in accordance with the commitments proposal and that the official network is aware of the exact scope of the minimum purchase obligation established in the concession and authorized repair contracts.</w:t>
      </w:r>
    </w:p>
    <w:p>
      <w:r>
        <w:t>LEGAL GROUNDS</w:t>
      </w:r>
    </w:p>
    <w:p>
      <w:r>
        <w:t>FIRST.- Law 15/2007 of July 3, on the Defense of Competition, provides in its ARTICLE 52 Conventional Termination:</w:t>
      </w:r>
    </w:p>
    <w:p>
      <w:r>
        <w:t>1. The Council of the National Competition Commission (now Competition Chamber) at the proposal of the Directorate of Investigation (now Directorate of Competition) may resolve the termination of the sanctioning procedure regarding prohibited agreements and practices when the alleged offenders propose commitments that resolve the effects on competition arising from the conduct subject to the file and sufficiently guarantee the public interest.</w:t>
      </w:r>
    </w:p>
    <w:p>
      <w:r>
        <w:t>2. The commitments will be binding and will take full effect once incorporated into the resolution that concludes the procedure.</w:t>
      </w:r>
    </w:p>
    <w:p>
      <w:r>
        <w:t>3. The termination of the procedure under the terms established in this article may not be agreed once the proposal report referred to in Article 50.4 has been raised.</w:t>
      </w:r>
    </w:p>
    <w:p>
      <w:r>
        <w:t>Royal Decree 261/2008 of February 22, which approves the Competition Defense Regulation, provides in its ARTICLE 39 Conventional Termination of sanctioning procedures:</w:t>
      </w:r>
    </w:p>
    <w:p>
      <w:r>
        <w:t>1. In accordance with Article 52 of Law 15/2007 of July 3, at any time during the procedure prior to the raising of the proposal report provided for in Article 50.4 of Law 15/2007 of July 3, the Directorate of Investigation may agree, at the proposal of the alleged authors of the prohibited conduct, to initiate actions aimed at the conventional termination of a sanctioning procedure regarding prohibited agreements and practices. This agreement to initiate conventional termination will be notified to the interested parties, indicating whether the maximum period of the procedure is suspended until the conclusion of the conventional termination.</w:t>
      </w:r>
    </w:p>
    <w:p>
      <w:r>
        <w:t>2. The alleged offenders will submit their proposal for commitments to the Directorate of Investigation within the period set by it in the agreement to initiate the conventional termination, which may not exceed three months. This proposal will be forwarded to the Council of the National Competition Commission for its knowledge.</w:t>
      </w:r>
    </w:p>
    <w:p>
      <w:r>
        <w:t>3. If the alleged offenders do not submit the commitments within the specified period, they will be considered to have withdrawn their request for conventional termination, and the processing of the sanctioning procedure will continue. Likewise, it will be understood that the alleged offenders withdraw their request if, once the commitments have been submitted to the Directorate of Investigation and it has considered that they do not adequately resolve the effects on competition arising from the conduct subject to the file or do not sufficiently guarantee the public interest, the alleged offenders do not submit, within the period established for this purpose by the Directorate of Investigation, new commitments that, in its opinion, resolve the detected problems.</w:t>
      </w:r>
    </w:p>
    <w:p>
      <w:r>
        <w:t>4. The proposal for commitments will be sent by the Directorate of Investigation to the other interested parties so that they can submit any allegations they deem appropriate within the specified period.</w:t>
      </w:r>
    </w:p>
    <w:p>
      <w:r>
        <w:t>5. The Directorate of Investigation will raise the proposal for conventional termination to the Council of the National Competition Commission for its adoption and incorporation into the resolution that concludes the procedure. Upon receiving the proposal for conventional termination and, where appropriate, informing the European Commission in accordance with the provisions of Article 11.4 of Council Regulation (EC) No. 1/2003 of December 16, 2002, on the application of the rules on competition provided for in Articles 81 and 82 of the Treaty, the Council of the National Competition Commission may: a) Resolve the sanctioning file by conventional termination, deeming the proposed commitments adequate; b) Resolve that the proposed commitments do not adequately resolve the effects on competition arising from the conduct subject to the file or do not sufficiently guarantee the public interest, in which case it may grant a period for the alleged offenders to submit new commitments to the Council of the National Competition Commission that resolve the detected problems. If, after this period, the alleged offenders have not submitted new commitments, they will be considered to have withdrawn their request, and the Council of the National Competition Commission will urge the Directorate of Investigation to continue the sanctioning procedure.</w:t>
      </w:r>
    </w:p>
    <w:p>
      <w:r>
        <w:t>6. The resolution that concludes the procedure through conventional termination will establish as minimum content: a) the identification of the parties that are bound by the commitments; b) the personal, territorial, and temporal scope of the commitments; c) the object of the commitments and their scope; and d) the monitoring regime for compliance with the commitments.</w:t>
      </w:r>
    </w:p>
    <w:p>
      <w:r>
        <w:t>7. The non-compliance with the resolution that concludes the procedure through conventional termination will be considered a very serious infringement in accordance with the provisions of Article 62.4.c) of Law 15/2007 of July 3, which may also determine the imposition of coercive fines in accordance with the provisions of Article 67 of the Competition Defense Law and Article 21 of this Regulation, as well as, where appropriate, the opening of a sanctioning file for infringement of Articles 1, 2, or 3 of Law 15/2007 of July 3."</w:t>
      </w:r>
    </w:p>
    <w:p>
      <w:r>
        <w:t>Regulation (EU) 330/2010 of the Commission provides in its ARTICLE 2 Exemption that 1. Pursuant to Article 101(3) of the Treaty on the Functioning of the European Union and without prejudice to the provisions of this Regulation, it is declared that Article 101(1) of the Treaty on the Functioning of the European Union shall not apply to vertical agreements. This exemption shall apply to the extent that such agreements contain "vertical restrictions."</w:t>
      </w:r>
    </w:p>
    <w:p>
      <w:r>
        <w:t>This, in any case, without forgetting the emphatic statement of the Directorate of Competition that constitutes Proven Fact Seventh in fine.</w:t>
      </w:r>
    </w:p>
    <w:p>
      <w:r>
        <w:t>SECOND.- For all these reasons and in application of the provisions of Article 52 of Law 15/2007 of July 3, on the Defense of Competition and in the corresponding Article 39 of Royal Decree 261/2008 which approves the Competition Defense Regulation, this COMPETITION CHAMBER assumes the Proposal for Conventional Termination of this Sanctioning File S/0457/13 General Motors España S.L.U., which is submitted by the Directorate of Competition and, obviously, the Proposal for Commitments that accompanies it as an Annex.</w:t>
      </w:r>
    </w:p>
    <w:p>
      <w:r>
        <w:t>ANNEX which will form an integral part of this Resolution for all effects and consequences.</w:t>
      </w:r>
    </w:p>
    <w:p>
      <w:r>
        <w:t>Having seen the cited provisions and the others of general application, this COMPETITION CHAMBER of the National Commission of Markets and Competition, in the plenary session of June 12, 2014.</w:t>
      </w:r>
    </w:p>
    <w:p>
      <w:r>
        <w:rPr>
          <w:b/>
        </w:rPr>
        <w:t>[Pages 16–18]</w:t>
      </w:r>
    </w:p>
    <w:p>
      <w:r>
        <w:t>HA RESOLVED</w:t>
      </w:r>
    </w:p>
    <w:p>
      <w:r>
        <w:t>FIRST.- To declare and approve the Conventional Termination of this Sanctioning File S/0457/13 GENERAL MOTORS ESPAÑA S.L.U., considering the commitments presented by GENERAL MOTORS ESPAÑA S.L.U. to be adequate, sufficient, and binding on all interested parties, as detailed in the ANNEX accompanying this Resolution, which is an integral part of it.</w:t>
      </w:r>
    </w:p>
    <w:p>
      <w:r>
        <w:t>SECOND.- GENERAL MOTORS ESPAÑA S.L.U., and the NATIONAL ASSOCIATION OF AUTHORIZED REPAIRERS AND OPEL COMMERCIAL AGENTS (ANRO) are obliged to comply faithfully and punctually with the commitments presented, which constitute the ANNEX. Their non-compliance will be considered and classified as a very serious infringement under Article 62.4.c) of Law 15/2007 of July 3, on the Defense of Competition and its corresponding Article 39.7 of Royal Decree 261/2008 of February 22, which approves the Regulation on the Defense of Competition.</w:t>
      </w:r>
    </w:p>
    <w:p>
      <w:r>
        <w:t>THIRD.- To instruct the Competition Directorate of this National Commission of Markets and Competition to monitor this Resolution. This Resolution shall be communicated to the Competition Directorate of this National Commission of Markets and Competition and shall be duly notified to the interested parties, informing them that no appeal can be made against it in this prior administrative route, but they may do so within a period of TWO MONTHS counted from the day following its notification, before the contentious-administrative jurisdiction, the National Court.</w:t>
      </w:r>
    </w:p>
    <w:p>
      <w:r>
        <w:t>ANNEX: GENERAL MOTORS COMMITMENTS OF APRIL 23, 2014</w:t>
      </w:r>
    </w:p>
    <w:p>
      <w:r>
        <w:t>"Under the protection of Articles 52 of the LDC and 39 of the Competition Defense Regulation, GM proposes to introduce the following clarifications or modifications to the controversial clauses, which will be communicated to the dealers and RAs through an explanatory circular, the content of which will be reported to the CNMC. This circular will be sent to the dealers and RAs of the Opel network within a maximum period of twenty days from the adoption of the CNMC resolution that concludes the present procedure and will be binding for GM from the date of adoption of the aforementioned resolution.</w:t>
      </w:r>
    </w:p>
    <w:p>
      <w:r>
        <w:t>The aforementioned circular will literally include the dispositive part of the CNMC resolution in which the content of the commitments listed below is described. It will also include the contact details of the members of GM's work teams who will be available to the RAs and dealers to clarify any details or doubts that may arise in this regard.</w:t>
      </w:r>
    </w:p>
    <w:p>
      <w:r>
        <w:t>In the aforementioned circular, GM will present the following issues to the members of the Opel network, clearly stating the effective date of the new minimum purchase obligation for spare parts described in section 1), which will come into effect on September 30, 2014:</w:t>
      </w:r>
    </w:p>
    <w:p>
      <w:r>
        <w:t>1. SPECIFICATION OF THE MINIMUM PURCHASE CLAUSE FOR SPARE PARTS PROVIDED IN THE CONTRACTS:</w:t>
        <w:br/>
        <w:t>a) During the validity of the dealership or RA contract, as the case may be, GM commits not to establish under Article 8.1 of its contracts any minimum purchase obligation for original Opel spare parts concerning the families of spare parts referred to as "Type B," understood as those for which it is estimated that GM's original Opel parts have a market share exceeding 30% in Spain in the repair of Opel vehicles.</w:t>
      </w:r>
    </w:p>
    <w:p>
      <w:r>
        <w:t>Effective from September 30, 2014, and under clause 8.1 of the dealership and RA contracts, a minimum purchase obligation for original Opel parts will be established, representing 40% of the total annual needs of the "Type A" spare parts families of the dealer or repairer concerning the provision of repair and after-sales services for Opel vehicles. This purchase obligation is established in terms of value (euros) acquired by the dealer or repairer, and original Opel parts from GM or any other member of the official Opel network may be purchased. "Type A" spare parts are those for which it is estimated that GM's original Opel parts do not exceed 30% of the Spanish market in the repair of Opel vehicles.</w:t>
      </w:r>
    </w:p>
    <w:p>
      <w:r>
        <w:t>b) During the first year and three months of the validity of this minimum purchase obligation, starting from October 1, 2014 (i.e., until January 1, 2016), the mentioned minimum purchase obligation will only affect the families of Type A spare parts included in Annex A. From that date, and on an annual basis, the list of affected spare parts families will be reviewed and updated to exclude spare parts for which it is estimated that GM's market share has increased and exceeds 30% of the national market. Similarly, new families of spare parts may be included for which GM's market share in Opel vehicle spare parts is estimated to be below 30% of the national market. Any alteration of the list of spare parts in Annex A affected by the minimum purchase obligation will be communicated to the dealers and RAs with a minimum notice of two (2) months before the effective date of the new list of spare parts families.</w:t>
      </w:r>
    </w:p>
    <w:p>
      <w:r>
        <w:t>c) GM states that the calculation of its market share regarding each of the families of spare parts that will be included in the list mentioned in the previous section will be carried out in good faith, based on its best estimates and the publicly available information at each moment.</w:t>
      </w:r>
    </w:p>
    <w:p>
      <w:r>
        <w:t>d) For the purpose of complying with this minimum purchase obligation, the minimum volume of spare parts from the families mentioned in Annex A that each dealer or RA must acquire during the following year will be communicated annually and individually, with a minimum notice of two months. This volume of parts will be calculated by applying 40% to the total volume of spare parts purchases used in the repair of Opel vehicles reported by the dealer or RA during the previous fiscal year. Spare parts used in warranty repairs, recall services, courtesy services, or any other services whose cost is borne by GM and at no charge to end users will be excluded from this total needs calculation of the dealer or RA.</w:t>
      </w:r>
    </w:p>
    <w:p>
      <w:r>
        <w:t>e) Regarding the first quarter in which the minimum purchase obligation applies (i.e., from October 1, 2014, to December 31, 2014), the RAs and dealers will inform GM during the months of June and July (inclusive) of the total volume of spare parts purchases made during the 2013 fiscal year for the parts included in the families of spare parts affected by the minimum purchase obligation in Annex A. GM will communicate to the Dealers and RAs the templates and, if applicable, the software programs through which this information must be provided at least fifteen days before the date on which the data can start to be provided. In light of the information received, each dealer and RA will be informed of the minimum volume of spare parts they must acquire during that quarter. This communication will be made in any case before September 10, 2014, at the latest.</w:t>
      </w:r>
    </w:p>
    <w:p>
      <w:r>
        <w:t>f) If for any exceptional reason the dealer or RA believes that the total volume of spare parts purchases for repairing Opel vehicles made in the previous fiscal year would not be representative of the purchases they expect to make in the following fiscal year (for example, due to a reduction in workshop capacity), the situation will be presented to GM with sufficient notice so that both parties can analyze alternatives and reach a good faith agreement on the minimum applicable purchase volume for the following fiscal year. Similarly, if the workshop's repair capacity has increased (for example, due to the acquisition of new facilities), the parties will adjust in good faith and by mutual agreement the initially estimated quantities to align them with the actual and foreseeable capacity of the dealer or RA for the following fiscal year.</w:t>
      </w:r>
    </w:p>
    <w:p>
      <w:r>
        <w:t>2. REGARDING THE INFORMATION CLAUSE ON SPARE PARTS PURCHASES:</w:t>
        <w:br/>
        <w:t>a) GM expressly confirms that the information contemplated in clauses 12.1 and 12.5 of the dealership contracts, and 12.1 and 12.4 of the contracts with the RAs, regarding the purchases of spare parts for Opel vehicles other than original Opel spare parts, grouped by categories, shall only be provided to GM concerning the spare parts affected by the minimum purchase obligation established in the previous section 1. This information will be provided only once a year in accordance with the templates, computer tools, and deadlines that GM will communicate to the members of its network (which will foresee at least one month for providing the information), and which in no case will contain the identity of the third-party suppliers from whom the aforementioned parts are acquired. This information will be used to update GM's market share estimates, assess possible promotional actions, monitor the network's behavior, and prevent the annually established minimum purchase volume from exceeding 40% of the total estimated purchase needs for the affected network member.</w:t>
      </w:r>
    </w:p>
    <w:p>
      <w:r>
        <w:t>b) Therefore, for clarification purposes, dealers and RAs should not provide any information to GM regarding the purchases of spare parts for Opel vehicles acquired from third parties for which no minimum purchase obligation has been established.</w:t>
      </w:r>
    </w:p>
    <w:p>
      <w:r>
        <w:t>3. REGARDING THE TERMINATION CLAUSE:</w:t>
        <w:br/>
        <w:t>a) GM commits not to apply clause 17.3.2 of the RA contracts and clause 18.3.2 of the dealership contracts.</w:t>
      </w:r>
    </w:p>
    <w:p>
      <w:r>
        <w:t>b) Consequently, GM will not be entitled to terminate a contract solely based on the potential non-compliance by the dealer or RA with the purchase obligation.</w:t>
      </w:r>
    </w:p>
    <w:p>
      <w:r>
        <w:rPr>
          <w:b/>
        </w:rPr>
        <w:t>[Pages 19–21]</w:t>
      </w:r>
    </w:p>
    <w:p>
      <w:r>
        <w:t>minimum obligation of original Opel spare parts established in accordance with the provisions set forth in the previous section.</w:t>
      </w:r>
    </w:p>
    <w:p>
      <w:r>
        <w:t>4. INFORMATION TO THE COMPETITION DIRECTORATE — MONITORING OF COMMITMENTS</w:t>
      </w:r>
    </w:p>
    <w:p>
      <w:r>
        <w:t>In order to facilitate the monitoring task of compliance with the commitments proposed by the Competition Directorate, GM undertakes to communicate to the aforementioned Directorate the circulars sent to the RAs and dealers informing them about the new minimum purchase obligation established in application of the provisions in the respective vehicle repair and distribution contracts, as well as any modification of the list of families of spare parts affected by such obligation that may occur in accordance with the provisions in section 1.1b) above. This information commitment is proposed for a period of three years, although its duration could be extended if the Competition Directorate deems it necessary."</w:t>
      </w:r>
    </w:p>
    <w:p>
      <w:r>
        <w:t>ANNEX A:</w:t>
        <w:br/>
        <w:t xml:space="preserve">Families of original Opel parts "not captive" (replaceable by parts from other suppliers and with an estimated GM share not exceeding 30% in the repair of Opel vehicles)  </w:t>
        <w:br/>
        <w:t xml:space="preserve">[XXX]  </w:t>
        <w:br/>
        <w:t xml:space="preserve">[XXX]  </w:t>
        <w:br/>
        <w:t xml:space="preserve">[XXX] 1  </w:t>
        <w:br/>
        <w:t xml:space="preserve">[XXX]  </w:t>
        <w:br/>
        <w:t xml:space="preserve">[XXX]  </w:t>
        <w:br/>
        <w:t xml:space="preserve">[XXX]  </w:t>
        <w:br/>
        <w:t xml:space="preserve">[XXX]  </w:t>
        <w:br/>
        <w:t xml:space="preserve">[XXX]  </w:t>
        <w:br/>
        <w:t xml:space="preserve">[XXX]  </w:t>
        <w:br/>
        <w:t xml:space="preserve">[XXX] 1  </w:t>
        <w:br/>
        <w:t xml:space="preserve">[XXX]  </w:t>
        <w:br/>
        <w:t xml:space="preserve">[XXX]  </w:t>
        <w:br/>
        <w:t xml:space="preserve">[XXX]  </w:t>
        <w:br/>
        <w:t xml:space="preserve">[XXX] 1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 xml:space="preserve">[XXX]  </w:t>
        <w:br/>
        <w:t>[XXX]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