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https://www.cnmc.es/expedientes/s045813</w:t>
      </w:r>
    </w:p>
    <w:p>
      <w:r>
        <w:t>Pages translated : 9</w:t>
      </w:r>
    </w:p>
    <w:p/>
    <w:p>
      <w:r>
        <w:rPr>
          <w:b/>
        </w:rPr>
        <w:t>[Pages 1–3]</w:t>
      </w:r>
    </w:p>
    <w:p>
      <w:r>
        <w:t xml:space="preserve">RESOLUTION (File S/0458/13 ELEVATORS 3)  </w:t>
        <w:br/>
        <w:t xml:space="preserve">COUNCIL  </w:t>
        <w:br/>
        <w:t xml:space="preserve">Mr. Joaquín García Bernaldo de Quirós,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Mr. Luis Díez Martín, Council Member  </w:t>
        <w:br/>
        <w:t xml:space="preserve">In Madrid, on June 26, 2013.  </w:t>
        <w:br/>
        <w:t xml:space="preserve">The Council of the National Competition Commission, hereinafter referred to as the Council, with the composition expressed and with the Rapporteur being Council Member Ms. Inmaculada Gutiérrez Carrizo, has issued the following Resolution in the confidential investigation file S/0458/13 ELEVATORS 3, motivated by the complaint filed by Ascensores IMEM S.L. (IMEM) against CITYLIFT S.A. (CITYLIFT) for alleged restrictive competition practices prohibited by Law 15/2007, of July 3, on the Defense of Competition (hereinafter, LDC), consisting of actions aimed at discrediting competitors.  </w:t>
        <w:br/>
        <w:t xml:space="preserve">FACTUAL BACKGROUND  </w:t>
        <w:br/>
        <w:t xml:space="preserve">1. On November 23, a complaint was received in the Directorate of Investigation filed by Mr. XXX, on behalf of Ascensores IMEM S.L. (IMEM) against CITYLIFT S.A. (CITYLIFT) for alleged restrictive competition practices prohibited by the LDC, consisting of actions aimed at discrediting competitors. According to the complainant, these facts would constitute acts of unfair competition, which would infringe article 3 LDC.  </w:t>
        <w:br/>
        <w:t xml:space="preserve">2. The reported facts were highlighted within the framework of the allegations that IMEM presented in sanctioning file S/410/12, initiated as a result of a complaint by CITYLIFT against certain companies maintaining lifting devices for possible acts of unfair competition affecting the public interest. Considering that the information reported by IMEM regarding CITYLIFT was not going to be used in the aforementioned file, the Directorate of Investigation (DI) proceeded to separate from the corresponding statement of allegations the pages related to the present complaint and, within the framework established in section 2 of article 49 LDC, initiated a confidential investigation with case number S/0458/13 in order to preliminarily determine the presence of circumstances that would justify the initiation of a sanctioning proceeding.  </w:t>
        <w:br/>
        <w:t xml:space="preserve">3. Within the framework of this confidential investigation, on November 23, 2012, CITYLIFT was requested to provide certain information. Their response was received by the National Competition Commission (CNC) on December 27, 2012.  </w:t>
        <w:br/>
        <w:t xml:space="preserve">4. The DI provides the following description of the parties:  </w:t>
        <w:br/>
        <w:t xml:space="preserve">Complainant:  </w:t>
        <w:br/>
        <w:t xml:space="preserve">“IMEM is a company dedicated to the design, manufacture, and installation of lifting devices, both in Spain and worldwide, as well as the maintenance of elevators in Cantabria, Asturias, La Rioja, and Biscay.”  </w:t>
        <w:br/>
        <w:t xml:space="preserve">Defendant:  </w:t>
        <w:br/>
        <w:t xml:space="preserve">“CITYLIFT S.A. is a company founded in 2002, and is dedicated, at the national level, to the manufacture, installation, and maintenance of lifting devices.”  </w:t>
        <w:br/>
        <w:t xml:space="preserve">5. The DI provides the following description of the relevant regulatory framework to understand the facts being analyzed:  </w:t>
        <w:br/>
        <w:t xml:space="preserve">(8) Since it is a sector characterized by a certain level of danger, abundant regulations have been approved to ensure safety in the operation of lifting devices.  </w:t>
        <w:br/>
        <w:t xml:space="preserve">(9) Elevators can only be marketed and put into service when, being installed and maintained properly, they do not present a risk to the safety or health of individuals and, where applicable, the safety of property (art. 3 RD 1314/1997). To this end, the installer must obtain the declaration of conformity with the current regulatory provisions issued by a control body authorized by the corresponding Autonomous Community and place the “CE” marking on the elevator.  </w:t>
        <w:br/>
        <w:t xml:space="preserve">(10) The Autonomous Communities are required to maintain the Register of Lifting Devices (RAE) and to identify, through their registration in it, all lifting devices installed in their territory, the company that carried out their installation, the inspections carried out, the companies responsible for their maintenance, as well as the various incidents and repairs they are subject to, among other details. All this information is managed by provincial delegations.  </w:t>
        <w:br/>
        <w:t xml:space="preserve">(11) Current legislation also requires that all elevators have a maintenance contract before they are put into operation, which is subject to registration along with the other data of the elevator (section 16 of the Technical Instruction Complementary MIE-AEM-1 of the Regulation of Lifting and Handling Devices, approved by Order of September 23, 1987).  </w:t>
        <w:br/>
        <w:t xml:space="preserve">(12) Article 9 of Royal Decree 88/2013 establishes the minimum requirements that maintenance companies must meet, including the obligation to have the minimum necessary technical and human resources to carry out their activities under total safety conditions, with at least one maintenance technician and under the technical direction of a competent qualified technician on staff, and to have subscribed to a professional civil liability insurance or other equivalent guarantee, covering damages that may arise in the provision of the service, with a minimum coverage of 300,000 euros per accident.  </w:t>
        <w:br/>
        <w:t xml:space="preserve">(13) Article 2 of Royal Decree 57/2005, of January 21, which establishes prescriptions for increasing safety in the existing elevator fleet, provides that companies carrying out significant renovations on existing elevators must have at least one qualified technician (senior engineer or technical engineer) and five qualified workers, of whom at least three must have the status of official.  </w:t>
        <w:br/>
        <w:t xml:space="preserve">(14) Also noteworthy are the obligations contained in section 6 of Annex I RD 1314/1997, which establishes the following:  </w:t>
        <w:br/>
        <w:t xml:space="preserve">“6. Instructions for use  </w:t>
        <w:br/>
        <w:t xml:space="preserve">6.1 The safety components mentioned in Annex IV shall be accompanied by an instruction manual written in an official language of the Member State of the elevator installer or in another community language accepted by it, so that: the assembly, connection, adjustment, maintenance can be carried out effectively and without danger.  </w:t>
        <w:br/>
        <w:t xml:space="preserve">6.2 Each elevator shall be accompanied by documentation written in the official language or languages of the Community, which may be determined, in accordance with the Treaty, by the Member State in which the elevator is installed. This documentation shall consist at a minimum of: an instruction manual containing the necessary plans and diagrams for ordinary use, as well as those necessary for maintenance, inspection, repair, periodic reviews, and rescue operations mentioned in section 4.4; an incident log, in which repairs and, where applicable, periodic reviews may be recorded.”  </w:t>
        <w:br/>
        <w:t xml:space="preserve">6. The DI provides the following characterization of the relevant markets to frame the facts being analyzed:  </w:t>
        <w:br/>
        <w:t xml:space="preserve">“(18) The elevator sector mainly comprises three areas of activity: (i) manufacturing and wholesale sale of elevators and components, (ii) assembly, installation, and retail sale of elevators, and (iii) maintenance and repair of installed elevators. These activities have been considered in the cited national precedents as separate product markets.  </w:t>
        <w:br/>
        <w:t>1 Reports from the defunct SDC on concentrations N-04094 Zardoya Otis/Electromecánica CAM (Assets), N-05050 Orona/Electra, N-05068 Zardoya Otis/Mantenimiento Elevadores Soler, N-06041 Zardoya Otis/Lagi, N-07033 Zardoya Otis/Ascensores Aspe, and N-07083 Orona/Ascensores Gasteiz. See also the Resolutions of the CNC Council on concentration C 108/07 Orona/Ascensores Gasteiz, C/0109/08 Orona/Ascensores Sagastizábal, C/0150/09 Orona/Omega, and C/0469/12 Otis/Menor. It also cites information obtained from the “Report on the Operation of the Elevator Maintenance Market in Spain” (CNC, 2011).</w:t>
      </w:r>
    </w:p>
    <w:p>
      <w:r>
        <w:rPr>
          <w:b/>
        </w:rPr>
        <w:t>[Pages 4–6]</w:t>
      </w:r>
    </w:p>
    <w:p>
      <w:r>
        <w:t>han enviado las cartas no han solicitado la ruptura de los contratos existentes, ni han amenazado a IMEM con sanciones o penalizaciones por continuar con su actividad. Por lo tanto, no se puede considerar que haya habido una inducción a la ruptura de contratos.</w:t>
      </w:r>
    </w:p>
    <w:p>
      <w:r>
        <w:t>Sobre la supuesta violación del artículo 17 LCD (venta a pérdida)</w:t>
        <w:br/>
        <w:t>La DI concluye que no se ha demostrado que CITYLIFT esté incurriendo en prácticas de venta a pérdida. La denuncia no aporta pruebas suficientes que indiquen que CITYLIFT esté ofreciendo precios por debajo de los costes de prestación de sus servicios con el fin de eliminar a la competencia del mercado.</w:t>
      </w:r>
    </w:p>
    <w:p>
      <w:r>
        <w:t>9. En consecuencia, la DI considera que no se han acreditado los hechos denunciados por IMEM y, por lo tanto, no se ha producido ninguna infracción de la Ley de Competencia Desleal. Por ello, se propone el archivo de las actuaciones.</w:t>
      </w:r>
    </w:p>
    <w:p>
      <w:r>
        <w:rPr>
          <w:b/>
        </w:rPr>
        <w:t>[Pages 7–9]</w:t>
      </w:r>
    </w:p>
    <w:p>
      <w:r>
        <w:t xml:space="preserve">the letters refer to access to facilities and lifting devices, but they do not at any time state that IMEM cannot contact them to make a counter-commercial offer, if applicable. Therefore, it is not possible to consider as valid an alleged threat or coercion to the company that has prevented customers from accessing the best offer in the market.  </w:t>
        <w:br/>
        <w:t xml:space="preserve">On the other hand, the gift from CITYLIFT to the presidents of the Communities of Owners as part of its commercial offer cannot be seen as incitement to contractual infringement.  </w:t>
        <w:br/>
        <w:t xml:space="preserve">Regarding the alleged violation of article 10 LCD (acts of comparison)  </w:t>
        <w:br/>
        <w:t xml:space="preserve">The DI cites doctrine from the Supreme Court to analyze this comparative advertising and states that: “the price comparison by CITYLIFT does not identify the brand of the competition, nor does it implicitly or explicitly refer to any specific competitor, but rather refers to the generality of competitors. Therefore, in light of the judicial pronouncements on this matter, it is not possible to consider that it gives rise to indications of infringement of the LCD.”  </w:t>
        <w:br/>
        <w:t xml:space="preserve">Regarding the alleged infringement of articles 15 and 17 LCD  </w:t>
        <w:br/>
        <w:t xml:space="preserve">Based on the documentation in the file, there are no indications that CITYLIFT has engaged in predatory pricing, nor that it has obtained an advantage in the market through the violation of regulations.  </w:t>
        <w:br/>
        <w:t xml:space="preserve">The DI concludes:  </w:t>
        <w:br/>
        <w:t xml:space="preserve">“There being no clear indications of acts of unfair competition and, therefore, not meeting the first requirement established by article 3 LDC, it would not be appropriate to assess the existence of the second, that is, the impact on the public interest. In any case, IMEM, in the complaint filed, does not demonstrate to what extent such practices, if deemed unfair, would affect the public interest.”  </w:t>
        <w:br/>
        <w:t xml:space="preserve">In light of this, it is proposed not to initiate the sanctioning procedure, as well as to archive the proceedings.  </w:t>
        <w:br/>
        <w:t xml:space="preserve">9. The Council deliberated and issued this Resolution in its meeting of May 22, 2013.  </w:t>
        <w:br/>
        <w:t xml:space="preserve">LEGAL GROUNDS  </w:t>
        <w:br/>
        <w:t xml:space="preserve">First.- Article 49.1 of the LDC provides that the DI shall initiate sanctioning proceedings when it observes reasonable indications of the existence of prohibited conduct in articles 1, 2, and 3 of the same Law. In number 3 of the aforementioned article 49, it is added that the Council, at the proposal of the DI, will agree not to initiate sanctioning proceedings and, consequently, to archive the proceedings carried out when it considers that there are no indications of infringement.  </w:t>
        <w:br/>
        <w:t xml:space="preserve">Second.- Article 3 of the LDC prohibits the distortion of free competition by unfair acts. Specifically, it states:  </w:t>
        <w:br/>
        <w:t xml:space="preserve">“The National Competition Commission or the competent bodies of the Autonomous Communities shall know, in the terms established by this Law for prohibited conduct, of acts of unfair competition that, by distorting free competition, affect the public interest.”  </w:t>
        <w:br/>
        <w:t xml:space="preserve">Therefore, the infringement of the rules of unfair competition does not automatically constitute an infringement of article 3 of the LDC, but rather the conduct must imply a distortion of competition and thus affect the public interest. For this reason, in various precedents, the Council has indicated that it must first analyze whether there are indications of distortion of competition in the reported conduct and in the described facts, since if there are none, regardless of whether there is or is not an infringement of one or more articles of the LCD, the proceedings will be archived according to article 49.3 of the LDC (RCNC of May 12, 2011, Expte. S/0308/10, Technical Professional Group of Real Estate Advisors 2; RCNC of November 28, 2011, S/0370/11 APPLE; RCNC of December 17, 2010; S/0259/10 ALTER MUTUA ABOGADOS).  </w:t>
        <w:br/>
        <w:t xml:space="preserve">In view of the complaint filed, the documentation in the file, and the analysis of the facts carried out by the DI, the Council does not perceive indications that the reported conduct has distorted competition in the market for the maintenance and repair of lifting devices, thereby affecting the public interest.  </w:t>
        <w:br/>
        <w:t xml:space="preserve">Therefore, as there are no indications of practices prohibited by article 3 of the LDC, the Council considers the Proposal to Archive the proceedings carried out in the framework of file S/0458/13 ELEVATORS 3 to be legally appropriate.  </w:t>
        <w:br/>
        <w:t xml:space="preserve">For all the above, in view of the cited provisions and those of general application, the Council  </w:t>
        <w:br/>
        <w:t xml:space="preserve">HAS RESOLVED  </w:t>
        <w:br/>
        <w:t xml:space="preserve">SOLE.- Under the protection of Article 49.3 of Law 15/2007 of July 3, on the Defense of Competition, not to initiate sanctioning proceedings and to archive the reserved proceedings followed under number S/0458/13 ELEVATORS 3, considering that there are no indications of infringement of article 3 of the aforementioned Law.  </w:t>
        <w:br/>
        <w:t xml:space="preserve">8  </w:t>
        <w:br/>
        <w:t xml:space="preserve">This Resolution shall be communicated to the Investigation Directorate of the National Competition Commission and notified to the complainant and the complained party, informing them that it concludes the administrative route and that they may file an administrative contentious appeal against it before the National Court within two months from its notification.  </w:t>
        <w:br/>
        <w:t>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