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https://www.cnmc.es/expedientes/s046013</w:t>
      </w:r>
    </w:p>
    <w:p>
      <w:r>
        <w:t>Pages translated : 70</w:t>
      </w:r>
    </w:p>
    <w:p/>
    <w:p>
      <w:r>
        <w:rPr>
          <w:b/>
        </w:rPr>
        <w:t>[Pages 1–3]</w:t>
      </w:r>
    </w:p>
    <w:p>
      <w:r>
        <w:t>RESOLUTION Expte. S/0460/13, SGAE-CONCERTS</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November 6, 2014</w:t>
        <w:br/>
        <w:t>The Competition Chamber of the National Commission on Markets and Competition, with the composition expressed in the margin, has issued the following resolution in the sanctioning file S/0560/13, SGAE-CONCERTS, initiated by the Directorate of Investigation (DI) of the former National Competition Commission (hereinafter CNC), on April 15, 2013, against the General Society of Authors and Publishers (SGAE), for possible infringement of Article 2 of Law 15/2007, of July 3, on the Defense of Competition (LDC), and Article 102 of the Treaty on the Functioning of the European Union (TFEU), arising from the application of inequitable and excessive rates in the licenses granted for the public communication of musical works protected by copyright in concerts held in Spain.</w:t>
      </w:r>
    </w:p>
    <w:p>
      <w:r>
        <w:t>FACTUAL BACKGROUND</w:t>
        <w:br/>
        <w:t>1. On May 27, 2005, the Association of Musical Promoters (APM) reported SGAE to the former Competition Defense Service (SDC) for alleged restrictive competition practices consisting of imposing abusive conditions in the licensing contracts by which promoters were granted copyright for songs to be performed in concerts (sanctioning file 2619/05) (pages 3 to 53).</w:t>
      </w:r>
    </w:p>
    <w:p>
      <w:r>
        <w:t>2. On October 13, 2006, the SDC agreed to dismiss said file (pages 1170 to 1220).</w:t>
        <w:br/>
        <w:t>3. On November 3, 2006, APM filed an appeal before the former Competition Defense Tribunal (TDC) against the SDC's decision, requesting the reopening of the investigation process (Expte. R/701/06, pages 1387 to 1408), although on March 8, 2007, the TDC resolved to dismiss it (pages 1469 to 1507).</w:t>
        <w:br/>
        <w:t>4. The dismissive resolution of the TDC was annulled by a ruling of the National Court on April 6, 2009 (pages 1517 to 1529), on the grounds that the reported facts were not sufficiently investigated, ordering the then CNC to continue the investigative activities and gather more information in order to resolve the following issues: (i) whether SGAE's rates and the criteria for setting them were justified in comparison with European countries and with respect to the doctrine emanating from the Supreme Court and the CJEU; (ii) whether the requirement for guarantees had occurred in a significant number of cases, and whether such requirement was in line with commercial practices or, on the contrary, was an unjustifiable conduct from the competition perspective; and (iii) whether there had been collusive practices between SGAE and foreign intellectual property rights management societies.</w:t>
        <w:br/>
        <w:t>5. By virtue of the mandate of the National Court, ratified by the Supreme Court by ruling of December 4, 2012 (pages 1530 to 1543), the Directorate of Investigation (DI) agreed, on February 18, 2013 (pages 1 to 2), to carry out a reserved investigation, numbered S/0460/13, in order to preliminarily determine the existence of circumstances justifying the initiation of a sanctioning file. The files 2619/05 from the SDC and R/701/06 from the TDC were incorporated into this reserved investigation, and the confidentiality agreed upon in them was provisionally accepted. The following documents were also incorporated: (i) Ruling of the AN of April 6, 2009; and (ii) Ruling of the TS of December 4, 2012.</w:t>
        <w:br/>
        <w:t>6. In the context of the reserved investigation, on March 21, 2013, the DI sent SGAE a request for certain information related to the investigated behaviors (pages 1544 to 1547). SGAE's response was received by the CNC on April 11, 2013 (pages 1555 to 3382).</w:t>
        <w:br/>
        <w:t>7. On April 15, 2013, the DI initiated the present sanctioning file S/0460/13 SGAE-CONCERTS, due to the existence of rational indications of SGAE's commission of an infringement of Article 2 of the LDC, and Article 102 of the TFEU, consisting of an abuse of its dominant position in the market for the management of public communication rights of the intellectual property of authors of musical works exploited in musical concerts held in Spain (public performance of musical works) (pages 3388 to 3390). In the initiation agreement, APM was declared as interested party.</w:t>
      </w:r>
    </w:p>
    <w:p>
      <w:r>
        <w:t>8. On May 8, 2013, the DI sent SGAE a request for information regarding the contracts signed with musical promoters and the revenues distributed to the collective management societies with which it had signed reciprocal representation agreements, requesting individual data from the EU, Canada, and the USA, as well as data from the rest of the American continent and the rest of the world (pages 3427 to 3430). This information was partially sent on May 27, 2013 (pages 3455 to 3913) and, after a reiteration of the request dated June 3, 2013 (pages 3915 to 3917), SGAE responded with letters dated June 10 and 13, 2013 (pages 3930 to 4318).</w:t>
        <w:br/>
        <w:t>9. On October 22, 2013, SGAE sent information about the current status of relationships with ticketing operators, specifying whether they maintained collaboration contracts with SGAE and whether they practiced the withholding of revenues corresponding to copyright (page 4320).</w:t>
        <w:br/>
        <w:t>10. On October 24, 2013, the Directorate of Competition (DC) requested three ticketing operators (El Corte Inglés S.A., Entradas See Tickets S.A., and Ticketmaster Spain S.A.) information about their procedures in their relationships with musical promoters (pages 4326 to 4329 and 4334 to 4341), and to SGAE clarifications regarding the effective application of bond exemption in different cases (pages 4330 to 4333). On November 5, 6, and 8, 2013, responses from the ticketing operators were received at the CNMC (pages 4356 to 4401 and 4403 to 4410) and on November 12, 2013, SGAE's response was received (pages 4426 to 4443). On November 14, 2013, new requests for information were sent to the three aforementioned ticket distribution operators, in order to provide data on revenues received and information related to the collaboration agreements signed with SGAE (pages 4445 to 4447, 4452 to 4455, and 4459 to 4462). Responses to these requests were received on November 28 and 29, 2013 (pages 4465 to 4471, 4473 to 4479, and 4480 to 4488).</w:t>
        <w:br/>
        <w:t>11. On December 12 and 17, 2013, new requests for information were sent to SGAE regarding the weight represented, in terms of collection, by the different licensing models used since October 2006 and the percentages charged by this society in terms of management and assistance expenses (pages 4507 to 4509 and pages 4538 to 4540). Responses to these requests were received at the CNMC on December 30, 2013 (pages 4551 to 4555 and 4561 to 4565) and on January 7, 2014 (pages 4566 to 4579).</w:t>
        <w:br/>
        <w:t>12. On January 28, 2014, the Specification of Facts (PCH) was notified to SGAE and APM. On February 21, 2014, SGAE's allegations to the PCH were received (pages 4691 to 4728), in which it requested the acceptance of documentary evidence consisting of providing an economic report assessing the behaviors subject to this file. On February 20, 2014, APM's allegations were received at the CNMC (page 4687), in which reference was made to</w:t>
      </w:r>
    </w:p>
    <w:p>
      <w:r>
        <w:rPr>
          <w:b/>
        </w:rPr>
        <w:t>[Pages 4–6]</w:t>
      </w:r>
    </w:p>
    <w:p>
      <w:r>
        <w:t xml:space="preserve">a supporting documentation, which was submitted on February 25, 2014 (folios 4756 to 4826).  </w:t>
        <w:br/>
        <w:t xml:space="preserve">13. On March 5, 2014, the SGAE was requested to submit the economic report it requested to present as evidence in its allegations to the PCH (folios 4828 to 4830). This report was submitted on March 17, 2014 (folios 4851 to 4891).  </w:t>
        <w:br/>
        <w:t xml:space="preserve">14. At the request of the DC, the SGAE submitted the net amount of the turnover that appears in its annual accounts for the years 2012 and 2013 (folios 4841 to 4842).  </w:t>
        <w:br/>
        <w:t xml:space="preserve">15. On March 20, 2014, the DC notified the parties of the closure of the instruction phase of file S/0460/13. On March 24, 2014, the DC formulated the proposal for resolution (PR) (folios 4937 to 5000). On April 21, 2014, once the initially granted deadline for submitting allegations had expired, a document from the APM was received requesting an extension of the deadline to submit allegations to the PR (folio 5074). The SGAE, which had requested and received an extension for this purpose, submitted allegations to the PR on April 23, 2014 (folios 5078 to 5233).  </w:t>
        <w:br/>
        <w:t xml:space="preserve">16. On April 24, 2014, the DC elevated its proposal to the Council of the CNMC.  </w:t>
        <w:br/>
        <w:t xml:space="preserve">17. In its written allegations to the PR, the SGAE requested various supplementary evidence: (i) testimonial evidence from authors and publishers regarding commercial uses and prices applied when they manage their rights themselves in modalities similar to concerts; (ii) consultation with the European Commission, pursuant to Article 11.5 of Regulation EC 1/2003, regarding the interpretation of Article 102 TFEU, and in particular regarding various aspects of the comparative tariff analysis carried out by the DC and the justification for adopting measures aimed at preventing fraud and non-payment to authors [evidence already requested in the allegations to the PCH and rejected by the DC, given the necessary existence of the obligation to inform the Commission within the framework of Article 14.1]; (iii) documentary evidence to substantiate the human resources available to the SGAE, as well as the number of events and establishments to be supervised. By Agreement of the Council of June 18, 2014, the requested evidence was inadmissible (folios 5300 to 5304).  </w:t>
        <w:br/>
        <w:t xml:space="preserve">18. On June 26, 2014, the SGAE submitted a document accompanied by a Letter from the European Commission dated October 10, 2001 in Case COMP/C-2/38071 VIASAT v. STIM and PRS (folios 5320 to 5332). On June 27, 2014, a deadline of 10 calendar days was granted to the party to submit a translation into Spanish of such Letter (folio 5333), which was received by the CNMC on July 11, 2014 (folios 5339 to 5349).  </w:t>
        <w:br/>
        <w:t xml:space="preserve">19. On September 18, 2014, the Council issued an Agreement informing the parties that on September 17, 2014, the Proposal for Resolution of the file had been sent to the European Commission in the terms indicated in Article 11.4 of Regulation EC 1/2003, whereby, in compliance with Article 37.2.c) of Law 15/2007, the maximum deadline for resolving the file had been suspended until the European Commission responded to the information sent, or until the period referred to in the aforementioned Article 11.4 of Regulation EC 1/2003 elapsed (folio 5350). After the expiration of the 30-day period referred to in the last mentioned provision, by Agreement of October 17, 2014, the Council resolved to lift the suspension of the maximum deadline for resolving the reference file, which was notified to the parties (folios 5356 to 5360).  </w:t>
        <w:br/>
        <w:t xml:space="preserve">20. The Council completed its deliberation and ruled on the present file in its meeting of November 6, 2014.  </w:t>
        <w:br/>
        <w:t xml:space="preserve">21. The interested parties are: the General Society of Authors and Publishers (SGAE) and the Association of Musical Promoters (APM).  </w:t>
        <w:br/>
        <w:t xml:space="preserve">PROVEN FACTS  </w:t>
        <w:br/>
        <w:t xml:space="preserve">1. PARTIES  </w:t>
        <w:br/>
        <w:t xml:space="preserve">The parties involved in the present file, as stated in the PCH of the DC, are as follows:  </w:t>
        <w:br/>
        <w:t xml:space="preserve">a) GENERAL SOCIETY OF AUTHORS AND PUBLISHERS (SGAE). The SGAE is a private national society, authorized by the Ministry of Culture as a management entity as provided in Articles 147 and following of the Consolidated Text of the Intellectual Property Law (hereinafter TRLPI), whose main function is the collective management of intellectual property rights. In fulfilling its management duties, the SGAE issues licenses to users of its repertoire, collects the rights generated by its commercial exploitation, and distributes them among authors and music publishers, deducting the costs derived from this management and the portion dedicated to cultural promotion. The SGAE has signed 270 reciprocal representation agreements with 149 foreign management societies.  </w:t>
        <w:br/>
        <w:t xml:space="preserve">b) ASSOCIATION OF MUSICAL PROMOTERS (APM). APM is an association as provided by Organic Law 1/2002, of March 22, regulating the right of association, which groups 41 concert promotion companies with an approximate market share of 80% of privately initiated concerts held in Spain. According to APM data, its members are responsible for about 4,800 concerts a year, with a total audience of 7.5 million spectators and a turnover reaching 262 million euros in revenue. The objective of the musical promoter is to organize concerts and ensure they achieve the greatest possible public success. To do this, they must align the availability of the artist with that of an appropriate venue, match the economic expectations of both with the expected income from ticket sales, announce the concert, put tickets on sale, and negotiate and sign the necessary contracts, including the relevant licenses (such as those pertaining to copyright).  </w:t>
        <w:br/>
        <w:t xml:space="preserve">2. NORMATIVE FRAMEWORK  </w:t>
        <w:br/>
        <w:t xml:space="preserve">According to the DC, the sector affected by the behaviors analyzed in this file is that of the protection of copyright, specifically, the management of the right of public communication of musical works in concerts held in Spain.  </w:t>
        <w:br/>
        <w:t xml:space="preserve">Copyright encompasses the set of rules and principles that regulate the moral and economic rights granted by law to authors simply by virtue of the creation of a literary, artistic, or scientific work. As is known, copyright in Spain is regulated in the TRLPI, approved by Royal Legislative Decree 1/1996, of April 12, which regularizes, clarifies, and harmonizes the existing legal provisions on the matter.  </w:t>
        <w:br/>
        <w:t xml:space="preserve">The exploitation rights, which are the subject of this file and a subtype of economic rights, encompass a series of rights for which the holder receives remuneration, such as reproduction, distribution, and public communication rights, among others.  </w:t>
        <w:br/>
        <w:t xml:space="preserve">This file refers to public communication rights, which Article 20.1 of the TRLPI defines as:  </w:t>
        <w:br/>
        <w:t xml:space="preserve">“Public communication shall be understood as any act by which a plurality of persons can access the work without prior distribution of copies to each of them.  </w:t>
        <w:br/>
        <w:t xml:space="preserve">Communication shall not be considered public when it takes place within a strictly domestic scope that is not integrated or connected to any type of broadcasting network.”  </w:t>
        <w:br/>
        <w:t xml:space="preserve">Furthermore, Article 17 of the TRLPI indicates that the exclusive exercise of this right of public communication corresponds to the author himself, that is, he has the authority to authorize or prohibit the exploitation acts of his work or protected provision and to demand remuneration.  </w:t>
        <w:br/>
        <w:t xml:space="preserve">Therefore, authors will have the exclusive right to authorize the public communication of their work and the right to receive the corresponding remuneration, except in cases provided for by law.  </w:t>
        <w:br/>
        <w:t>The guarantee of payment of remuneration is explicitly stated in Article 79 of the TRLPI. Thus, this article states that “public performance entrepreneurs shall be considered depositaries of the remuneration corresponding to authors for the public communication of their works when it consists of a proportional participation in the income. Such remuneration must be made available to authors or their representatives on a weekly basis.”</w:t>
      </w:r>
    </w:p>
    <w:p>
      <w:r>
        <w:rPr>
          <w:b/>
        </w:rPr>
        <w:t>[Pages 7–9]</w:t>
      </w:r>
    </w:p>
    <w:p>
      <w:r>
        <w:t>The right of public communication of musical works by authors and publishers is not subject to mandatory collective management, which means that each of its holders can choose between managing that right individually or having a collective management entity represent and exercise the rights on their behalf. If authors or publishers opt for the latter system, in principle, SGAE would be entrusted with that function, being the only existing entity in the national territory authorized to represent authors and publishers of musical works.</w:t>
      </w:r>
    </w:p>
    <w:p>
      <w:r>
        <w:t>According to Article 153 of the TRLPI, the management of rights will be entrusted by their holders to the collective management entity through a contract of no more than five years, indefinitely renewable. This article also states that the management society "may not impose as mandatory the management of all modes of exploitation or of the entirety of the work or future production." That is to say, the Law allows an author to distribute the management of their rights and/or works between SGAE and other foreign management societies or to reserve for their individual management the rights that are not subject to mandatory collective management.</w:t>
      </w:r>
    </w:p>
    <w:p>
      <w:r>
        <w:t>Management entities, in addition to holding a series of rights, are legally mandated to certain obligations established in Article 157 of the TRLPI:</w:t>
        <w:br/>
        <w:t>“1. Management entities are obliged:</w:t>
        <w:br/>
        <w:t>a) To contract with anyone who requests it, unless justified reasons exist, the granting of non-exclusive authorizations of the managed rights, under reasonable conditions and for remuneration.</w:t>
        <w:br/>
        <w:t>b) To establish general rates that determine the remuneration required for the use of their repertoire, which must foresee reductions for cultural entities that lack a profit-making purpose.</w:t>
        <w:br/>
        <w:t>c) To enter into general contracts with associations of users of their repertoire, provided that they request it and are representative of the corresponding sector.</w:t>
        <w:br/>
        <w:t>2. As long as the parties do not reach an agreement, the corresponding authorization will be understood as granted if the applicant makes effective under reservation or deposits judicially the amount required by the management entity according to the general rates.</w:t>
        <w:br/>
        <w:t>3. The provisions of the previous sections shall not apply to the management of rights relating to literary, dramatic, dramatic-musical, choreographic, or pantomime works, nor regarding the singular use of one or more works of any kind that requires the individualized authorization of its holder.</w:t>
        <w:br/>
        <w:t>4. Likewise, management entities are obliged to enforce the rights to equitable remuneration corresponding to the different cases provided for in this Law and to exercise the right to authorize cable distribution.”</w:t>
      </w:r>
    </w:p>
    <w:p>
      <w:r>
        <w:t>The functions of mediation and arbitration in case of conflicts between users and management societies are entrusted to the Intellectual Property Commission (CPI), which will act only upon voluntary submission of the parties (Article 158 of the TRLPI). Therefore, if the parties do not submit to arbitration by the CPI, in the absence of a specific agreement, the general rates provided for in Article 157.1.b) of the TRLPI are in principle applicable.</w:t>
      </w:r>
    </w:p>
    <w:p>
      <w:r>
        <w:t>However, the subsidiary nature of the general rates of management entities has been corrected by successive rulings of the Supreme Court. The TS specifies that the general rates of management entities are not automatically applicable, but the judicial body itself reserves the possibility of not applying them in the calculation of compensation in cases where it considers that they are not equitable. In the opinion of the TS, the criteria of equity are not met merely by the fact that the Administration receives without objections the general rates communicated by the management entities nor by the existence of a prior negotiation process between the parties, since the impossibility of reaching an agreement cannot automatically lead to the unilateral imposition by the management entities of their general rates.</w:t>
      </w:r>
    </w:p>
    <w:p>
      <w:r>
        <w:t>3. MARKET FUNCTIONING</w:t>
        <w:br/>
        <w:t>3.1. Product market</w:t>
        <w:br/>
        <w:t>Following the DC, the behaviors analyzed in this file affect the authorizations and the corresponding remuneration derived from the right of public communication of musical works in concerts held in Spain. In this market, the claimants are the musical promoters who organize the concert and require a license that allows them to publicly perform the songs whose copyright is protected.</w:t>
      </w:r>
    </w:p>
    <w:p>
      <w:r>
        <w:t>There is no substitutability on the demand side with other categories of rights or with other forms of representation, as concert organizers only wish to acquire authorizations for songs to be performed and not other types of works. Furthermore, licenses, as will be seen later, are granted only for one mode of exploitation and a specific mode of public communication (concerts, dances, broadcasting, etc.) and cannot be used for other modalities.</w:t>
      </w:r>
    </w:p>
    <w:p>
      <w:r>
        <w:t>Likewise, the differences in rates applied support the consideration of different product markets among the various modes of exploitation of musical works and among the different forms of public communication of the same. Additionally, the substitutability of the supply is very limited, because management entities that do not manage copyright for the public communication of musical works must first obtain authorization from the competent Ministry due to the subject matter (Culture) to initiate this activity, and must obtain from a significant number of authors the assignment of their rights, which can entail a long and costly process.</w:t>
      </w:r>
    </w:p>
    <w:p>
      <w:r>
        <w:t>Currently, the only society authorized to manage the copyright of musical works is SGAE. This society therefore issues licenses for the use of the protected works of authors who have entrusted the management of their rights to it, which is practically the entirety of authors of musical works, either because they have expressly entrusted it to SGAE or because SGAE has signed a reciprocal representation agreement with the foreign management entity that manages copyright of musical works.</w:t>
      </w:r>
    </w:p>
    <w:p>
      <w:r>
        <w:t>For the purposes of this file, therefore, the relevant product market is considered to be the management of copyright for the public communication of musical works in concerts.</w:t>
      </w:r>
    </w:p>
    <w:p>
      <w:r>
        <w:t>3.2. Geographic market</w:t>
        <w:br/>
        <w:t>According to national and community jurisprudence, with previous pronouncements from national competition authorities and in accordance with the Commission's Communication regarding the definition of the relevant market for the purposes of community competition law (97/C 372/03, OJ C 9 December 1997), the relevant geographic market includes the area in which the affected companies carry out activities of supplying the products and providing the reference services, in which the conditions of competition are sufficiently homogeneous and that can be distinguished from other nearby geographic areas due, in particular, to the fact that the prevailing conditions of competition therein are significantly different from those elsewhere.</w:t>
      </w:r>
    </w:p>
    <w:p>
      <w:r>
        <w:t>Indeed, this has also been indicated by repeated jurisprudence of the CJEU, which has defined the geographic market as "the geographic area where the product in question is marketed and where the conditions of competition are sufficiently homogeneous to allow the assessment of the impact of the economic power of a particular company."</w:t>
      </w:r>
    </w:p>
    <w:p>
      <w:r>
        <w:t>As already indicated, SGAE operates in the market for the management of copyright for the public communication of musical works in concerts as the only authorized management entity in Spanish territory.</w:t>
      </w:r>
    </w:p>
    <w:p>
      <w:r>
        <w:t>In turn, there are elements that disincentivize the granting of licenses to organize concerts in Spain by foreign societies (application of the same rates to foreign authors and transfer to the foreign society of the income from copyright generated) and by authors who wish to manage individually.</w:t>
      </w:r>
    </w:p>
    <w:p>
      <w:r>
        <w:rPr>
          <w:b/>
        </w:rPr>
        <w:t>[Pages 10–12]</w:t>
      </w:r>
    </w:p>
    <w:p>
      <w:r>
        <w:t>that wish to manage individually their rights (the reservation for the individual management of rights seems to require authorization from the SGAE and has a high cost for the author). For these reasons, the competitive conditions in this market are homogeneous throughout the national territory and different from those existing in other countries, given the weight that the SGAE has in Spain. Therefore, the investigated behaviors are confined to the Spanish market and this is the geographic market of reference in this sanctioning file, without prejudice to what is indicated below in Legal Basis Second, regarding the susceptibility of the investigated behaviors to affect intra-community trade.</w:t>
      </w:r>
    </w:p>
    <w:p>
      <w:r>
        <w:t>4. CONDUCTS CARRIED OUT</w:t>
      </w:r>
    </w:p>
    <w:p>
      <w:r>
        <w:t>Taking into account the information contained in the file and that described by the DC in sections (52) to (101) of the PCH, the Competition Chamber of the CNMC Council considers the following facts to be established:</w:t>
      </w:r>
    </w:p>
    <w:p>
      <w:r>
        <w:t>4.1. APM-SGAE Negotiations (2002-2006):</w:t>
      </w:r>
    </w:p>
    <w:p>
      <w:r>
        <w:t>At the initiative of the APM, both parties participated in a long process of meetings and exchanges of drafts aimed at negotiating certain conditions affecting licenses for the performance of musical works in concerts. The lack of agreement between them has essentially materialized in the following aspects: (i) the requirement to obtain a copyright license prior to the sale of tickets, (ii) the amount of the required fee which amounts to 10% of the revenue (after deduction of VAT) or 9% for venues with a capacity of less than one thousand spectators, and (iii) the requirement for guarantees covering the total amount owed. The lack of agreement led the APM to file a complaint with the SDC, which resulted in the processing of file 2619/05, within which a request for the initiation of conventional termination was made, which did not achieve agreement on the commitments presented, particularly regarding fees. Finally, the SGAE requested the dismissal of the file and presented a new proposal for commitments, specified in new license models, in force since 1/10/2006.</w:t>
      </w:r>
    </w:p>
    <w:p>
      <w:r>
        <w:t>4.2. License Models:</w:t>
      </w:r>
    </w:p>
    <w:p>
      <w:r>
        <w:t>The DC briefly describes the three license models for the public communication of musical works in concerts existing from 2003 to the present. The license models after October 2006 continue to maintain some clauses from the previous models (specific licenses for each show, ticket stamping, SGAE's powers to verify attendees, maximum period for the promoter to submit concert documentation and the amount of copyright fees to the SGAE), but also a series of modifications to address the demands of APM: (i) the possibility of revocation of the license within certain periods if it is obtained from another source, (ii) indication by the SGAE to another [foreign] management entity designated by the promoter that the SGAE has no objection to the second entity authorizing the public communication; (iii) reductions of the fee for venues with smaller capacity, and regulation of invitations; (iv) possible access from SGAE offices to the repertoire of works to be publicly performed; and (v) exemption from bond for promoters who meet any of the following conditions: having three years of history without payment conflicts, or the promoter being of recognized solvency.</w:t>
      </w:r>
    </w:p>
    <w:p>
      <w:r>
        <w:t>4.3. Agreements with Ticketing Operators:</w:t>
      </w:r>
    </w:p>
    <w:p>
      <w:r>
        <w:t>In SGAE's agreements with ticket distributors, it is required, before tickets are put on sale, to verify that promoters have the corresponding license granted by the SGAE. Musical promoters who authorize ticketing operators to withhold the amount collected as copyright fees are exempt from bond.</w:t>
      </w:r>
    </w:p>
    <w:p>
      <w:r>
        <w:t>4.4. Applied Fees:</w:t>
      </w:r>
    </w:p>
    <w:p>
      <w:r>
        <w:t>The general fee applied by the SGAE to remunerate copyright in the holding of musical concerts is 10% of the box office revenue (after deduction of VAT) or 9% in venues with a capacity of less than one thousand seats. According to the European comparison made by the DC, the instructing body considers that fourteen countries have lower fees than SGAE and that only in three countries is the fee applied by the corresponding entity higher than 10% of the revenue, although only in some cases (Poland, France, and Italy; also, in Austria, the fee for shows with dancing is also higher than that of the SGAE). In three countries (Portugal, Slovenia, and Hungary), the existing fees are similar to those applied by SGAE. The fees applied by the two corresponding North American societies are also significantly lower. On the other hand, the counterpart entity in the United Kingdom, which applies a fee of 3%, receives 40% of the total amount transferred by the SGAE to the EU management entities due to reciprocal representation agreements.</w:t>
      </w:r>
    </w:p>
    <w:p>
      <w:r>
        <w:t>4.5. Licenses for Public Communication Rights of Authors for Musical Concerts Issued in Spain.</w:t>
      </w:r>
    </w:p>
    <w:p>
      <w:r>
        <w:t>According to data from the SGAE, practically 100% of the concerts held in Spain have obtained a license from that entity. However, in the period 2009-2012, a very small number of concerts (eleven) were held obtaining copyright licenses from foreign entities and in one case from the author himself (folios 3460 to 3461).</w:t>
      </w:r>
    </w:p>
    <w:p>
      <w:r>
        <w:t>4.6. Reciprocal Representation Agreements:</w:t>
      </w:r>
    </w:p>
    <w:p>
      <w:r>
        <w:t>The reciprocal representation agreements with foreign management entities (the SGAE has signed 270 reciprocal representation agreements with 149 foreign management entities) provide that each society will apply to the works of the repertoire of the other society the same fees, methods, and means of obtaining and distributing the income that are applied to the works of its own repertoire. The income corresponding to the copyright fees collected by each entity is transferred to the society of which the authors are members, after deduction by the society that issued the license of the collection and management expenses, as well as the expenses intended to finance promotional and assistance activities.</w:t>
      </w:r>
    </w:p>
    <w:p>
      <w:r>
        <w:t>LEGAL GROUNDS</w:t>
      </w:r>
    </w:p>
    <w:p>
      <w:r>
        <w:t>FIRST.- COMPETENCY ENABLEMENT</w:t>
      </w:r>
    </w:p>
    <w:p>
      <w:r>
        <w:t>In accordance with the provisions of the first additional provision of Law 3/2013, of June 4, creating the National Commission on Markets and Competition, by Order ECC/1796/2013, of October 4, October 7, 2013, was determined as the date of operation of the CNMC. According to the second additional provision of the same Law, "the references that current legislation contains to the National Commission of Competition [...] will be understood as made to the National Commission on Markets and Competition [...]" and "The references that Law 15/2007, of July 3, contains to the Directorate of Investigation of the National Commission of Competition will be understood as made to the Directorate of Competition of the National Commission on Markets and Competition."</w:t>
      </w:r>
    </w:p>
    <w:p>
      <w:r>
        <w:t>On the other hand, according to Article 5.1.c) of Law 3/2013, it is the responsibility of the CNMC to "apply the provisions of Law 15/2007, of July 3, regarding behaviors that imply preventing, restricting, and distorting competition." Article 20.2 of the same law assigns to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w:t>
      </w:r>
    </w:p>
    <w:p>
      <w:r>
        <w:t>Consequently, the competence to resolve this procedure corresponds to the Competition Chamber of the CNMC Council.</w:t>
      </w:r>
    </w:p>
    <w:p>
      <w:r>
        <w:t>SECOND.- OBJECT OF THE RESOLUTION AND APPLICABLE REGULATIONS</w:t>
      </w:r>
    </w:p>
    <w:p>
      <w:r>
        <w:t>In the present sanctioning file, this Council must resolve, based on the instruction carried out by the DC -which is included in the Report and Proposal for Resolution- whether the investigated behaviors constitute anti-competitive practices, prohibited by the LDC and the TFEU, consisting of the application of inequitable and excessive fees in the licenses granted by the SGAE for the public communication of musical works protected by copyright in concerts held in Spain. The DC understands that the practices established in the PCH constitute a single and continuous infringement of abuse of dominant position, typified in Article 2 LDC and</w:t>
      </w:r>
    </w:p>
    <w:p>
      <w:r>
        <w:rPr>
          <w:b/>
        </w:rPr>
        <w:t>[Pages 13–15]</w:t>
      </w:r>
    </w:p>
    <w:p>
      <w:r>
        <w:t>in Article 102 TFEU, which began, according to the data from file S/0460/13, at least in the year 2002 and continues to this day. The DC considers that the abusive effect of the application of this type of rates in Spain has been reinforced by its confluence with other restrictive competition practices within the framework of a broader abusive strategy, such as the imposition by the SGAE of the obligation to obtain the copyright license prior to the sale of tickets, the demand for disproportionate bonds from concert promoters, and the requirement that ticket distributors withhold and settle the amount owed to the SGAE for the promoter to be able to benefit from the bond exemption.</w:t>
      </w:r>
    </w:p>
    <w:p>
      <w:r>
        <w:t>Regarding the applicable national regulations, this file concerns practices carried out during the validity of Law 16/1989 and the LDC, and both laws (Articles 6 and 2, respectively) prohibit the abusive exploitation by one or more companies of their dominant position in all or part of the national market. Thus, as this Competition Chamber has already had the opportunity to point out (recently, in the Resolution of September 22, 2014, Expte. S/0428/12 Palés), reiterating the criterion of the defunct Council of the CNC which it fully shares, it would be indifferent to apply one legal provision or another, having to opt for one of the two laws, although, in accordance with the provisions of Article 128 of Law 30/1992, of November 26, on the Legal Regime of Public Administrations and Common Administrative Procedure, it must be the one that is more beneficial for the infringer in the specific case, in accordance with the principles of non-retroactivity of the more unfavorable sanctioning norm and retroactivity of the more favorable one.</w:t>
      </w:r>
    </w:p>
    <w:p>
      <w:r>
        <w:t>Considering the system of grading of infringements, non-existent in the previous legislation, the establishment of maximum limits on the amount of some sanctions of lower amounts than the general one provided for by Article 10 of Law 16/1989, and the reduction of the limitation periods for some of the typified behaviors, the Council also considers in this file that the sanctioning regime designed by Law 15/2007 is, overall, more favorable, and therefore this is the applicable norm in this case.</w:t>
      </w:r>
    </w:p>
    <w:p>
      <w:r>
        <w:t>This more favorable condition of the application of Law 15/2007 has been recognized on previous occasions by the Council of the CNC and the CNMC (the aforementioned Resolution of September 22, 2014, Expte. S/0428/12 Palés) and by the National Court, which in its recent Judgment of April 2, 2014 (appeal 194/2011, of L'OREAL ESPAÑA S.A. and L'OREAL S.A.), stated the following: “In the following reason, the plaintiff claims that the CNC has made an improper retroactive application of Law 15/2007. In this regard, it is worth highlighting that the conduct attributed would have begun on February 8, 1989, would have continued during the validity of Law 16/1989, of July 17, on the Defense of Competition, and would have continued under Law 15/2007, of July 3, on the Defense of Competition, which came into force on September 1, 2007, until February 28, 2008. Since the initiation of the file occurred on June 16, 2008, its processing has been carried out in accordance with the procedural rules of Law 15/2007, as it results, sensu contrario, from what is established in the First Transitional Provision of the aforementioned legal text, which states that “Sanctioning procedures regarding prohibited conduct initiated before the entry into force of this Law will be processed and resolved in accordance with the provisions in force at the time of their initiation.”</w:t>
      </w:r>
    </w:p>
    <w:p>
      <w:r>
        <w:t>But regarding the substantive law, it should be noted that without prejudice to the fact that the conduct regulated by Article 1 of both laws is identical, the truth is that the sanctioning regime designed by Law 15/2007 is, from a global perspective, more favorable to the infringers than that contemplated by the previous Law 16/1989. This results, among other elements of judgment, from the system of grading of infringements non-existent in the previous legislation, the establishment of maximum limits on the amount of some sanctions of lower amounts than the general one provided for by Article 10 of Law 16/1989, the reduction of the limitation periods for some of the typified behaviors, or the particularly noteworthy in this case, the possibility, common to all who have participated in a cartel, to request exemption or reduction of the sanction.</w:t>
      </w:r>
    </w:p>
    <w:p>
      <w:r>
        <w:t>Therefore, since both laws sanctioned exactly the same conduct, their treatment is identical as well as the quantification of the fine, since both indicate that the amount may be increased up to 10% of the sales volume corresponding to the immediate previous economic year to the resolution of the Tribunal, it cannot be stated that the new Law is more detrimental to the plaintiff than the old one.”</w:t>
      </w:r>
    </w:p>
    <w:p>
      <w:r>
        <w:t>Therefore, the allegation made by the SGAE that the CNMC should apply the more favorable norm which, according to the SGAE, for the purposes of sanction amounts, is Law 16/1989, cannot be accepted. Another different issue is that, for the case of associations without turnover, the Competition Authority has been indicating that the applicable regulation, for the purposes of calculating a possible economic sanction, is Law 16/1989, by virtue of the maximum limit of the economic sanction to associations established in Article 10 of that Law (901,518.16 euros), insofar as associations are economic operators without turnover.</w:t>
      </w:r>
    </w:p>
    <w:p>
      <w:r>
        <w:t>On the other hand, Article 3 of Council Regulation (EC) No. 1/2003 of December 16, 2002, on the application of the current Articles 101 and 102 of the TFEU, provides that National Competition Authorities, when judging a conduct that may affect trade between Member States, are obliged to also apply the corresponding community norm, in this case, Article 102 of the TFEU.</w:t>
      </w:r>
    </w:p>
    <w:p>
      <w:r>
        <w:t>The Competition Chamber agrees with the DC's analysis that the investigated behaviors are indeed likely to appreciably affect intra-community trade, given that the SGAE can represent citizens from other Member States (through reciprocal representation contracts established with foreign management entities), and any community promoter operating in Spanish territory and requiring authorization for the public communication of musical works in concerts must negotiate with the SGAE or, in practice, residually with the authors themselves individually. The conduct of the SGAE, finally, affects the entire national territory and this is a substantial part of the territory of the European Union.</w:t>
      </w:r>
    </w:p>
    <w:p>
      <w:r>
        <w:t>Indeed, the Spanish competition authority has reiterated in various Resolutions regarding collective management societies of rights the application of community regulations since, as stated in the Resolution of December 9, 2008, (file 636/07, Phonograms, confirmed by Judgment of the National Court of March 10, 2010), regarding the right to remuneration for producers and artists for the public communication of phonograms, "the CJEU has repeatedly and consistently established that the territory of a Member State is a substantial part of the common market (among others, CJEU Judgment of November 9, 1983, Michelin). Consequently, when a conduct affects, even potentially, the entirety of Spanish territory (which constitutes a substantial part of the common market), Article 82 EC will be fully applicable, and this is also evident from the practice of the TDC (Resolution of July 27, 2000, File 465/99, Audiovisual Intellectual Property)." That same analysis is similarly reflected more recently in the Resolution of the CNC of August 26, 2013 (S/0360/AGEDI).</w:t>
      </w:r>
    </w:p>
    <w:p>
      <w:r>
        <w:t>The conduct of the SGAE, which affects the entire Spanish territory and citizens and community producers as well as community entrepreneurs based in Spain, has the capacity to appreciably affect community exchanges. Ultimately, the criteria for possible impact on trade between Member States developed in the European Commission's Communication on guidelines regarding the concept of effect on intra-community trade are fulfilled, which, in accordance with Regulation 1/2003, requires the application of Article 102 of the TFEU in the present file.</w:t>
      </w:r>
    </w:p>
    <w:p>
      <w:r>
        <w:t>THIRD.- LEGAL ASSESSMENT OF THE INSTRUCTING BODY</w:t>
      </w:r>
    </w:p>
    <w:p>
      <w:r>
        <w:t>Upon completion of the instruction of the file, based on Article 50.4 of the LDC, the DC has proposed to the Council the following:</w:t>
      </w:r>
    </w:p>
    <w:p>
      <w:r>
        <w:rPr>
          <w:b/>
        </w:rPr>
        <w:t>[Pages 16–18]</w:t>
      </w:r>
    </w:p>
    <w:p>
      <w:r>
        <w:t>“FIRST: That the existence of a single and continuous infringement of Article 2 of Law 15/2007, of July 3, on the Defense of Competition, and Article 102 of the Treaty on the Functioning of the European Union, derived from the application of inequitable and excessive rates in the licenses granted for the public communication of musical works protected by copyright at concerts held in Spain, whose abusive effect has been reinforced by its confluence with other restrictive competition practices within the framework of a common abusive strategy, consisting of the imposition by SGAE of the obligation to obtain the copyright license prior to the sale of tickets, the requirement of disproportionate bonds from concert promoters, and the obligation for ticketing operators to withhold and settle the amount owed to SGAE in order to qualify for the bond exemption.</w:t>
      </w:r>
    </w:p>
    <w:p>
      <w:r>
        <w:t>SECOND: That SOCIEDAD GENERAL DE AUTORES Y EDITORES be declared responsible for said infringement.</w:t>
      </w:r>
    </w:p>
    <w:p>
      <w:r>
        <w:t>THIRD: That the aforementioned conduct be classified, for the purposes of determining the sanction to be imposed, as a very serious infringement under Article 62.4.b) of the LDC.</w:t>
      </w:r>
    </w:p>
    <w:p>
      <w:r>
        <w:t>FOURTH: That the sanction provided for in Article 63 of the LDC or, where appropriate, Article 10.1 of Law 16/1989, of July 17, on the Defense of Competition, be imposed, taking into account the criteria for determining the sanction provided for in Article 64 of the LDC or, where appropriate, in Article 10.2 of Law 16/1989, of July 17, on the Defense of Competition.</w:t>
      </w:r>
    </w:p>
    <w:p>
      <w:r>
        <w:t>FIFTH: That the other pronouncements referred to in Article 53 of the LDC be adopted to the extent that they are relevant.”</w:t>
      </w:r>
    </w:p>
    <w:p>
      <w:r>
        <w:t>The DC considers it proven that the conditions required by SGAE from promoters for obtaining licenses to publicly perform musical works at concerts held in Spain are inequitable due to their excessive nature and constitute an abuse of a dominant position in the sense of Articles 2 of the LDC and 102 of the TFEU. Likewise, the instructing body believes that other conditions imposed directly on promoters and in their relationships with ticket distributors constitute restrictive competition practices that contribute to that abuse.</w:t>
      </w:r>
    </w:p>
    <w:p>
      <w:r>
        <w:t>FOURTH.- ALLEGATIONS PRESENTED TO THE RESOLUTION PROPOSAL</w:t>
      </w:r>
    </w:p>
    <w:p>
      <w:r>
        <w:t>This Council shares the extensive response given by the DC to the allegations made by SGAE to the PCH, which is detailed in sections 49 to 142 of the Resolution Proposal (folios 4974 to 4987). The allegations of SGAE to the PR, dated April 23, 2014 (folios 5078 to 5103), reiterate most of the considerations contained in the previous allegations to the PCH, although they elaborate on some aspects that are subsequently addressed by this Chamber of the Council of the CNMC.</w:t>
      </w:r>
    </w:p>
    <w:p>
      <w:r>
        <w:t>4.1. On the existence of inequitable rates:</w:t>
      </w:r>
    </w:p>
    <w:p>
      <w:r>
        <w:t>The allegations of SGAE fundamentally point to the non-compliance by the DC with both the mandate of the National Court in its judgment of April 6, 2009, which ordered an investigation into whether SGAE's rates are inequitable in accordance with the jurisprudence of the Court of Justice in the Tournier and Lucazeau cases, as well as the jurisprudence derived from such judgments. The essence of SGAE's argument lies in considering that in the present case the rates applied by SGAE are not “notably higher than in the other Member States,” since “there are similar and even higher rates.” SGAE reaffirms its argument by stating that to determine when a rate is “notably higher” than in the other Member States, it must be assessed that the cited judgments (particularly Tournier) responded to cases where the questioned remunerations were several times higher than those applied in the other Member States. Likewise, SGAE criticizes the comparison made by the DC for its incomplete nature (missing Member States: Cyprus, Malta, Croatia, and Latvia) and erroneous (it includes the analysis of rates from the United States, which is not a Member State of the EU).</w:t>
      </w:r>
    </w:p>
    <w:p>
      <w:r>
        <w:t>Finally, SGAE reproaches the special attention given by the DC to the rates applied by management entities in the United Kingdom (PRS) and the United States, considering it an arbitrary selection of the lowest rates, which violates European jurisprudence in the matter, by including in the analysis a non-EU country.</w:t>
      </w:r>
    </w:p>
    <w:p>
      <w:r>
        <w:t>Response from the Competition Chamber:</w:t>
      </w:r>
    </w:p>
    <w:p>
      <w:r>
        <w:t>First, this Chamber must point out that, of the Member States not included in the table prepared by the DC cited by SGAE, only the recently joined Croatia applies rates equal to those provided by SGAE for capacities over one thousand spectators (10%), while those of the other three mentioned Member States are clearly lower, so the allegation made does not undermine the conclusions reached by the DC.</w:t>
      </w:r>
    </w:p>
    <w:p>
      <w:r>
        <w:t>Likewise, the Competition Chamber must reject the criticism expressed by SGAE in its allegations regarding the correctness of the rate comparison method developed by the DC. The DC conducts an analysis of the rates applied by the corresponding management entities of twenty-two Member States on homogeneous bases, in order to compare them with those applied by SGAE and concludes that the entities of fourteen of those twenty-two Member States (almost 64% of the total) apply lower rates than SGAE, with the rates applied by four of those states being substantially lower. That percentage of Member States with rates clearly lower than those applied by SGAE rises to 73% when considering the data from the Member States not included in the table prepared by the DC (Luxembourg and the already mentioned Cyprus, Malta, Latvia, and Croatia).</w:t>
      </w:r>
    </w:p>
    <w:p>
      <w:r>
        <w:t>The most recent jurisprudence of the CJEU has endorsed that this comparative analysis must be carried out on homogeneous bases in order to determine whether the analyzed rates are notably higher than the rates applied in the other Member States, with the Court of Justice referring to the level of rates prevailing in the other Member States. From the community jurisprudence in this matter, it cannot be inferred, as SGAE intends in a purely geographical and formalist interpretation, that a rate can only be considered excessive when it is notably higher than that of the remaining twenty-seven Member States or a large majority of them and that, on the contrary, it is not when there are similar and even higher rates in a minority of States, but rather that the analysis of the excessive nature of the rate must take into account the existing situation in the other Member States and the legal and economic context in which the conduct occurs. The comparison made by the DC highlights, as detailed below in Legal Basis Five, that there is a large majority of Member States (73% of them) where the rates applied are lower than those applied by SGAE.</w:t>
      </w:r>
    </w:p>
    <w:p>
      <w:r>
        <w:t>Regarding the alleged arbitrary selection of the English case and erroneous analysis of the North American case, indeed, the DC analyzes in detail the case of the rates applied by the entity in the United Kingdom and the rates established by the North American entities. This Chamber, however, does not share the reasoning presented by SGAE in this regard. On the contrary, it agrees with the DC's assessment that the indicated countries qualitatively differ from the rest and require a specific analysis due to the objective differentiating element that they constitute the main destination of the income distributed by SGAE to the societies with which it has reciprocal representation agreements to remunerate the copyright rights derived from the use in concerts held in Spain of the repertoire managed by foreign entities. Indeed, according to the information in the file (folios 3935 and 4443), of the total income distributed by SGAE to foreign societies, 43% corresponds to North American societies and 19% to that of the United Kingdom, with the following being comparatively distant (France, 6%, Italy, 6%, Germany, 3%, and Sweden, 3%). Furthermore, taking as a reference exclusively the amount transferred by SGAE to European management entities, the income distributed to the British society under the reciprocity agreements reaches 40% of the total. The requirement for a comparison on homogeneous bases, as required by the jurisprudence of the Court of Justice, obliges not to overlook this data in the analysis.</w:t>
      </w:r>
    </w:p>
    <w:p>
      <w:r>
        <w:t>This special qualification of the British case, due to its relevance, is also reflected in SGAE's own differentiated behavior in this same market. Thus, according to the data provided by SGAE (folios 4569 to 4571), the management fees applied to foreign societies with which it maintains reciprocal representation agreements are the same as those deducted from the amounts transferred to the author members of SGAE (9%), except for those applied to the collective management society of copyright in the United Kingdom. Under the agreements reached with PRS, in the so-called large concerts (revenue exceeding 120,202 euros), the amount withheld for management fees is 5.55%.</w:t>
      </w:r>
    </w:p>
    <w:p>
      <w:r>
        <w:rPr>
          <w:b/>
        </w:rPr>
        <w:t>[Pages 19–21]</w:t>
      </w:r>
    </w:p>
    <w:p>
      <w:r>
        <w:t>4.2. On the European Commission's Letter of 2001</w:t>
      </w:r>
    </w:p>
    <w:p>
      <w:r>
        <w:t>Subsequent to the adoption by the DC of the resolution proposal, dated June 26, 2014, SGAE submitted a document accompanied by the European Commission's Letter of October 10, 2001, in Case COMP/C-2/38071 VIASAT v. STIM and PRS. SGAE argues that this document "states that the application of destination country rates does not infringe competition rules." This, according to SGAE, contradicts the DC's consideration that the principle of applying destination country rates included in SGAE's reciprocity agreements reinforces the inequitable nature of the rates.</w:t>
      </w:r>
    </w:p>
    <w:p>
      <w:r>
        <w:t>Response from the Competition Chamber:</w:t>
      </w:r>
    </w:p>
    <w:p>
      <w:r>
        <w:t>According to the documentation included in the file, this Competition Chamber must clarify that the "position letter" from the European Commission of 2001, provided by SGAE, only indicates that, "in light of the scant evidence and proof provided," (1) it is not possible to conclude that the affected management entities, Swedish and British, have engaged in collusive behavior constituting an infringement of [then] Article 81 TCE; (2) the application to the broadcasting entity that submits the prior consultation of the intellectual property rights rates of the country where the recipients of the cable or satellite TV broadcast reside does not, per se, constitute a competition infringement; (3) regarding a possible abuse of a dominant position by the management entity located in the country where the broadcast is received and whose (higher) rates are applied, it will be necessary to consider the possible objective and relevant differences between the management of intellectual property rights in the sending country and the receiving country of the broadcast, which may justify that difference in rates (type of service provided, type of costs incurred by the management entity).</w:t>
      </w:r>
    </w:p>
    <w:p>
      <w:r>
        <w:t>The documentation provided by SGAE, therefore, contrary to what that entity indicates, does not imply an automatic endorsement by the community competition authorities that the application of destination country rates does not infringe antitrust regulations in any case. On the other hand, in the present file, SGAE has not provided the justification required by the Commission in the aforementioned position letter regarding the difference in the amount of the rates applied in Spain compared either to the rates of the foreign society to which the revenues from copyright generated by the licenses granted by SGAE based on the repertoire of the foreign entity are predominantly transferred or to those of other entities with lower rates as well.</w:t>
      </w:r>
    </w:p>
    <w:p>
      <w:r>
        <w:t>Indeed, in the repeatedly mentioned Letter from the European Commission, it is stated that “[...] the Commission emphasizes that the positions expressed in this letter are based strictly and limited to the previous allegations. They do not intend to anticipate in this context the evaluation of any rate that may be defined subsequently by PRS, nor do they anticipate any assessment of whether the rate charged by PRS, even based on Swedish rates, may effectively reflect differences in the type or quality of the services provided by PRS and STIM respectively, nor on the cost that the two different societies must bear to provide such services” [emphasis added].</w:t>
      </w:r>
    </w:p>
    <w:p>
      <w:r>
        <w:t>Furthermore, the European Commission refers in its same writing to the judgment of the CJEU of July 13, 1989 (Tournier), expressly citing the following paragraph: “The assessment would be different if the intellectual property rights society in question could justify such a difference based on the existence of objective and relevant divergences between the management of intellectual property rights in the member state in question and that carried out in the other member states” [emphasis added].</w:t>
      </w:r>
    </w:p>
    <w:p>
      <w:r>
        <w:t>FIFTH.- ASSESSMENT OF THE COMPETITION CHAMBER OF THE COUNCIL ON THE ACCREDITATION OF THE INFRINGEMENT</w:t>
      </w:r>
    </w:p>
    <w:p>
      <w:r>
        <w:t>The LDC, like Article 102 of the TFEU, does not prohibit a dominant position, but does prohibit the use of that position to impose commercial conditions and obtain advantages that would not be achieved in the case of workable and sufficiently effective competition [see, judgments of the CJEU of July 3, 1991, AKZO/Commission (62/86, Rec. p.I-3359), paragraph 69, and of February 13, 1979, Hoffmann-La Roche/Commission (85/76, Rec. p.461), paragraph 91)].</w:t>
      </w:r>
    </w:p>
    <w:p>
      <w:r>
        <w:t>Therefore, for there to be an infringement of Article 2 of the LDC and 102 of the TFEU, the conduct must be carried out from a dominant position of the company or companies in the relevant market.</w:t>
      </w:r>
    </w:p>
    <w:p>
      <w:r>
        <w:t>5.1. Position of SGAE in the relevant market</w:t>
      </w:r>
    </w:p>
    <w:p>
      <w:r>
        <w:t>Given that the accusation is of abuse of a dominant position, it is necessary to first analyze the market, both product and geographic, in which the conduct takes place and the position of SGAE therein, before pronouncing on the possible abuse.</w:t>
      </w:r>
    </w:p>
    <w:p>
      <w:r>
        <w:t>Although national and community regulations do not define what should be understood as a dominant position, according to jurisprudence, it would be that situation in the market that allows the dominant operator independence of behavior with respect to its customers, suppliers, or competitors (see, among others, the Judgment of the CJEU of February 14, 1978, Case 27/76, United Brands Company and United Brands Continental BV v Commission).</w:t>
      </w:r>
    </w:p>
    <w:p>
      <w:r>
        <w:t>As noted in the description of SGAE in the Established Facts, this society manages in Spain the intellectual property and remuneration rights of literary, musical, theatrical, cinematographic, and any other audiovisual works, whether original or derivative works. Of the total rights managed by SGAE, this file analyzes the behaviors related to the management of the public communication right of musical works in concerts held in Spain.</w:t>
      </w:r>
    </w:p>
    <w:p>
      <w:r>
        <w:t>The Council agrees with the DC that SGAE enjoys a dominant position, a situation of de facto monopoly, in the market for managing copyright to be able to use protected musical works in concerts held in Spain. Given that the different management entities authorized in Spain manage rights of different collectives and repertoires, which are not interchangeable or substitutable, they have full independence and therefore, there is no competitive pressure among them, as they do not compete with each other.</w:t>
      </w:r>
    </w:p>
    <w:p>
      <w:r>
        <w:t>It should also be noted the existence of additional barriers to competition. SGAE is, on one hand, the only entity authorized by the Ministry of Culture in the field of copyright for musical works and, on the other hand, although the management of this right is not mandatory but must be expressly ceded by the authors, both SGAE's practice—which incentivizes total cession—and the difficulties involved in direct management by the authors, result in a very high percentage of them ceding their rights entirely to this entity.</w:t>
      </w:r>
    </w:p>
    <w:p>
      <w:r>
        <w:t>On the other hand, SGAE represents in Spain the rights of foreign authors through the reciprocal representation agreements signed with foreign collective management entities. The exclusivity clauses, which were initially included in these agreements, have allowed SGAE to enjoy a monopolistic position in the analyzed market. Currently, these agreements no longer include clauses that expressly prevent societies from granting licenses in the territories of other societies, nor limit the affiliation of authors who are members of other societies. Therefore, foreign copyright management societies could, in principle, be potential competitors of SGAE. However, the removal of the clauses that confined each management society to operate only in its national territory has not led to any significant change in the behavior of these entities. This is because there are other clauses in the reciprocal representation agreements that disincentivize competition among management societies. For the purposes of this file, given that SGAE applies to the foreign authors it represents the same rates it applies to its own members and transfers to the foreign society the revenues from copyright generated by the licenses it has granted (after deducting management and assistance costs), no foreign society that has rates set below those established by SGAE will have incentives to grant licenses directly from its own repertoire in Spain.</w:t>
      </w:r>
    </w:p>
    <w:p>
      <w:r>
        <w:t>To the analysis carried out by the DC in its PCH (included in paragraphs 115 to 130 of the PR), it is added the observation that virtually all licenses for concerts held in Spain have been issued by SGAE (page 1556). This dominant position is specified in that SGAE has an independence.</w:t>
      </w:r>
    </w:p>
    <w:p>
      <w:r>
        <w:rPr>
          <w:b/>
        </w:rPr>
        <w:t>[Pages 22–24]</w:t>
      </w:r>
    </w:p>
    <w:p>
      <w:r>
        <w:t>manifest in the way that the SGAE sets and effectively applies the rates for this right of public communication in Spain. Once the existence of a dominant position by the SGAE has been established, it is necessary to evaluate whether there has been an abuse of that position to classify the conduct within the framework of Article 2 of the LDC and Article 102 of the TFEU. In particular, it is essential to determine whether the SGAE has set inequitable rates, due to their excessive nature, for concert promoters for the granting of licenses for the public communication of musical works at such events.</w:t>
      </w:r>
    </w:p>
    <w:p>
      <w:r>
        <w:t>5.2. The SGAE tariff system in the market for the management of copyright for the public performance of musical works at concerts.</w:t>
      </w:r>
    </w:p>
    <w:p>
      <w:r>
        <w:t>The TRLPI grants management entities a wide margin of action regarding the setting of their rates, which must, in any case, be compatible with what is established in Article 2 of the LDC. For these purposes, the Spanish Competition Authority in its resolutions has established criteria, strongly supported by jurisprudence, regarding the setting of general rates and their application, always taking into account the special responsibility that, as holders of a monopoly, falls on management entities, in this case, the SGAE, not to apply rates that, due to being inequitable or discriminatory, constitute an abuse punishable under the LDC.</w:t>
      </w:r>
    </w:p>
    <w:p>
      <w:r>
        <w:t>The abusive nature of a rate will be determined by the equity or lack of equity that exists between that rate and the value that the good or service for which the rate is paid provides to the final product (CNC Resolution of December 19, 2011, Expte. S/0208/09 AISGE CINES). Thus, it would be abusive to demand an excessive price, in the sense that it lacks a "reasonable relationship with the economic value of the service rendered" [CJEU Judgments of December 11, 2008, (case C-52/07) and February 27, 2014 (case C-351/12)].</w:t>
      </w:r>
    </w:p>
    <w:p>
      <w:r>
        <w:t>It is therefore necessary to analyze whether the rates applied by the SGAE, as the due and legitimate counterpart for the use of musical works protected by intellectual property rights for their performance at concerts held in Spain, present a reasonable relationship in terms of their amount with the economic value of the service rendered.</w:t>
      </w:r>
    </w:p>
    <w:p>
      <w:r>
        <w:t>The established facts indicate that the general rate applied by the SGAE to remunerate copyright for the holding of musical concerts is 10% of the box office revenue (prior deduction of VAT) and 9% for venues with fewer than one thousand spectators. As indicated by the SGAE in October 2005, this rate has been applied for over fifteen years (page 395), so currently the rate has not changed for more than 23 years. According to the APM, the same rate has been applied since before the APM members began their activities as promoters (pages 434 to 435).</w:t>
      </w:r>
    </w:p>
    <w:p>
      <w:r>
        <w:t>As additional conditions to this general rate, it is relevant to mention that invitations that meet the requirements specified in the license (authorized by the SGAE with maximums based on capacity) will not be counted for the calculation of copyright fees. The SGAE will apply a 10% reduction of the rate (which implies a rate of 9% of the revenue from ticket sales) to concerts whose capacity does not exceed one thousand seats, according to the license models sent from October 2006. Likewise, both in the general rate of the SGAE and in the current license models, it is established that if the concert organizer uses unnumbered tickets or without specific control of attendees, the corresponding rate will be applied based on the result of multiplying the highest ticket price for the event by the capacity where it takes place.</w:t>
      </w:r>
    </w:p>
    <w:p>
      <w:r>
        <w:t>It is a widely accepted criterion that, for the purpose of assessing whether a rate is excessive or not, one can resort to comparison (i) with the rates of analogous management entities in other States, (ii) with those of other national entities with which there are common elements (TDC Resolution of July 27, 2000, Expte. 465/99 Audiovisual Intellectual Property) and, where appropriate, (iii) with the price agreed in agreements made by the entity in question with equivalent users (CNC Resolution of February 4, 2008, Expte. R 714/07, Tele5/AIE). In the case at hand, due to the particularities of the affected market (structural conditions of the market subject to this file and the inelastic nature of demand to price variations), this Council agrees with the DC that an appropriate method of comparison consists of contrasting, on a homogeneous basis, with the rates (percentage of gross box office revenue) applied by other analogous foreign management entities to remunerate copyright within the framework of the performance of musical works at concerts.</w:t>
      </w:r>
    </w:p>
    <w:p>
      <w:r>
        <w:t>As reflected in the table prepared by the DC (page 5254), fourteen member States apply lower rates than the SGAE. In particular, the United Kingdom has rates of 3% of gross box office revenue; Denmark, brackets between 2.42% and 5.25% of box office revenue; Lithuania, brackets from 3.5% to 6% of box office revenue; Sweden, between 3.1% and 5.5% depending on the number of attendees; Germany, between 5% and 7.65% depending on the number of attendees; the Netherlands, between 3% and 7% depending on the weight of the protected repertoire over the total repertoire; Ireland, between 3% and 6% of net revenue. In the cases mentioned, except for Ireland, the rate is applied to gross box office revenue.</w:t>
      </w:r>
    </w:p>
    <w:p>
      <w:r>
        <w:t>In other countries, the calculation of the rate is more complex, using a formula that consists of multiplying a factor based on the venue's capacity by the average ticket price (Slovakia), or establishing minimum fixed rates and a percentage of the revenue obtained (Finland). However, according to the table prepared by the DC, which indicates practical examples in each of these cases, the amount to be paid by the promoter is much lower than what must be paid to the SGAE in Spain.</w:t>
      </w:r>
    </w:p>
    <w:p>
      <w:r>
        <w:t>The DC concludes in its analysis that only in three countries is the rate higher than 10%: Poland, where it can reach 12% in certain cases; France, where the amount charged is 8.8% of box office revenue, but an additional 4.4% is charged for ancillary revenue (consumables, merchandising, etc.); and Italy, where 10% of box office revenue and advertising income is charged. In Austria, the rate for the specific case of shows with dancing is also higher than that of the SGAE.</w:t>
      </w:r>
    </w:p>
    <w:p>
      <w:r>
        <w:t>However, this Competition Chamber considers it necessary to highlight that, even in these cases pointed out by the DC, the rates are not clearly higher than those applied by the SGAE, as in Poland the rates reach 8% for regular promoters and a wide scale of 2% to 12% is also applied depending on the protected works. Likewise, in the French case, the additional 4.4% charged for ancillary revenue may yield different results in the final amount of the rate, which, in cases where such ancillary revenue does not occur, will be lower than the 9%-10% applied by the SGAE.</w:t>
      </w:r>
    </w:p>
    <w:p>
      <w:r>
        <w:t>Finally, within the European scope, in three countries (Portugal, Slovenia, and Hungary) the rates are similar to those charged by the SGAE (9%-10%). In contrast, the rates applied by the two corresponding North American entities, which reach 43% of the total revenue distributed by the SGAE to foreign societies in this area, are much lower than those applied by the SGAE.</w:t>
      </w:r>
    </w:p>
    <w:p>
      <w:r>
        <w:t>The fact that the SGAE's rates (9%-10%) triple the rate applied by the British entity (3%), exceeding by six percentage points for venues with fewer than one thousand spectators and seven points for venues with more than one thousand spectators, is particularly significant from the perspective of analyzing the equity of those rates on a homogeneous basis, in light of the fact that precisely that British entity is the recipient of the largest percentage, after the North American entities, of the revenue distributed by the SGAE under reciprocity agreements.</w:t>
      </w:r>
    </w:p>
    <w:p>
      <w:r>
        <w:t>The case of PRS (United Kingdom) deserves special attention since, as detailed in the next point when analyzing the impact on the assessment of the SGAE's conduct of certain clauses included in reciprocity contracts, the express refusal of that management entity to contract with the APM is documented in the file, with no further justification for that refusal than the difference between the rates of the entity and those of the destination country where the concert is held.</w:t>
      </w:r>
    </w:p>
    <w:p>
      <w:r>
        <w:t>Thus, in the case of BMI for venues with a capacity of more than 10,000 people, the rate is 0.15% of gross revenue, that is, the product of ticket sales minus local or state taxes and fees, installation costs, ticket distribution costs, and parking costs. For venues with fewer than 10,000 people, the rates vary between 0.8% and 0.3%. The rates charged by the North American entity ASCAP range from 1.20% of gross revenue for venues with a capacity of up to 2,500 people to 0.15% for venues with a capacity of more than 10,000 people. The box office revenue on which the percentage to be paid for copyright fees is calculated does not include fees, ticket operator distribution costs, or parking costs if included in the price.</w:t>
      </w:r>
    </w:p>
    <w:p>
      <w:r>
        <w:rPr>
          <w:b/>
        </w:rPr>
        <w:t>[Pages 25–27]</w:t>
      </w:r>
    </w:p>
    <w:p>
      <w:r>
        <w:t>Likewise, the examination of the comparative information regarding tariffs contained in the file reveals that foreign management entities have a greater abundance of nuances and ranges or scales of tariffs to address various elements in contrast to the provisions of the SGAE, which only establishes a distinction between capacities below or above 1,000 spectators, linking to such difference a single reduction of one percentage point (from 10% to 9%).</w:t>
      </w:r>
    </w:p>
    <w:p>
      <w:r>
        <w:t>Evidently, while the tariffs applied by different management entities will vary depending on characteristic elements of each market, what is sought to be prohibited are the differences, appreciated through comparisons like the one described, that fulfill the objective of the jurisprudence of the CJEU and not a merely formalistic analysis, as intended by the SGAE in its allegations, which reveal excessive disproportions that are not justified by management or economic reasons (innovative effort, business risk, high fixed costs, comparative disadvantage, etc.).</w:t>
      </w:r>
    </w:p>
    <w:p>
      <w:r>
        <w:t>As the Court of Justice has been indicating and recently confirmed, “[...] if it were to be established that that management society imposes tariffs for the services it provides that are significantly higher than those applied in the other member states, and provided that the comparison has been made on a homogeneous basis, such a difference should be considered as an indication of an abuse of a dominant position within the meaning of Article 102 TFEU. In such a case, it would be up to the interested management society to justify the difference, based on the existence of objective divergences between the situation of the member state in question and the situation prevailing in the other member states” (CJEU judgment of February 27, 2014, case C-351/12, § 87, emphasis added).</w:t>
      </w:r>
    </w:p>
    <w:p>
      <w:r>
        <w:t>In this sense, this Competition Chamber agrees with the DC in considering it proven that the tariffs for licenses for the execution of musical works protected by copyright in concerts held in Spain required by the SGAE are disproportionately high compared to those requested by management societies in most member states, which constitutes an abuse of the dominant position enjoyed, in the sense of Article 2 of the LDC and Article 102 TFEU. In the case at hand, there is no adequate balance between the legitimate interest of authors of musical works protected by intellectual property rights in obtaining reasonable remuneration for their public communication in concerts, and that of concert-promoting companies in being able to organize, under equitable conditions, concerts in which protected musical works are performed.</w:t>
      </w:r>
    </w:p>
    <w:p>
      <w:r>
        <w:t>The Competition Chamber also agrees with the DC that the high level of tariffs applied by the SGAE in licenses related to the public communication rights of musical works in concerts in Spain has exploitative effects on concert promoters, as the SGAE uses its dominant position to charge them tariffs that are much higher than those charged in other European countries, so that promoters are forced to pay higher tariffs than would correspond if these were set at a competitive level. This conduct could also harm the consumer to the extent that these higher costs can reasonably translate into an increase in ticket prices.</w:t>
      </w:r>
    </w:p>
    <w:p>
      <w:r>
        <w:t>5.3. Additional actions that cumulatively contribute to maintaining such inequitable tariffs.</w:t>
      </w:r>
    </w:p>
    <w:p>
      <w:r>
        <w:t>The main conduct attributed to the SGAE in this file as an abuse of dominant position consists of the imposition of inequitable tariffs deemed excessive in the licenses granted for the public communication of musical works protected by copyright through their performance in concerts held in Spain. The DC additionally argues that a series of practices converge that, while not qualifying in themselves and in isolation as restrictive of competition, reinforce that abuse. These practices consist of the imposition by the SGAE of a series of unjustified disproportionate conditions added to musical promoters and indirectly to ticket distributors.</w:t>
      </w:r>
    </w:p>
    <w:p>
      <w:r>
        <w:t>The practices would consist of: (i) the requirement to obtain the corresponding license from the SGAE before starting the sale of tickets, (ii) the obligation to deposit a bond/guarantee covering the total revenue corresponding to copyright fees, or (iii) the alternative obligation of the promoter, in order to qualify for the bond exemption, to distribute tickets through a ticketing operator that has a collaboration agreement with the SGAE and that, until 2012, must withhold and settle the amount owed.</w:t>
      </w:r>
    </w:p>
    <w:p>
      <w:r>
        <w:t>The requirement to obtain the corresponding license not only before the concert is held but even before starting to sell tickets constitutes an abusive practice in that the declared objective of detecting and preventing non-compliance can be achieved by alternative means available to the SGAE that are less burdensome for the promoter, who is also hindered in seeking alternative sources to obtain the license.</w:t>
      </w:r>
    </w:p>
    <w:p>
      <w:r>
        <w:t>The obligation to provide a bond for the total amount expected to be owed is also an excessive condition that shifts the entire cost of risk coverage to the concert promoter, and such total risk coverage in favor of the SGAE is hardly justifiable, particularly in cases where there have been no previous payment conflicts with the promoter in question. In response to the SGAE's allegations that the bond requirement is the exception and not the rule, the DC clarifies that only from 2012 is it possible for promoters with more than three years of history and without payment conflicts or of recognized solvency to avoid the bond without being obliged to allow the retention of the amount of the revenue that corresponds to be paid to the SGAE.</w:t>
      </w:r>
    </w:p>
    <w:p>
      <w:r>
        <w:t>Likewise, the agreements signed by the SGAE with ticketing operators contain clauses (prohibition of distributing tickets if the promoter does not have a license granted by the SGAE, obligation to withhold the amount owed to the SGAE) that constitute an interference in the promoter-ticket distributor relationship and again make it difficult to resort to alternative providers to obtain the necessary license.</w:t>
      </w:r>
    </w:p>
    <w:p>
      <w:r>
        <w:t>Added to this is the fact that the subsidiary rates require the promoter who does not reach an agreement with the SGAE to deposit 10% of the ticket value for the total capacity, which is disproportionate as it does not relate to the average percentage of capacity coverage that actually occurs in concerts in Spain, and forces the promoter to accept the SGAE's conditions to at least ensure the recovery of the unsold ticket revenue and invitations.</w:t>
      </w:r>
    </w:p>
    <w:p>
      <w:r>
        <w:t>Finally, regarding the reciprocal representation agreements, this Chamber does not dispute that they may respond to a legitimate interest consisting of different societies supporting the organization created by the management society that carries out its activities in other states, without the need to add their own networks of contracts with users and their own controls on the ground.</w:t>
      </w:r>
    </w:p>
    <w:p>
      <w:r>
        <w:t>However, as previously anticipated in the established facts, given that, by virtue of the provisions established in the reciprocal representation agreements, the SGAE applies to foreign authors it represents the same tariffs it applies to its own members and transfers to the foreign society the revenues from copyright fees generated by the licenses it has granted (after deducting management and assistance costs), no foreign society that has tariffs set below those established by the SGAE will have incentives to grant licenses directly for its own repertoire in Spain, which reinforces the market partitioning and the dominant position that the SGAE enjoys in it.</w:t>
      </w:r>
    </w:p>
    <w:p>
      <w:r>
        <w:t>While the SGAE points out in its allegations to the DC, regarding the impact of the abuse of the reciprocal representation agreements that “promoters have not made requests to foreign entities that have been denied,” there are emails in the file (pages 985 to 1000 and 4820) between APM and the British society PRS in 2006 and in 2012, in which the latter denies the granting of licenses for the holding of concerts in Spain citing efficiency reasons and adds that, should it decide to do so, the tariffs would be the same as those charged in the destination country.</w:t>
      </w:r>
    </w:p>
    <w:p>
      <w:r>
        <w:t>Indeed, in the allegations of APM to the proposed resolution (page 4761) there is a translation of an email sent by the British society PRS to APM in April 2006, the content of which, relevant to this file, is transcribed as follows: “We reiterate that we have designated SGAE as our agent in Spain to grant licenses on behalf of our members, and in this case, you need to obtain the license from them. For this area of PRS's business, it is not efficient for PRS to grant the license directly. In any case, if PRS were to decide to license directly in another territory, it would apply the tariff of the destination country.”</w:t>
      </w:r>
    </w:p>
    <w:p>
      <w:r>
        <w:rPr>
          <w:b/>
        </w:rPr>
        <w:t>[Pages 28–30]</w:t>
      </w:r>
    </w:p>
    <w:p>
      <w:r>
        <w:t>that is, the Spanish rate for restricted acts that take place in Spain.” Furthermore, in a letter from April 2012 sent by PRS to APM, these points are confirmed, and it is added that “[...] in the event of deciding that it would be more efficient to license directly rather than through an agent, we would apply the rate prevailing in the country of exploitation. This policy remains in effect and is not exclusive to concert promoters; we intend to apply the principle of the destination territory rate in relation to cross-border licensing activity, and we do not see it in the interest of our partners to separate from such policy in this case (page 4820, own translation).” The position exhibited by PRS in the aforementioned letters obliges SGAE, as an entity with special responsibility given its dominant position in the affected market, to adequately justify the difference between the rates applied by this entity and those of the British one, in the sense expressed in the Fourth Legal Basis, based on the existence of “objective and relevant divergences in the type or quality of services provided by the entities or in the costs that the two different companies must bear to provide such services.” The Chamber shares the DC's view that SGAE would have incurred in a single and continuous infringement of competition regulations consisting of an abuse of dominant position derived from the setting and effective application of inequitable and excessive rates for public communication rights of authors of musical works in concerts in Spain. Furthermore, this abuse has been aided by other elements that effectively contribute to favoring SGAE in the setting and effective application of these rates, disproportionately reinforcing its position in negotiations with concert organizers. As the CJEU points out, “while it is true that the existence of a dominant position cannot deprive a company in that position of the right to protect its own commercial interests when these are attacked, and that it must be recognized, to a reasonable extent, the power to carry out the acts it deems appropriate to protect those interests, such conduct is not admissible when its purpose is precisely to reinforce that dominant position and abuse it” (CJEU ruling of December 11, 2008, (case C-52/07), (§ 26 and cited precedents there). The behaviors indicated consolidate SGAE's dominant position in the relevant market and are particularly relevant for assessing SGAE's conduct, since the infringement attributed to it is the application of excessive prices, which in this case are unlikely to self-correct, as the presence in the market of monopolistic rents does not allow for the incentive, due to the confluence of the indicated circumstances, for the entry of new licensing entities for intellectual property rights for the public communication of musical works in concerts that would lower SGAE's rate levels. In conclusion, the Competition Chamber considers that the behavior of SGAE analyzed in this file constitutes a single and continuous infringement of Article 2 of the LDC, and Article 102 of the TFEU, derived from the application of inequitable and excessive rates in the licenses granted for the public communication of musical works protected by copyright in concerts held in Spain, without any other alternative objective justification having been provided and therefore lacking. SIXTH.- Responsibility of SGAE in the abuse. For the reasons stated in the previous legal bases, the Council considers SGAE responsible for an infringement of Article 2 of the LDC and Article 102 of the TFEU, consisting of an abuse of its dominant position, which it has carried out through the previously described behaviors, and without any objective justification having been demonstrated for them. Regarding SGAE's allegations about the absence of intent or fault in its conduct, this Council cannot share such argumentation. While it is true that the SDC dismissed the file that once analyzed the same practices raised in this sanctioning file, it is not possible to appeal, as SGAE does, to a principle of legitimate trust, since the Administration did not validate the commitments presented by SGAE, as the dismissal has an administrative channel and a substantially different significance from conventional termination. Additionally, it must be taken into account that once the National Court issued its ruling on April 6, 2009, requiring further investigation into the behaviors analyzed in this file, a point ratified by the Supreme Court in December 2012, it is difficult to consider that SGAE had a legitimate trust that its actions regarding licenses for the execution of music protected by copyright in concerts were compatible with competition regulations. Nevertheless, SGAE maintained the investigated practices. Article 61.1 of the LDC states that “individuals or legal entities that carry out actions or omissions classified as infringements in this Law shall be infringing subjects.” For its part, Article 63.1 of the LDC establishes that, “The competent authorities may impose on economic agents, companies, associations, unions or groups of those who, deliberately or through negligence, infringe the provisions of this Law...”. Regarding SGAE's allegation of the absence of intent or fault in its actions (pages 5100 and 5101), this Chamber must recall that, according to constant jurisprudence, both national and community, the concept of abuse is of an objective nature, not requiring, therefore, any eventual anti-competitive intent. Once the abusive nature of the conduct has been corroborated and considering both the DC and this Chamber that SGAE's behavior is certainly revealing of such subjective intentionality of the management entity, it is concluded that it is responsible for a very serious infringement, in accordance with the provisions of Article 62.4.b) of the LDC. This section states as a very serious infringement: “b) The abuse of dominant position classified in Article 2 of the Law when it is committed by a company that operates in a recently liberalized market, has a market share close to monopoly or enjoys special or exclusive rights.” In this case, the abuse is perpetrated by a company that indeed has a dominant position in the affected market, and that acted in relation to the proven infringement, at least, without the diligence that can be required of an operator holding such a position in the market and, therefore, in violation of the special responsibility that as such was incumbent upon it. There are many rulings that refer to this regime of special responsibility of the dominant operator. Thus, the Ruling in the Telia Sonera case (CJEU ruling of February 17, 2011, C-52/09) states in its paragraphs 24 and 44: 24. Thus, Article 102 TFEU must be interpreted as not only referring to practices that can cause immediate harm to consumers (...), but also to those that harm them by undermining an effective structure of competition. If, indeed, Article 102 TFEU does not prohibit a company from achieving, by its own means, a dominant position in a market and although, even more so, the accreditation of the existence of a dominant position in a market does not imply, in itself, any reproach to the company in question (...), it is no less true that, according to repeated jurisprudence, a company occupying a dominant position has a special responsibility not to impede, with its behavior, the development of effective and undistorted competition in the common market (see, in this sense, the ruling of April 2, 2009, France Télécom/Commission, C-202/07 P, Rec. p. I-2369, paragraph 105 and the cited jurisprudence). 44. Furthermore, this approach [the equally efficient operator test] is further justified as it also aligns with the general principle of legal certainty, given that taking into account the costs and prices of the dominant company allows it to assess the legality of its own behavior in accordance with the particular responsibility that, as recalled in paragraph 24 of this ruling, it bears under Article 102 TFEU. Indeed, while a dominant company knows its own costs and rates, it does not generally know those of its competitors (Deutsche Telekom/Commission ruling, previously cited, paragraph 202). Similarly, in the Telefónica ruling (CJEU ruling of March 29, 2012, T-398/07, Kingdom of Spain vs. Commission), it can be read: 92. Thus, since Article 82 EC does not only refer to practices that can cause immediate harm to consumers, but also to those that harm them by preventing the play of competition, a special responsibility rests on the company occupying a dominant position not to impede, with its behavior, the development of effective and undistorted competition in the common market (see the ruling of October 14, 2010, Deutsche Telekom/Commission, cited in paragraph 50 above, paragraph 176, and the cited jurisprudence).</w:t>
      </w:r>
    </w:p>
    <w:p>
      <w:r>
        <w:rPr>
          <w:b/>
        </w:rPr>
        <w:t>[Pages 31–33]</w:t>
      </w:r>
    </w:p>
    <w:p>
      <w:r>
        <w:t>the characteristics of the market affected by the infringement; the market share of the responsible company or companies; the scope of the infringement; the duration of the infringement; the effect of the infringement on the rights and legitimate interests of consumers and users or on other economic operators; the illicit benefits obtained as a result of the infringement; the aggravating and mitigating circumstances that apply to each of the responsible companies.”</w:t>
      </w:r>
    </w:p>
    <w:p>
      <w:r>
        <w:t>The Communication on the quantification of sanctions derived from infringements of Articles 1, 2, and 3 of Law 15/2007, of July 3, on the Defense of Competition and Articles 101 and 102 of the Treaty of the European Community (BOE 11-02-2009) aims to establish guidelines that, in general, guide the actions of the Competition Authority when applying the criteria set forth in Article 64 of the LDC. This aims to contribute to improving transparency and objectivity in determining the sanction, enhancing its deterrent effect, and promoting legal certainty for economic operators.</w:t>
      </w:r>
    </w:p>
    <w:p>
      <w:r>
        <w:t>These guidelines for specifying the application of the criteria in Article 64 of the LDC have been employed by the Council for determining the sanction in this Resolution, fully respecting the criteria established by the Supreme Court, which in numerous rulings (among others, of November 24, 1987, October 23, 1989, May 14, 1990, and July 15, 2002) has maintained that the discretion granted to the Administration must be exercised by weighing the concurrent circumstances to achieve the necessary and due proportionality between the alleged facts and the responsibility required, given that any sanction must be determined in accordance with the severity of the infringement committed and according to a criterion of proportionality attentive to the objective circumstances of the act.</w:t>
      </w:r>
    </w:p>
    <w:p>
      <w:r>
        <w:t>In the response of the SGAE to the request for information included in the Statement of Facts (January 28, 2014), this entity argues (pages 4732-4734) that for the purposes of determining the volume of business of the SGAE, only the amounts received as an administration discount should be taken into account instead of the collection amounts.</w:t>
      </w:r>
    </w:p>
    <w:p>
      <w:r>
        <w:t>A similar issue was already resolved by the competition authority in the Resolution of July 3, 2012 (Expte. S/0220/10 SGAE), where this point was clarified: “[...] the SGAE seeks to replace the previously submitted figures of obtained business volume, that is, the revenues received [...], with the amount corresponding to the administration discount that SGAE applies for the collection of rights in Spain (Hl). The Council cannot accept this modification of the data, since such a proposal does not correspond to any of the concepts established by the LDC in the criteria to be followed for calculating sanctions. On one hand, according to Article 63 of the LDC, the limit of the sanction is set based on the total business volume of the infringer, in this case, the revenues collected by the SGAE, in the year prior to the imposition, and on the other hand, according to Article 64.1.a), one criterion for calculating the sanction is the dimension and characteristics of the affected market.”</w:t>
      </w:r>
    </w:p>
    <w:p>
      <w:r>
        <w:t>Under such analysis, the basis on which the 10% limit referred to in Article 63.1.c) of the LDC should be calculated is the total business volume of the entity in the fiscal year 2013, which is €259,771,723 (page 4733), with its 10% being €25,977,172.</w:t>
      </w:r>
    </w:p>
    <w:p>
      <w:r>
        <w:t>This same approach, but now focused on the specific area in which the infringing conduct occurs, is what should guide the determination of the sanction. According to paragraph 8 of the Communication, the quantification of the sanction is carried out in several phases. The first phase consists of determining the basic amount of the sanction, for which, according to paragraph 9, the criteria indicated in letters a) to e) of Article 64.1 of the LDC will apply “taking into account, therefore, the dimension and characteristics of the market affected by the infringement; the market share of the responsible company or companies; the scope of the infringement; the duration of the infringement; the effect of the infringement on the rights and legitimate interests of consumers and users or on other economic operators; the illicit benefits obtained as a result of the infringement; the aggravating and mitigating circumstances that apply to each of the responsible companies.”</w:t>
      </w:r>
    </w:p>
    <w:p>
      <w:r>
        <w:rPr>
          <w:b/>
        </w:rPr>
        <w:t>[Pages 34–36]</w:t>
      </w:r>
    </w:p>
    <w:p>
      <w:r>
        <w:t>quantification of the sanction is carried out in several phases. The first phase consists of determining the basic amount of the sanction, for which, according to paragraph 9, the criteria set forth in letters a) to e) of Article 64.1 of the LDC shall apply “taking into account, therefore, the size and characteristics of the affected market, the market share of the infringer, the scope of the infringement, its duration, and its effects.” In relation to the market affected by the infringement (art. 64.1.a LDC), paragraph 10 of the Communication on sanctions specifies the following: “The volume of sales affected by the infringement will be the weighted sum of the sales obtained by the infringer in the product or service and geographical markets where the infringement has produced or is likely to produce effects, during the time the infringement has occurred and before the application of VAT and other related taxes. The sales of each period will be weighted according to what is provided in point 15.”</w:t>
      </w:r>
    </w:p>
    <w:p>
      <w:r>
        <w:t>In this case, as already noted, the market affected by the conduct is limited to the volume of income from the granting of licenses for the public communication of musical works at concerts held in Spain. The income volumes in this area during the years 2002 to 2013 (both inclusive) have been provided by SGAE (folio 4733), and must adhere, as already noted, to the total amount collected and not to the administration discount settled in the same.</w:t>
      </w:r>
    </w:p>
    <w:p>
      <w:r>
        <w:t>On such volumes, and given that the infringement has a duration of more than one year, the reduction coefficient based on duration provided in paragraph 15 of the Communication is applied. In this case, a weighting factor equivalent to 1 is applied to the last twelve months in which it is known that the infringement has occurred. The volumes corresponding to the successive periods of 12 months prior to the first will receive a decreasing weighting (0.75 for the 2nd period, 0.50 for the 3rd, and 0.25 for the 4th, etc.), which implies that for the sanction only a decreasing proportion of the turnover of the affected market is taken into account as the infringement becomes older.</w:t>
      </w:r>
    </w:p>
    <w:p>
      <w:r>
        <w:t>Thus, the weighted sum (decreasing by duration) of the turnover in the affected market by the conduct during the years 2002 to 2013 amounts to €62,063,928. Based on this, taking into account previous and recent precedents from the CNMC, as well as considering the fact that the competition authority dismissed the proceedings until the National Court ruling of 2009, the Competition Chamber has deemed it proportional to the intensity and severity of the conduct to apply in this case a percentage of 5% for the determination of the basic amount of the fine, and in this case also of the sanction since there are no mitigating or aggravating factors, resulting in a fine of €3,103,196. Thus, according to the information provided in this file, this fine can be considered as an approximation to the illicit benefit obtained by the infringer through the conduct.</w:t>
      </w:r>
    </w:p>
    <w:p>
      <w:r>
        <w:t>Therefore, in view of the cited articles and the others of general application, the Council in the Competition Chamber</w:t>
      </w:r>
    </w:p>
    <w:p>
      <w:r>
        <w:t>HAS RESOLVED</w:t>
        <w:br/>
        <w:t xml:space="preserve">FIRST.- To declare that in this file it has been proven that an infringement of Article 2 of the LDC and Article 102 of the TFEU has been committed, in the terms set forth in the Fifth Legal Basis, for which the General Society of Authors of Spain, SGAE, is responsible. </w:t>
        <w:br/>
        <w:t xml:space="preserve">SECOND.- To impose on SGAE for said infringement a monetary sanction in the amount of €3,103,196. </w:t>
        <w:br/>
        <w:t xml:space="preserve">THIRD.- To order SGAE to cease the conduct within three months from the notification of this Resolution and, henceforth, to refrain from committing practices such as those sanctioned or other analogous ones that may hinder competition. </w:t>
        <w:br/>
        <w:t>FOURTH.- To urge the Competition Directorate to monitor compliance with this Resolution.</w:t>
      </w:r>
    </w:p>
    <w:p>
      <w:r>
        <w:t>This Resolution shall be communicated to the Competition Directorate and notified to SGAE and APM, informing them that there is no administrative appeal against it, and that a contentious-administrative appeal may be filed with the National Court within two months from its notification.</w:t>
      </w:r>
    </w:p>
    <w:p>
      <w:r>
        <w:t>DISSENTING OPINIONS</w:t>
      </w:r>
    </w:p>
    <w:p>
      <w:r>
        <w:t>DISSENTING OPINION formulated by Counselor Mr. Fernando Torremocha and García-Sáenz, to the Resolution approved today, November 6, 2014, by simple majority, by this Competition Chamber of the National Commission on Markets and Competition, within the framework of the Sanctioning File S/0460/13 SGAE-CONCERTS.</w:t>
      </w:r>
    </w:p>
    <w:p>
      <w:r>
        <w:t>DISSENT that I develop, first of all, in the establishment of BACKGROUND and PROVEN FACTS, to subsequently conclude in the specification of the REASONS for dissent.</w:t>
      </w:r>
    </w:p>
    <w:p>
      <w:r>
        <w:t>BACKGROUND.-</w:t>
        <w:br/>
        <w:t xml:space="preserve">1° At the time, by distribution turn, the Report of this Sanctioning File S/0460/13 SGAE-CONCERTS was assigned to Counselors Mr. Fernando Torremocha and García-Sáenz and Mr. Benigno Valdés Díaz. The aforementioned Counselors presented a Proposal for Resolution to be known by the Plenary of this Competition Chamber on October 23, stating orally that from the examination of the File "they understood that it was appropriate to archive the proceedings, as there were no infringing conducts of Article 2 of Law 15/2007 of July 3, on the Defense of Competition." </w:t>
        <w:br/>
        <w:t>2° Notwithstanding the above, on the following day, October 30, they again submitted a written Proposal for Resolution, which was defeated by simple majority (President and Counselors), so it was agreed to assign the Report.</w:t>
      </w:r>
    </w:p>
    <w:p>
      <w:r>
        <w:t>PROVEN FACTS.</w:t>
        <w:br/>
        <w:t>It is a proven fact that this Sanctioning File S/0460/13 SGAE-CONCERTS originates from a complaint made on May 27, 2005, by the ASSOCIATION OF MUSICAL PROMOTERS (APM) to the Competition Defense Service (now extinct) "for alleged restrictive practices of competition consisting of imposing abusive conditions in the licensing contracts by which the promoters were granted the copyright of the songs to be performed at concerts."</w:t>
      </w:r>
    </w:p>
    <w:p>
      <w:r>
        <w:rPr>
          <w:b/>
        </w:rPr>
        <w:t>[Pages 37–39]</w:t>
      </w:r>
    </w:p>
    <w:p>
      <w:r>
        <w:t>It is a proven fact that the aforementioned Service, after twelve months of investigation, on October 13, 2006, in a reasoned Resolution "agreed to the dismissal of the proceedings," understanding that the reported and examined behaviors did not constitute an infringement of Article 2 of the then-current Competition Defense Law.</w:t>
      </w:r>
    </w:p>
    <w:p>
      <w:r>
        <w:t>It is a proven fact that on November 3, 2006, the complainant ASSOCIATION OF MUSICAL PROMOTERS (APM) filed an appeal against the aforementioned Agreement before the now-defunct Competition Defense Tribunal, requesting the reopening of the investigation process (R/701/2006). This appeal was dismissed in a Resolution issued on March 8, 2007.</w:t>
      </w:r>
    </w:p>
    <w:p>
      <w:r>
        <w:t>It is a proven fact that the complainant ASSOCIATION OF MUSICAL PROMOTERS (APM) filed a contentious-administrative appeal that was upheld by the Honorable Sixth Section of the National Court in Judgment dated April 9, 2009 "for understanding that the reported facts were not sufficiently investigated" and, consequently, ordered the National Competition Commission (now defunct) to continue the investigative activities and gather more information in order to resolve the following issues:</w:t>
        <w:br/>
        <w:t>• Whether the rates of the GENERAL SOCIETY OF AUTHORS AND PUBLISHERS (SGAE) and the criteria for setting them were justified, in comparison with European countries and with respect to the doctrine emanating from the Supreme Court and the Court of Justice of the European Union.</w:t>
        <w:br/>
        <w:t>• Whether the requirement for guarantees had occurred in a significant number of cases and whether such a requirement was in line with commercial practices or, on the contrary, was an unjustifiable behavior from the perspective of competition.</w:t>
        <w:br/>
        <w:t>• And whether there had been collusive practices between the GENERAL SOCIETY OF AUTHORS AND PUBLISHERS (SGAE) and foreign intellectual property rights management societies.</w:t>
      </w:r>
    </w:p>
    <w:p>
      <w:r>
        <w:t>It is a proven fact that the Honorable Third Section of the Administrative Litigation Chamber of the Supreme Court, in Judgment dated December 4, 2012, upheld the ruling issued by the Honorable National Court.</w:t>
      </w:r>
    </w:p>
    <w:p>
      <w:r>
        <w:t>It is a proven fact that the Directorate of Investigation of the National Competition Commission (now both defunct), in compliance with the orders of the cited Judgments, on April 15, 2013, initiated Sanctioning File S/0460/13 SGAE-CONCERTS "for there being rational indications of the commission, by SGAE, of an infringement of Article 2 of the LDC and Article 102 of the TFEU, consisting of an abuse of its dominant position in the market for the management of public communication rights of the authors of musical works exploited in musical concerts held in Spain."</w:t>
      </w:r>
    </w:p>
    <w:p>
      <w:r>
        <w:t>It is a proven fact that the Directorate of Competition of this National Commission on Markets and Competition, upon completion of the investigation phase and under the provisions of Article 50.4 of Law 15/2007 of July 3, on Competition Defense, submitted to this Competition Chamber of the National Commission on Markets and Competition the following Proposal for Resolution:</w:t>
        <w:br/>
        <w:t>"FIRST.- That the existence of a single and continuous infringement of Article 2 of Law 15/2007 of July 3, on Competition Defense and Article 102 of the Treaty on the Functioning of the European Union, regarding the application of inequitable and excessive rates in the licenses granted for the public communication of musical works protected by copyright in concerts held in Spain, whose abusive effect has been reinforced by its confluence with other restrictive competition practices within the framework of a common abusive strategy, consisting of the imposition by SGAE of the obligation to obtain the copyright license prior to the sale of tickets, the requirement of disproportionate bonds from concert promoters, and the obligation for ticketing operators to withhold and settle the amount owed to SGAE in order to qualify for the bond exemption.</w:t>
      </w:r>
    </w:p>
    <w:p>
      <w:r>
        <w:t>SECOND.- That the aforementioned conduct be classified, for the purposes of determining the sanction to be imposed, as a very serious infringement under Article 62.4,b) of Law 15/2007 of July 3, on Competition Defense.</w:t>
      </w:r>
    </w:p>
    <w:p>
      <w:r>
        <w:t>THIRD.- That the sanction provided for in Article 63 of Law 15/2007 or, where appropriate, Article 10.1 of Law 16/1989 of July 7, be imposed, taking into account the criteria for determining the sanction provided for in Article 64 of Law 15/2007 or, where appropriate, in Article 10.2 of Law 16/1989 of July 17, on Competition Defense.</w:t>
      </w:r>
    </w:p>
    <w:p>
      <w:r>
        <w:t>REASONS FOR DISSENT</w:t>
        <w:br/>
        <w:t>FIRST.- VIOLATION OF FUNDAMENTAL RIGHTS ONE.- The approved Resolution literally states in Section 12 (page 3) that "On January 28, 2014, the Statement of Facts (PCH) was notified to SGAE and APM. On February 21, 2014, the allegations from SGAE were received and on February 20, 2014, those from APM (....). The Statement of Facts, although the Resolution neither specifies nor even cites it, is identical to the Proposal for Resolution previously recounted in its full literalness.</w:t>
      </w:r>
    </w:p>
    <w:p>
      <w:r>
        <w:t>Or</w:t>
      </w:r>
    </w:p>
    <w:p>
      <w:r>
        <w:t>Law 15/2007 of July 3, on Competition Defense, in its Article 50 Instruction of the Sanctioning File states that "/. The Directorate of Investigation, once the file has been initiated, will carry out the necessary acts of instruction for the clarification of the facts and the determination of responsibilities; 3. The facts that may constitute an infringement will be included in a Statement of Facts that will be notified to the interested parties so that, within a period of fifteen days, they can respond and, where appropriate, propose the evidence they consider pertinent (....) The Statement of Facts is, therefore, the administrative act that establishes the proven facts that configure the accusation and the persons (natural and/or legal) charged, so that the entire subsequent procedure cannot deviate from what is established therein, as has always been established by the Competition Defense Tribunal (among others, Resolution dated September 4, 2000, Sanctioning File AENOR).</w:t>
      </w:r>
    </w:p>
    <w:p>
      <w:r>
        <w:rPr>
          <w:b/>
        </w:rPr>
        <w:t>[Pages 40–42]</w:t>
      </w:r>
    </w:p>
    <w:p>
      <w:r>
        <w:t>In it, the now-defunct Tribunal recalls that the Court of Justice of the Communities has repeatedly stated that "the respect for the rights of defense REQUIRES that, from the phase of the administrative procedure, the interested company is offered the possibility to adequately express its point of view on the reality and relevance of the facts, allegations, and circumstances alleged by the Commission, so that the Statement of Objections must provide the company with all the necessary elements to defend itself effectively. The Statement of Objections must clearly mention all essential elements (...)."</w:t>
      </w:r>
    </w:p>
    <w:p>
      <w:r>
        <w:t>For the aforementioned purposes and without intending to exhaust the jurisprudential citation, see all the Judgments Hoffman-La Roche of February 11, 1979; Cimentieres CBR and others/Commission of December 18, 1992; CB and Europe/Commission of November 23, 1994).</w:t>
      </w:r>
    </w:p>
    <w:p>
      <w:r>
        <w:t>In the European Community regulations "REGULATION 99," the Statement of Objections (in our legal terminology, the Statement of Specification of Facts) is the document that the Commission, after gathering the elements that allow it to establish sufficient evidence of the existence of an infringement, collects the proven facts that are not accredited and formulates the accusation, which it communicates to the accused parties so that they can make allegations (Article 2.1).</w:t>
      </w:r>
    </w:p>
    <w:p>
      <w:r>
        <w:t>Article 2.2 provides that "the Commission may only take into account, in its decisions, the charges regarding which the companies have been able to express their points of view." Thus, "the Statement of Objections has the effect of crystallizing the position of the Commission, preventing it from maintaining in its decision other charges different from those communicated" (see all, the Judgments IBM of November 11, 1981 and Order Reynolds of June 18, 1986).</w:t>
      </w:r>
    </w:p>
    <w:p>
      <w:r>
        <w:t>Therefore, the crystallizing effect entails (a) that the Commission cannot base its decision on other factual data than those previously communicated; (b) that to base its decision on a factual element, the Commission must clearly indicate in the Statement of Objections what it intends to use and present such document against the company; (c) that the Commission cannot accuse a company of an infringement different from that stated in the Statement of Objections and, in particular, giving the facts a different qualification than that specified in the Statement of Objections; (d) that the Commission cannot accuse the companies of an infringement whose duration is greater than that considered in the Statement of Objections, nor can it expand the scope or modify the nature of the charges; (e) that the Commission cannot base its decision on a legal conception different from that on which the Statement of Objections is based; and (f) that the Commission cannot impose fines without announcing its intention to do so (see all, the Judgments Wood Pulp II of March 3, 1986; Pioneer of June 7, 1983 and the instance Europay of February 23, 1994).</w:t>
      </w:r>
    </w:p>
    <w:p>
      <w:r>
        <w:t xml:space="preserve">CONCLUDING: In light of all the above, this Dissenting Counselor understands that the Resolution approved today violates frontally what is provided for in </w:t>
        <w:br/>
        <w:t xml:space="preserve">• Article 9 of the Spanish Constitution, which enshrines the fundamental principles of legal legality and legality, while prohibiting the interdiction of Public Powers, which leads to defenselessness for the party under Article 24.1 of the same Constitutional Text and this, for applying as a sanctioning regime a Communication (of lower rank than the Law) and negligently abstracting from what is provided in Law 15/2007 of July 3, on the Defense of Competition and, where appropriate, from what is provided in Law 16/1989 of July 17, on the Defense of Competition. </w:t>
        <w:br/>
        <w:t xml:space="preserve">• Article 50.4 of Law 15/2007 of July 3, on the Defense of Competition, which violates the principles of legality and legal certainty, producing defenselessness for the party, by violating the principles of typicity and sanction applicable to the conduct attributed to it, as provided by Law 30/1992 of November 26, on the Legal Regime of Public Administrations and the Common Administrative Procedure. Such normative violation, by entering the field of the interdiction of Public Powers, concludes in arbitrariness and, consequently, is subject to responsibility under Article 9. </w:t>
        <w:br/>
        <w:t>• Article 103 of the Spanish Constitution in that it obliges Public Administrations to serve the general interests objectively and to act with full submission to the law and to the Law.</w:t>
      </w:r>
    </w:p>
    <w:p>
      <w:r>
        <w:t xml:space="preserve">SECOND.- VIOLATION OF FUNDAMENTAL PRINCIPLES TWO. The DISPOSITIVE PART of the Resolution approved today, November 6, 2014, within the framework of the Sanctioning File S/0460/13 SGAR-CONCERTS literally states (pages 34 and 35): </w:t>
        <w:br/>
        <w:t>The COUNCIL in the Competition Chamber HAS RESOLVED FIRST.- To declare that in the present file, the commission of an infringement of Article 2 of the LDC and Article 102 of the TFEU has been accredited, in the terms set out in the Fifth Legal Basis, for which the General Society of Authors of Spain, SGAE, is responsible.</w:t>
      </w:r>
    </w:p>
    <w:p>
      <w:r>
        <w:t xml:space="preserve">The FIFTH LEGAL BASIS begins on page 20 and concludes on page 29. Apart from encountering a verbose, disconnected, and unmotivated wording (since, in a totum revolutum it mixes accredited facts that are not proven and legal grounds), now and for the purposes provided regarding the typicity of the conduct, ONLY in the last paragraph in fine (page 28 in fine and page 20 initio) it is stated literally: </w:t>
        <w:br/>
        <w:t>"In conclusion, the Competition Chamber considers that the behavior of the SGAE analyzed in this file constitutes a unique and continued infringement of Article 2 of the LDC and Article 102 of the TFEU, derived from the application of inequitable and excessive rates in the licenses granted for the public communication of musical works protected by copyright in concerts held in Spain, without any other objective alternative justification having been provided and therefore lacking."</w:t>
      </w:r>
    </w:p>
    <w:p>
      <w:r>
        <w:t>Prima facie, regarding the nullity of actions, the following particulars are established:</w:t>
      </w:r>
    </w:p>
    <w:p>
      <w:r>
        <w:rPr>
          <w:b/>
        </w:rPr>
        <w:t>[Pages 43–45]</w:t>
      </w:r>
    </w:p>
    <w:p>
      <w:r>
        <w:t>1° The Council in the Competition Chamber is not only a semantic indeterminism, but as it has been repeatedly noted and warned by this Dissenting Counselor in all deliberations and in his Dissenting Opinions, it ventures into the realm not just of the lack of diligence and specificity required of any administrative and/or judicial resolution, but into that of obstinate stubbornness. The Council (pages 21, 23, 34) does not have the objective and functional powers to examine sanctioning files or assess behaviors that fall under competition laws, much less to issue resolutions that pertain exclusively, by reason of the subject matter, to this Competition Chamber of the National Commission on Markets and Competition and not to the Council, which lacks decision-making powers or oversight. Hence, to persist in what initially, at best, we could qualify as an error, given the nature of the resolutions that this Competition Chamber issues administratively, in the preliminary phase, leads to the nullity of actions as they are issued by an organ manifestly incompetent for this (objectively and functionally).</w:t>
      </w:r>
    </w:p>
    <w:p>
      <w:r>
        <w:t>2° The approved Resolution, by simple majority, lacks legal foundation as it does not at any moment examine and assess the text of the provisions it considers infringed and therefore the behaviors to be categorized under them, but rather, in an exercise of a totum revolutum, simply cites them, causing defenselessness to the party that is not obliged to know the principle iura novit curia.</w:t>
      </w:r>
    </w:p>
    <w:p>
      <w:r>
        <w:t>3° Finally, in its punitive intent, it forgets to qualify the behavior to which it is obliged, by imperative of Article 62.4.b) of Law 15/2007 of July 3, on the Defense of Competition.</w:t>
      </w:r>
    </w:p>
    <w:p>
      <w:r>
        <w:t>THIRD.- VIOLATION OF FUNDAMENTAL RIGHTS</w:t>
      </w:r>
    </w:p>
    <w:p>
      <w:r>
        <w:t>This fact, of NOT QUALIFYING THE BEHAVIOR while forgetting the mandate of Article 62.4.b) of Law 15/2007, as a prior and necessary step to apply the following in order to quantify the sanction/fine, has special relevance, as the absence of qualification of the behavior (very serious, serious, or minor) makes it impossible to quantify the sanction.</w:t>
      </w:r>
    </w:p>
    <w:p>
      <w:r>
        <w:t>That is, "if O is the index of the severity of the behavior, any percentage-degree to be applied on the degree of very serious behavior or degree of serious behavior or degree of minor behavior) would always yield O." It is as simple as the following arithmetic operations, which are not quantum mathematics: the segment from 0.001% to 1% of minor behaviors multiplied by O always gives O; the segment from 1.001% to 5% of serious behaviors multiplied by O always gives O; the segment from 5.001% to 10% of very serious behaviors multiplied by O always gives O. This negligent lightness turns this Sanctioning File into wet paper, as it cannot conclude sanctioning something (the behavior and its severity) that has not been previously typified and specified. This leads to declaring the exoneration of the GENERAL ASSOCIATION OF AUTHORS AND PUBLISHERS (SGAE) due to the manifest impossibility of sanctioning it, due to the absence of QUALIFICATION. Conversely, that is, sanctioning without the existence of qualification of the examined behavior would lead to procedural and legal fraud, due to arbitrariness, generating AD NAUSEAM a new defenselessness to the party, given that it would be violating the fundamental principles of legality and legal certainty. And this is even more reprehensible because in this case, the majority of this Competition Chamber has acted as such to reach the approval of this Resolution which, as could not be otherwise, does so once all and each of the paragraphs that comprise it have been examined, assessed, and meticulously verified, from page 1 to page 35.</w:t>
      </w:r>
    </w:p>
    <w:p>
      <w:r>
        <w:t>Or, without prejudice to what has been stated in the previous section and further elaborating on what is established therein, to say that Law 15/2007 of July 3, on the Defense of Competition, in its Article 62.4.b) addresses the qualification and typification of the examined behavior that it considers infringing, in accordance with the provisions of the following articles and specifically with the provisions of Article 63 Sanctions, which states "i.c. Very serious infringements with a fine of up to 10 percent of the total turnover of the infringing company in the immediately preceding financial year to the imposition of the fine."</w:t>
      </w:r>
    </w:p>
    <w:p>
      <w:r>
        <w:t>In light of all the above, as well as what is provided in Article 3 of the Civil Code and harmonizing and relating the provisions in the first and third sections of the aforementioned Article 63 of Law 15/2007, it must be concluded by saying (and prima facie abstracting a priori from the existence or non-existence of modifying circumstances of liability) that:</w:t>
        <w:br/>
        <w:t>a) The segment for quantifying minor infringements ranges from 0.001% to 1%.</w:t>
        <w:br/>
        <w:t>b) The segment for quantifying serious infringements ranges from 1.001% to 5%.</w:t>
        <w:br/>
        <w:t>c) The segment for quantifying very serious infringements ranges from 5.001% to 10%.</w:t>
      </w:r>
    </w:p>
    <w:p>
      <w:r>
        <w:t>The opposite would be an interpretation contra legem that would lead to absurdity, as once the behavior is qualified and typified as very serious, a sanction/fine quantified in the segment of serious behavior would end up being imposed; or the serious behavior quantified in the segment of minor behavior. And so on to infinite absurdity. Jurisprudential doctrine develops these normative precepts in order that "the discretion that the Law grants must be executed by WEIGHING the concurrent circumstances in each case, in order to achieve the necessary and due PROPORTIONALITY between the imputed facts and the responsibility required, the effects on the market, the existence of modifying circumstances of the behavior, etc., given that any sanction must be determined in congruence with the principles of proportionality and individualization of the sanction to be imposed, to adapt it to the severity of the behavior."</w:t>
      </w:r>
    </w:p>
    <w:p>
      <w:r>
        <w:t>For merely indicative purposes, we cite the Judgments of the Supreme Court and all SSTS of December 1, 2010, Appeal 2685/2008; January 29, 2013, Appeal 2495/2012; and June 28, 2013, Appeal 1947/2010. And from the National Court, all SSAN November 10, 2010, Appeal 637/2009; November 22, 2010, Appeal 365/2009; January 18.</w:t>
      </w:r>
    </w:p>
    <w:p>
      <w:r>
        <w:rPr>
          <w:b/>
        </w:rPr>
        <w:t>[Pages 46–48]</w:t>
      </w:r>
    </w:p>
    <w:p>
      <w:r>
        <w:t>2011 Appeal 266/2009; February 10, 2011 Appeal 318/2010; October 13, 2011 Appeal 795/2009; November 10, 2011 Appeal 846/2009.</w:t>
      </w:r>
    </w:p>
    <w:p>
      <w:r>
        <w:t>Furthermore, the National Court in the very recent Judgment of January 30, 2014, Appeal 422/2012 recalls that "an essential principle of Spanish punitive sanctioning law is the division into degrees (minimum, medium, and maximum) depending on the presence or absence of modifying circumstances of liability."</w:t>
      </w:r>
    </w:p>
    <w:p>
      <w:r>
        <w:t>Thus, in the opinion of jurisprudential doctrine, the following should be assessed: (a) the modality and scope of the restriction of competition; (b) the size and characteristics of the affected market; (c) the effects of the infringement on consumers and users or on other economic operators; (d) the duration of the restrictive conduct of competition; and (e) the repetition and other modifying circumstances of liability: aggravating and/or mitigating factors.</w:t>
      </w:r>
    </w:p>
    <w:p>
      <w:r>
        <w:t>CONCLUDING. In light of all the above, this dissenting Counselor, - in the absence of a qualification of the conduct attributed and infringed; in the absence of proven, specific, and undisputed facts, of specific moments and acts, cannot qualify as abusive conduct on the part of the GENERAL SOCIETY OF AUTHORS AND PUBLISHERS (SGAE) that can be classified under Article 2 of Law 15/2007 of July 3, on the Defense of Competition and, consequently, the fundamental rights developed in Articles 9, 24.1, and 103 of the Spanish Constitution have been violated; as well as Article 1 of the Civil Code which enshrines jurisprudential doctrine as a source of the Legal System.</w:t>
      </w:r>
    </w:p>
    <w:p>
      <w:r>
        <w:t>And much less as a unique and continuous conduct.</w:t>
      </w:r>
    </w:p>
    <w:p>
      <w:r>
        <w:t>The principle of legality has been violated, which leads to the exoneration of the examined conduct, since the qualification of the conduct is non-existent, making condemnation impossible.</w:t>
      </w:r>
    </w:p>
    <w:p>
      <w:r>
        <w:t>Moreover, this Resolution becomes unmotivated, which violates what is provided in Articles 54 and 129 of Law 30/1992 of November 26, on the Legal Regime of Public Administrations and the Common Administrative Procedure.</w:t>
      </w:r>
    </w:p>
    <w:p>
      <w:r>
        <w:t>FOURTH.- VIOLATION OF FUNDAMENTAL PRINCIPLES FOUR.- Article 1 of the Civil Code sanctions the Principle of Normative Hierarchy. That is to say, it becomes unimaginable that a Communication, as a norm of lower rank than a Law, can be applicable to the detriment of legal normative principles with the rank of Law: whether it be under Article 10 of Law 16/1989 of July 17, on the Defense of Competition; or under Articles 63, previous and subsequent concordant of Law 15/2007 of July 3, on the Defense of Competition.</w:t>
      </w:r>
    </w:p>
    <w:p>
      <w:r>
        <w:t>Judgment 100/2003 of June 2</w:t>
      </w:r>
    </w:p>
    <w:p>
      <w:r>
        <w:t>To this effect, the Supreme Court establishes the following regarding the RESERVATION OF LAW in the determination of administrative sanctions:</w:t>
      </w:r>
    </w:p>
    <w:p>
      <w:r>
        <w:t>"This opens up the possibility for laws to refer to regulatory norms in this area, with the insurmountable limit, in any case, that such referral does not provide an independent regulation and is not clearly subordinate to the Law" (see all the STC 42/1987 of April 7; 101/1988 of June 8; 61/1990 of March 29; 341/1993 of November 18; 25/2002 of February 11).</w:t>
      </w:r>
    </w:p>
    <w:p>
      <w:r>
        <w:t>"In short, as highlighted in STC 113/2002 of May 9, reiterating what has already been said in the Legal Foundation Third of STC 305/1993 of October 25, 'Article 25 of the Constitution obliges the legislator to regulate by himself the types of administrative infringement and the sanctions applicable to them, WITHOUT IT BEING POSSIBLE that, from the Constitution, new infringements can be typified or new sanctions introduced or the framework of the already existing ones altered by a regulatory norm whose content is not sufficiently predetermined or delimited by another with the rank of Law.'</w:t>
      </w:r>
    </w:p>
    <w:p>
      <w:r>
        <w:t>The same Constitutional Court, previously, recalls what was said in the doctrine expressed in its STC 42/1987 of April 7:</w:t>
      </w:r>
    </w:p>
    <w:p>
      <w:r>
        <w:t>"The fundamental right thus enunciated (...) comprises a double guarantee. The first, of a material order and absolute scope, both regarding the strictly penal sphere and that of administrative sanctions, reflects the special significance of the principle of legal certainty in those limiting areas of individual freedom and the normative pre-determination of illicit conduct and the corresponding sanctions. The second, of a formal nature, refers to the necessary rank of the norms typifying those conducts and regulating these sanctions, since, as this Court has repeatedly pointed out, the term 'current legislation' contained in Article 15.1 of the Spanish Constitution is expressive of a reservation of Law in sanctioning matters."</w:t>
      </w:r>
    </w:p>
    <w:p>
      <w:r>
        <w:t>For all, see STC 133/1999 of July 15; 276/2000 of November 16; 25/2002 of February 11; 75/2002 of April 8; and 113/2002 of May 9."</w:t>
      </w:r>
    </w:p>
    <w:p>
      <w:r>
        <w:t>It is of incontrovertible obviousness that this Sanctioning File has been instructed in a unit of normative act regarding the examination and classification of the conducts to be sanctioned, under the mantle and protection of a Law, which in this specific case is: Law 15/2007 of July 3, on the Defense of Competition.</w:t>
      </w:r>
    </w:p>
    <w:p>
      <w:r>
        <w:t>Thus, (/) the examined conducts have been assessed in light of what is provided in its Article 1 (typified conduct) in harmony, coordination, and obligation to typify under Article 63, previous and subsequent (qualification of the conduct, non-existent in this case and sanctioning regime); and (2) all this with the support of what is provided in Article 50.4 of the often-cited Law 15/2007 of July 3, on the Defense of Competition.</w:t>
      </w:r>
    </w:p>
    <w:p>
      <w:r>
        <w:t>Consequently, in light of the fundamental principles of legality and legal certainty, as well as the jurisprudential and constitutional doctrine that develops them, one must ask why this approved Resolution deviates from the principle of unity of legal normative action under which this Sanctioning File has been instructed and instead of fully and completely following the mandate of Law 15/2007 opts to resort to a Communication, violating the Legal System, which implies the unitary normative change?</w:t>
      </w:r>
    </w:p>
    <w:p>
      <w:r>
        <w:rPr>
          <w:b/>
        </w:rPr>
        <w:t>[Pages 49–51]</w:t>
      </w:r>
    </w:p>
    <w:p>
      <w:r>
        <w:t>European Union Treaty."</w:t>
      </w:r>
    </w:p>
    <w:p>
      <w:r>
        <w:t>And not only that, why throughout the entirety of Legal Basis Seventh (found on pages 32, 33, and 34) is there not a single argument, not even a legal one, but not even an arithmetic one, by which the Administered/sanctioned party (in this specific case, the General Society of Authors and Publishers) is able to comprehend the sanction, in order to exercise their constitutional right to appeal in the contentious-administrative jurisdiction?</w:t>
      </w:r>
    </w:p>
    <w:p>
      <w:r>
        <w:t>Why this lack of motivation? Why this legal insecurity? Why violate what is provided in Article 103 of the Spanish Constitution?</w:t>
      </w:r>
    </w:p>
    <w:p>
      <w:r>
        <w:t>Or</w:t>
      </w:r>
    </w:p>
    <w:p>
      <w:r>
        <w:t>In any case, and to further elaborate, this dissenting Counselor continues to reiterate, also and now, his previously expressed opinion in earlier Dissenting Opinions, in the sense that:</w:t>
      </w:r>
    </w:p>
    <w:p>
      <w:r>
        <w:t>1° the foundational formula on which the Communication is based is an ad hoc creation, lacking scientific rigor.</w:t>
      </w:r>
    </w:p>
    <w:p>
      <w:r>
        <w:t>2° and what is even more objectionable affects the sanctioning regime to be applied, by allowing in its Paragraph (14) actions contra legem by stating literally: "the basic amount will be obtained by applying to the sales volume affected by the infringement a percentage that STARTING FROM 10% MAY BE INCREASED considering the following criteria cumulatively. (a) if the infringement is classified as very serious, the PERCENTAGE MAY BE INCREASED BY UP TO TEN PERCENTAGE POINTS. (b) if the market or markets related to the infringement correspond to an input capable of causing cascading effects in different markets, the PERCENTAGE MAY BE INCREASED BY UP TO TEN PERCENTAGE POINTS. "THEREFORE, the basic amount will be between 10% and 30% of the sales volume affected by the infringement."</w:t>
      </w:r>
    </w:p>
    <w:p>
      <w:r>
        <w:t>CONCLUDING: In light of all the above, this dissenting Counselor understands that:</w:t>
      </w:r>
    </w:p>
    <w:p>
      <w:r>
        <w:t>1° this Resolution approved today by simple majority blatantly violates what is provided in Article 9 of the Spanish Constitution (fundamental principles of legality and legal certainty), which leads to a state of defenselessness for the party, all of which vitiates the resolution with nullity.</w:t>
      </w:r>
    </w:p>
    <w:p>
      <w:r>
        <w:t>2° furthermore, if the Resolution approved today by simple majority does not qualify the examined conduct and typifies it in the legally provided order (as very serious, serious, or minor conduct), such an occurrence necessarily and incontrovertibly leads to the impossibility of quantifying a sanction due to the lack of typicity.</w:t>
      </w:r>
    </w:p>
    <w:p>
      <w:r>
        <w:t>3° this Resolution approved today by simple majority violates the fundamental principles of legality and legal certainty, as it becomes unmotivated by disregarding what is provided in Articles 54 and 129 of Law 30/1992 and its contemporaneous Article 128 of Law 1/2000 of January 7, on Civil Procedure, which generates defenselessness for the sanctioned party, as by disregarding the argumentative thread that constitutes it, they cannot challenge it to distort it, in strict terms of defense.</w:t>
      </w:r>
    </w:p>
    <w:p>
      <w:r>
        <w:t>Consequently, it is appropriate (1) in any case, to declare the exemption of the GENERAL SOCIETY OF AUTHORS AND PUBLISHERS (SGAE) due to the lack of typicity of the conduct, which leads to the impossibility of being sanctioned; (2) alternatively and ad cautelam, the declaration of nullity of actions due to the violation of the fundamental principles of legality and legal certainty enshrined in Article 9 of the Spanish Constitution, in light of what is provided in Articles 24.1, 25.1, and 103 of the same Constitutional Text, as it generates defenselessness; (3) for non-application of the previously cited jurisprudential and constitutional doctrine, regarding the principle of normative hierarchy making the Law prevail over regulatory norms of lower rank than the Law and which in any case have not been previously predetermined or delimited by another with the rank of Law; and (4) in any case, for lack of motivation regarding the quantification of the sanction, which makes it impossible for the sanctioned party to understand the why and how of the sanction's argumentation, in order to be able to challenge it/distort it, if applicable.</w:t>
      </w:r>
    </w:p>
    <w:p>
      <w:r>
        <w:t>FIFTH.- VIOLATION OF FUNDAMENTAL RIGHTS</w:t>
      </w:r>
    </w:p>
    <w:p>
      <w:r>
        <w:t>The RESOLUTION PROPOSAL that the Promotion Directorate submits to this Competition Chamber of the National Commission on Markets and Competition, and which has been mimetically adopted by the simple majority of this Chamber and consequently reflected in this Resolution approved today, states: "FIRST.- That the existence of a single and continuous infringement of Article 2 of Law 15/2007 of July 3, on the Defense of Competition and Article 102 of the Treaty on the Functioning of the European Union, (1) regarding the application of inequitable and excessive rates in the licenses granted for the public communication of musical works protected by copyright in concerts held in Spain, whose abusive effect has been reinforced by its confluence with other restrictive practices within the framework of a common abusive strategy, consisting (2) in the imposition by the SGAE of the obligation to obtain the copyright license prior to the sale of tickets, (3) the demands for disproportionate bonds from concert promoters and (4) the obligation for ticketing operators to withhold and settle the amount owed to SGAE in order to qualify for the bond exemption."</w:t>
      </w:r>
    </w:p>
    <w:p>
      <w:r>
        <w:t>Or</w:t>
      </w:r>
    </w:p>
    <w:p>
      <w:r>
        <w:t>This dissenting Counselor, in his Resolution Proposal, which was defeated by the simple majority of this Competition Chamber (President and two Counselors) concluded in its Dispositive Part proposing "SOLE.- To declare the inadmissibility of initiating sanctioning proceedings and the filing of the actions taken against the GENERAL SOCIETY OF AUTHORS AND PUBLISHERS (SGAE) due to the non-existence of prohibited conduct in Article 2 of Law 15/2007 of July 3, on the Defense of Competition and Article 102 of the European Union Treaty."</w:t>
      </w:r>
    </w:p>
    <w:p>
      <w:r>
        <w:rPr>
          <w:b/>
        </w:rPr>
        <w:t>[Pages 52–54]</w:t>
      </w:r>
    </w:p>
    <w:p>
      <w:r>
        <w:t>the non-proceeding of the initiation of sanctioning proceedings and the filing of the actions taken against the SOCIEDAD GENERAL DE AUTORES Y EDITORES (SGAE) due to the non-existence of prohibited conduct in Article 2 of Law 15/2007 of July 3, on the Defense of Competition and Article 102 of the Treaty on the Functioning of the European Union (abuse of dominant position) described and instructed within the framework of this Sanctioning File S/0460/13 SGAE-CONCERTS".</w:t>
      </w:r>
    </w:p>
    <w:p>
      <w:r>
        <w:t>To elaborate on my argumentation in order to reach such a conclusion is the same as delving into discrediting what has resulted in a majority victory. And for this, I will proceed according to the order established in the previous paragraph, stating the following:</w:t>
      </w:r>
    </w:p>
    <w:p>
      <w:r>
        <w:t>1° SOCIEDAD GENERAL DE AUTORES Y EDITORES (SGAE) is a private entity with a national scope, whose main function (purposes) is the collective management of intellectual property rights. However, according to its Statutes, it is also entrusted with other purposes, such as the cultural promotion of the works of its members for the revaluation and dissemination of the social repertoire, the promotion of activities or services of an assistive nature for the benefit of its members, or the defense of the moral and corporate rights of its members.</w:t>
      </w:r>
    </w:p>
    <w:p>
      <w:r>
        <w:t>SGAE, in its current form, was established as a non-profit association on May 18, 1988, and authorized as a collective management entity by Order of the Ministry of Culture on June 1, in accordance with the provisions of Article 147 of the Consolidated Text of the Intellectual Property Law.</w:t>
      </w:r>
    </w:p>
    <w:p>
      <w:r>
        <w:t>As stated in the Statutes (Article 16), members must belong to at least one of the following ten professional groups: writers (literary works), composers (musical, dramatic-musical, choreographic, and audiovisual works), lyricists (of musical compositions), dramatic authors, choreographers, mimes; directors-producers (of audiovisual works), screenwriters (of audiovisual works), authors of non-musical works (created specifically for multimedia productions), and music publishers.</w:t>
      </w:r>
    </w:p>
    <w:p>
      <w:r>
        <w:t>SGAE, in compliance with its management duties (1) issues licenses to users of its repertoire; (2) collects the rights generated by its commercial exploitation; (3) and distributes them among the authors and music publishers; (4) deducting the costs derived from this management; and (5) dedicating part of the amounts collected to cultural promotion.</w:t>
      </w:r>
    </w:p>
    <w:p>
      <w:r>
        <w:t>SGAE has signed 270 reciprocal representation agreements with 149 foreign management associations. The relationship (legal business) that binds SGAE to its members is that of a mandate contract, power of attorney, and the contractual nature of representation subject to the Legal System (the Civil Code in harmony and accordance with the Commercial Code).</w:t>
      </w:r>
    </w:p>
    <w:p>
      <w:r>
        <w:t>In SPAIN, the only society authorized by the Ministry of Culture to manage the copyright of musical works is SGAE (Sociedad General de Autores y Editores).</w:t>
      </w:r>
    </w:p>
    <w:p>
      <w:r>
        <w:t>The legal framework affected by the behaviors investigated in this Sanctioning File "is that of the protection of copyright and, specifically, the management of the right of public communication of musical works in concerts held in Spain".</w:t>
      </w:r>
    </w:p>
    <w:p>
      <w:r>
        <w:t>"Copyright encompasses the set of norms and principles that the Law grants to authors regulating the moral and economic rights that authors have by the mere fact of creating a literary, artistic, or scientific work". Rights that are regulated and protected within the framework of Royal Legislative Decree 1/1996 of April 12, which approves the Consolidated Text of the Intellectual Property Law "regularizing, clarifying, and harmonizing the current legal provisions on the matter".</w:t>
      </w:r>
    </w:p>
    <w:p>
      <w:r>
        <w:t>2° Musical promoters.- The relevant product market affects the authorizations and corresponding remuneration derived from the right of public communication of musical works in concerts held in Spain. In this market, the claimants are the musical promoters who organize the concert and who need a LICENSE that allows them to publicly perform the music (songs) whose copyright is protected.</w:t>
      </w:r>
    </w:p>
    <w:p>
      <w:r>
        <w:t>On the demand side, there is no substitutability since licenses are granted only for one mode of exploitation and a specific mode of public communication (concerts, dances, broadcasting, etc.), and cannot be used for other purposes.</w:t>
      </w:r>
    </w:p>
    <w:p>
      <w:r>
        <w:t>On the supply side, substitutability is very limited because Management Entities must obtain "prior authorization from the Ministry of Culture to initiate this activity and must obtain from a significant number of authors the assignment of their rights".</w:t>
      </w:r>
    </w:p>
    <w:p>
      <w:r>
        <w:t>Therefore, Collective Management Societies operate in a two-sided market. On one hand, they offer management services to authors who entrust them with their exploitation and remuneration rights; and on the other, they act as suppliers in granting licenses to users to exploit the works in their repertoire. The degree of concentration of each of these activities determines the degree of concentration in the other.</w:t>
      </w:r>
    </w:p>
    <w:p>
      <w:r>
        <w:t>3° Rates. The difference in rates applied supports the consideration of different product markets, among the different modes of exploitation of musical works and among the different forms of public communication of the same.</w:t>
      </w:r>
    </w:p>
    <w:p>
      <w:r>
        <w:t>Thus, this Resolution approved today, by simple majority, can only recognize (pages 23 and following) that "fourteen member states apply lower rates (...) and that four/five are higher (...) than the percentages applied by those fourteen members are not uniform, nor harmonious, but fluctuate within a range with an abundance of nuances (according to their own wording).</w:t>
      </w:r>
    </w:p>
    <w:p>
      <w:r>
        <w:t>But this Resolution also states (page 22) in Paragraph 5.2 The SGAE rate system in the market for the management of copyright for the public performance of musical works in concerts "The TRLPI grants management entities a wide margin of action regarding the setting of their rates".</w:t>
      </w:r>
    </w:p>
    <w:p>
      <w:r>
        <w:t>Consequently, based on these two pieces of evidence (dominant position and legal protection), it cannot be concluded by sanctioning, under penalty of violating the principles of legality and legal certainty.</w:t>
      </w:r>
    </w:p>
    <w:p>
      <w:r>
        <w:rPr>
          <w:b/>
        </w:rPr>
        <w:t>[Pages 55–57]</w:t>
      </w:r>
    </w:p>
    <w:p>
      <w:r>
        <w:t>the applicable tariffs for the public communication of protected musical works in concerts held in Spain.</w:t>
      </w:r>
    </w:p>
    <w:p>
      <w:r>
        <w:t>2. The complaint does not specify the temporal number in which, according to it, SGAE has applied tariffs that it calls inequitable and excessive (not ABUSIVE), which would break the qualification of unique and continuous conduct and the abuse of the legal dominant position granted by law.</w:t>
      </w:r>
    </w:p>
    <w:p>
      <w:r>
        <w:t>3. Starting from the unequivocal fact that the complaint is made due to perceived harm, at no point in the instructed file does the documentary evidence appear that substantiates this alleged patrimonial harm.</w:t>
      </w:r>
    </w:p>
    <w:p>
      <w:r>
        <w:t>4. The Resolution, therefore, delves into the realm of possibility, as opposed to that of real and proven facts.</w:t>
      </w:r>
    </w:p>
    <w:p>
      <w:r>
        <w:t>5. Finally, this dissenting Counselor is also obliged to point out a statement from the Resolution found on page 23, first paragraph, which is made from a condemnatory perspective and literally states:</w:t>
      </w:r>
    </w:p>
    <w:p>
      <w:r>
        <w:t>"Likewise, both in the general tariff of SGAE and in the current licensing models, it is established that if the concert organizer USES tickets without a watermark or without specific control of attendees, the corresponding TARIFF will be applied based on the result of multiplying the highest ticket price for the event by the capacity where it takes place."</w:t>
      </w:r>
    </w:p>
    <w:p>
      <w:r>
        <w:t>If this is the evidence of the charges against SGAE for applying what it calls inequitable tariffs, it would be tantamount to (1) endorsing the unjust enrichment of promoters; (2) legal fraud; (3) contractual breach; (4) tax fraud, etc., etc.</w:t>
      </w:r>
    </w:p>
    <w:p>
      <w:r>
        <w:t>Close to general knowledge are the unfortunate events that occurred months ago, which are sub iudice and paralyzed public opinion.</w:t>
      </w:r>
    </w:p>
    <w:p>
      <w:r>
        <w:t>6. Bonds regarding the retention and settlement of copyright fees.- Given the cunning of the sector, it does not seem unfortunate, nor absurd, and in any case, it is not contrary to the law that the Entity, which under the rights granted by law as the sole operator in Spain for managing copyright, on behalf of these and for these, contractually requests and agrees with the promoters a series of contractual guarantees, which are developed meticulously and in detail in the Civil Code, in order to make effective what has been agreed and not be subject to a subsequent judicial approach before the various jurisdictions to obtain compliance with what has been agreed.</w:t>
      </w:r>
    </w:p>
    <w:p>
      <w:r>
        <w:t>This is posed as a marginal issue when also marginally addressing what the Proposal for Resolution, which mimetically assumes this Resolution approved by simple majority (President and two Counselors), refers to without any proof as "common abusive strategy," in express reference to ticketing operators as collectors of the money paid by attendees to concerts (as intermediaries) and under the legal mantle of intermediation contracts.</w:t>
      </w:r>
    </w:p>
    <w:p>
      <w:r>
        <w:t>And this, to further emphasize, when in the very Resolution from which I dissent, on page 27 it literally states:</w:t>
      </w:r>
    </w:p>
    <w:p>
      <w:r>
        <w:t>"However (...) given that, by virtue of the provisions established in the reciprocal representation agreements, SGAE applies to the foreign authors it represents the same tariffs that it applies to its own members and transfers to the foreign society the income in terms of copyright generated by the licenses it has granted (after deducting management and assistance expenses).</w:t>
      </w:r>
    </w:p>
    <w:p>
      <w:r>
        <w:t>That is to say, SGAE acts in the world of this economic sector as an intermediary-agent for third parties, to whom it is obliged to account and pay what it has received, under penalty of being accused of disloyal administration or litigation seller, reserving the right to be reimbursed, in due course, for the income of such amounts, not its own, but to be transferred to their legitimate owners: the foreign authors it represents, via third parties.</w:t>
      </w:r>
    </w:p>
    <w:p>
      <w:r>
        <w:t>Such an occurrence can once again be qualified as "an act of irrationality, persecutory in the sanctioning order."</w:t>
      </w:r>
    </w:p>
    <w:p>
      <w:r>
        <w:t>7. Finally, to recall that this COMPETITION CHAMBER of the National Commission on Markets and Competition, on June 27 of this year 2014, issued a PROVIDENCE in which it agreed to consider a document presented by the General Society of Authors and Publishers (SGAE), requiring it to submit a sworn translation of the same within ten days "as provided by procedural laws."</w:t>
      </w:r>
    </w:p>
    <w:p>
      <w:r>
        <w:t>The document, which is part of the Sanctioning File, establishes in what is relevant:</w:t>
      </w:r>
    </w:p>
    <w:p>
      <w:r>
        <w:t>• "Annex to the letter in accordance with Article 6 of Regulation No. 2842/98 of the Commission, from the Directorate-General for Competition of the European Commission. Subject No. 38071 VIASAT against STIM and PRS.</w:t>
      </w:r>
    </w:p>
    <w:p>
      <w:r>
        <w:t>II.- THE COMPLAINT.</w:t>
      </w:r>
    </w:p>
    <w:p>
      <w:r>
        <w:t>A.- Alleged anticompetitive practices.- In VIASAT's opinion, PRS and STIM act in concert to subject TV3 to the tariffs in force in Sweden, thus infringing Articles 81 and 82. The premise of this reasoning is that, even for viewers located in Swedish territory, VIASAT must be empowered to demand the application of the applicable tariff in the United Kingdom, which is the country of signal injection. According to VIASAT, the application of the applicable tariffs in Sweden constitutes a distortion of competition to its detriment. The divergence between the parties clearly centers on the footprint of the TV3 satellite in Sweden.</w:t>
      </w:r>
    </w:p>
    <w:p>
      <w:r>
        <w:t>All factual elements described in the complaint (with the exception of those related to the past and pending judicial process in Sweden) are presented by the complainant as evidence of the concerted practice between the two Management Societies.</w:t>
      </w:r>
    </w:p>
    <w:p>
      <w:r>
        <w:t>III.- ASSESSMENT</w:t>
      </w:r>
    </w:p>
    <w:p>
      <w:r>
        <w:t>1. The object of the complaint is the licensing of copyright to users (this activity must be differentiated from the provision of copyright management services to rights holders) and, more particularly, the determination of</w:t>
      </w:r>
    </w:p>
    <w:p>
      <w:r>
        <w:rPr>
          <w:b/>
        </w:rPr>
        <w:t>[Pages 58–60]</w:t>
      </w:r>
    </w:p>
    <w:p>
      <w:r>
        <w:t>rate within the framework of the licensing of public communication rights of musical works to a broadcasting entity.</w:t>
      </w:r>
    </w:p>
    <w:p>
      <w:r>
        <w:t>2. Although the complaint asserts that the imposition of applicable rates on VIASAT in Sweden is the result of a concerted practice between PRS and STIM infringing Article 81 of the Treaty on the Functioning of the European Union, sufficient objective evidence of an underlying agreement or concerted practice between both management entities, which has the object or effect of restricting competition, has not been provided. Furthermore, the complaint does not contain any specific or precise indication of what the rate actually applied by PRS would be, nor has its economic value or the basis for its calculation been determined. This is likely due to the current state of relations between the complainant and PRS, to the extent that PRS will not propose any final solution until the pending judicial procedure before the Swedish Court has concluded. The only tangible fact that can be identified is that the rate in question would be what is applicable in the territory where the viewers are located, specifically in Sweden. This situation alone is neither unusual nor arbitrary, considering that it has also been confirmed by an independent body in the United Kingdom (the Copyright Tribunal).</w:t>
      </w:r>
    </w:p>
    <w:p>
      <w:r>
        <w:t>From the above, it follows that, taking into account the absence of sufficient objective evidence regarding the existence of an anti-competitive agreement or concerted practice between PRS and STIM or any other entity and considering the absolute uncertainty regarding the amount and structure of the applicable rates, the Commission is not in a position to proceed with a serious assessment based on Article 81.</w:t>
      </w:r>
    </w:p>
    <w:p>
      <w:r>
        <w:t>3. Regarding Article 82 of the Treaty on the Functioning of the European Union, it should be emphasized that the Court of Justice determined that "considerably higher" rates applied by management entities that are in a dominant position could, in certain cases, constitute unfair trading conditions, restricting competition (Judgment of the Court of 13 July 1989, Ministère Public v. Jean-Louis Tournier). Even from this perspective, the basic factual and legal elements have not been provided as a necessary and preliminary condition for an assessment based on Article 81 and Article 82. The only established fact is the intention to apply to TV3 a rate based on a rate applied in the territory where the viewers are located, Sweden, as opposed to the rates applicable in the country of signal injection, the United Kingdom. The parties themselves acknowledge that this rate is still to be determined. Such an intention does not seem, by itself, to be a restriction of competition, but rather a choice among different objective criteria that can be used for determining the applicable rates. Given the absence of legislative indications on this point, neither the relevant case law of the Court of Justice, nor that of the General Court, nor any other solid consideration seems to indicate a different response. Currently, based on the factual evidence provided by the complainants, the state of uncertainty regarding the amount of the rates that would be applicable to the broadcast of TV3 does not even allow the Commission to assess whether the pricing conditions applied by PRS are considerably higher or more burdensome than any other conditions applicable by other market agents based on different criteria.</w:t>
      </w:r>
    </w:p>
    <w:p>
      <w:r>
        <w:t>IV. CONCLUSION. Taking the above into account, the Commission's opinion is that no competition infringement is currently deduced based on the evidence provided by the complainant.</w:t>
      </w:r>
    </w:p>
    <w:p>
      <w:r>
        <w:t>SIXTH.- CONCLUSION.-</w:t>
        <w:br/>
        <w:t>In light of all the above, this dissenting Counselor concludes this Dissenting Opinion by establishing:</w:t>
        <w:br/>
        <w:t>1° regarding the initial Report and its Proposal for Resolution, it should maintain what is provided in its Dispositive Part "SOLE.- Declare the inadmissibility of initiating sanctioning proceedings and the filing of the actions taken against the SOCIEDAD GENERAL DE AUTORES Y EDITORES (SGAE) due to the non-existence of prohibited conduct under Article 2 of Law 15/2007 of 3 July, on the Defense of Competition and Article 102 of the Treaty on the Functioning of the European Union (abuse of dominant position) described and instructed within the framework of this Sanctioning File S/0460/13 SGAE-CONCIERTOS.</w:t>
        <w:br/>
        <w:t>2° and regarding this Resolution approved today, by simple majority, it is appropriate "given the non-existence of specification of the GRAVITY of the conduct, in any of its degrees (very serious conduct or serious conduct or minor conduct) ex mandato of Article 62.4.b) of Law 15/2007 of 3 July, on the Defense of Competition, under whose protection this Resolution has been instructed and resolved" the exemption from sanction/fine. And this is based on the simple arithmetic argument that "if O is the order of gravity (since it has not been specified) any percentage to be applied on O (according to the segments, from 0.001% to 1%; from 1.001% to 5%; or from 5.001% to 10%) becomes O". And this, without prejudice and alternatively and ad cautelam to the consideration of all the other arguments that make up this Dissenting Opinion. Thus, by this MY DISSENTING OPINION I pronounce, command, and sign in Madrid, on the date above.</w:t>
      </w:r>
    </w:p>
    <w:p>
      <w:r>
        <w:t>DISSENTING OPINION formulated by Counselor Mr. Benigno Valdés Díaz to the present Resolution, approved in the Plenary Session of the COMPETITION CHAMBER of the CNMC on 6 November 2014, within the framework of File S/0460/13 SGAE-CONCIERTOS. My dissent is expressed as follows:</w:t>
      </w:r>
    </w:p>
    <w:p>
      <w:r>
        <w:t>PREAMBLE.</w:t>
        <w:br/>
        <w:t>For the determination of the sanction, the Resolution applies the Communication on Sanctions approved by the Council of the defunct CNC on 6 February 2009. For the reasons set forth in this PREAMBLE, I consider that this method of determining sanctions is inappropriate as it does not conform to what is established in Law 15/2007, of 3 July, on the Defense of Competition.</w:t>
      </w:r>
    </w:p>
    <w:p>
      <w:r>
        <w:t>ON THE SANCTIONING REGIME PROVIDED IN THE CURRENT LEGISLATION ON THE DEFENSE OF COMPETITION</w:t>
        <w:br/>
        <w:t>(I) “Sales volume” vs. “total turnover” of the infringing company</w:t>
        <w:br/>
        <w:t>Article 10 of Law 16/1989, of 17 July, on the Defense of Competition, states:</w:t>
        <w:br/>
        <w:t>"[...] fines of up to 150,000,000 pesetas, an amount that may be increased up to 10% of the sales volume corresponding to the immediate previous economic year to the resolution of the Court." And Article 63.1 (a), (b) and (c) of Law 15/2007, of 3 July, on the Defense of Competition, states: "The competent bodies may impose [...] the following sanctions: Minor infringements [...] with a fine of up to 1% [...], serious infringements with a fine of up to 5% [...], [and] very serious infringements with a fine of up to 10% of the total turnover of the infringing company in the immediately preceding year to the imposition of the fine."</w:t>
      </w:r>
    </w:p>
    <w:p>
      <w:r>
        <w:t>What difference exists between “sales volume” and “total turnover” of a company? In my opinion, from a linguistic point of view, none: the sales volume of a company is its turnover and the term “total” adds nothing to that concept, it merely serves to clarify it.</w:t>
      </w:r>
    </w:p>
    <w:p>
      <w:r>
        <w:rPr>
          <w:b/>
        </w:rPr>
        <w:t>[Pages 61–63]</w:t>
      </w:r>
    </w:p>
    <w:p>
      <w:r>
        <w:t>name a pleonasm (“I have seen it.” “I have seen it with my own eyes”).</w:t>
      </w:r>
    </w:p>
    <w:p>
      <w:r>
        <w:t>Now, the matter is of enormous importance in the application of the sanctioning regime provided for in Law 15/2007: What should we understand by the total turnover of the infringing company, the billing of the company in all the markets in which it operates or only in the market in which it commits the infringement?</w:t>
      </w:r>
    </w:p>
    <w:p>
      <w:r>
        <w:t>There are those who believe that the incorporation of the term “total” in Law 15/2007 makes it much more precise than its predecessor, Law 16/1989, which does not incorporate that term. The argument is that the word “total” implies that the concept of “sales volume” or “turnover” refers to the entirety of the income obtained by the company, regardless of the number of goods it produces and the markets affected by the infringement. That the same question could have been raised in relation to Law 16/1989 (See STS, Administrative Chamber, of November 11, 2009, in appeal number 1246/2006), which does not incorporate that term, demonstrates that the real problem (should an infringing company be sanctioned based on the income obtained in the market in which it has committed the infringement, or based on the income obtained in all the markets in which it operates, including those in which it has not committed any infringement?) does not have a semantic solution. We must address the issue with instruments other than merely linguistic; and, as we will see, those instruments exist.</w:t>
      </w:r>
    </w:p>
    <w:p>
      <w:r>
        <w:t>My starting point is, first, Article 3 of the Civil Code, which establishes: “1. The norms shall be interpreted […] fundamentally taking into account [their] spirit and purpose”; and second, the Preamble of Law 15/2007, of July 3, on the Defense of Competition, which summarizes “the spirit and purpose” of the Law itself: to provide a well-articulated system that, “without unnecessarily intervening in the free decision-making of businesses, [allows us] to have the appropriate instruments to guarantee the proper functioning of the market.”</w:t>
      </w:r>
    </w:p>
    <w:p>
      <w:r>
        <w:t>In order to apply those principles to the present case, let us classify companies into two groups: those that produce a good and operate in a single market, and those that produce several goods and operate in several different markets. (Other classifications are possible; for example, companies that produce a single good and only operate in regional market X vs. companies that produce that good but operate throughout the national territory, etc. As the analysis is analogous in all cases, we will stick to the proposed one).</w:t>
      </w:r>
    </w:p>
    <w:p>
      <w:r>
        <w:t>Well then, let us consider a company that produces three goods: B1, B2, and B3 and operates in the corresponding markets: MB1, MB2, and MB3. Let us imagine that it commits an infringement that disrupts the proper functioning of market MB1, but without affecting markets MB2 and MB3, in which the company behaves exemplary. To determine the sanction, should we use the “turnover” in market MB1 (whose “proper functioning” the company has distorted), or the “turnover” in all the markets in which it operates, including MB2 and MB3, whose “proper functioning” it has not distorted at all?</w:t>
      </w:r>
    </w:p>
    <w:p>
      <w:r>
        <w:t>If the answer is “all” the turnover, then the Law becomes absurd. Indeed: as we have pointed out, its purpose is to provide a well-articulated system that, “without unnecessarily intervening in the free decision-making of businesses, [allows us] to have the appropriate instruments to guarantee the proper functioning of the market.” On that basis, what logic is there in sanctioning the company for not distorting the proper functioning of markets MB2 and MB3? On the other hand, if this is done, the Law is discriminatory against multi-product companies in relation to single-product companies; and it is of little use to argue that the multi-product company can avoid this discrimination by organizing itself into as many single-product companies as goods and services it produces, because in that case the Law is pushing the company to organize itself in a sub-optimal manner (otherwise it would not have chosen the multi-product form in the first place). In other words, the Law “defeats itself” because, even without intending to, it is intervening “unnecessarily in the free decision-making of businesses.”</w:t>
      </w:r>
    </w:p>
    <w:p>
      <w:r>
        <w:t>In summary, if, as Article 3 of the Civil Code states, norms must be interpreted “fundamentally taking into account [their] spirit and purpose,” then by “total turnover of the infringing company” it must be understood, exclusively, “the income obtained by the company in the market affected by the infringement.”</w:t>
      </w:r>
    </w:p>
    <w:p>
      <w:r>
        <w:t>(II) Process for determining sanctions</w:t>
      </w:r>
    </w:p>
    <w:p>
      <w:r>
        <w:t>Law 15/2007, on the Defense of Competition, establishes the mathematical intervals in which sanctions must be situated in terms of the % of the turnover of the infringing company in the market [affected by the infringement] in the fiscal year immediately prior to the imposition of the fine, and taking into account the elements considered in its Article 64.</w:t>
      </w:r>
    </w:p>
    <w:p>
      <w:r>
        <w:t>Indeed, said Law, and its interpretation by the National Court (see SAN 4598/2012, Appeal 188/2012, of December 23, 2013), establish that, based on Articles 62, 63, and 64, the sanctioning body determines a specific percentage within the interval (0%, 1%) when the infringement is minor, (0%, 5%) when it is serious, and (0%, 10%) when it is very serious, a percentage that when applied to the “turnover of the infringing company [in the affected market] in the fiscal year immediately prior to the imposition of the fine,” results in the amount of the fine.</w:t>
      </w:r>
    </w:p>
    <w:p>
      <w:r>
        <w:t>In other words, the Law operates in the sense of “% of turnover in the fiscal year…→amount of the fine.”</w:t>
      </w:r>
    </w:p>
    <w:p>
      <w:r>
        <w:t>It is not provided in it that the sanctioning body endows itself with a method for determining the fine that operates in the opposite direction, that is, to first determine the amount of the fine and then, as a residue, the percentage that it represents over the “turnover of the infringing company in the fiscal year immediately prior to the imposition of the sanction”: “amount of the fine→ % of turnover in the fiscal year…”</w:t>
      </w:r>
    </w:p>
    <w:p>
      <w:r>
        <w:t>Setting aside whether this way of proceeding is in accordance with the Law or not, the truth is that, when it operates in this way, the sanctioning body exposes itself to facing certain “anomalies”; for example, that the percentage thus obtained is higher than the 1%, 5%, or 10% that the Law establishes as a ceiling for, respectively, minor, serious, and very serious infringements.</w:t>
      </w:r>
    </w:p>
    <w:p>
      <w:r>
        <w:t>An example of the above is the method for determining fines present in the Communication on Sanctions approved by the Council of the now-defunct CNC dated February 6, 2009, and to which I will proceed to analyze next.</w:t>
      </w:r>
    </w:p>
    <w:p>
      <w:r>
        <w:t>(III) “Communication” of the now-defunct CNC on the quantification of sanctions.</w:t>
      </w:r>
    </w:p>
    <w:p>
      <w:r>
        <w:t>(1) The method used by the now-defunct CNC consists of obtaining what the Communication calls the “basic amount” of the sanction, in the following manner:</w:t>
      </w:r>
    </w:p>
    <w:p>
      <w:r>
        <w:t>𝑇</w:t>
        <w:br/>
        <w:t>𝐼𝐼 = 𝑝�𝛼𝑖𝑉𝑉𝑉𝑖, [1]</w:t>
        <w:br/>
        <w:t>𝑖=1</w:t>
      </w:r>
    </w:p>
    <w:p>
      <w:r>
        <w:t>where , depending on the severity of the infringement and whether the good or service in question is an input likely to produce cascading effects in the production of other goods or services; i=1, the last year in which we know that the infringement was committed, so that i=2 is the penultimate, i=3 the antepenultimate,..., i=T the first; is the value of the sales of the infringing company in the affected market in year i; and is a weighting factor that takes the value 1 when i=1, 0.75 when i=2, 0.50 when i=3, 0.25 when i=4, etc.; that is: it represents the weighted value of the sales of the infringing company in the affected market in the last year in which it committed the infringement, 75% of the weighted value of the sales in the penultimate year of the infringement, etc.</w:t>
      </w:r>
    </w:p>
    <w:p>
      <w:r>
        <w:rPr>
          <w:b/>
        </w:rPr>
        <w:t>[Pages 64–66]</w:t>
      </w:r>
    </w:p>
    <w:p>
      <w:r>
        <w:t>Once IB is obtained, the effective sanction, S, is obtained by multiplying IB by a correction factor, C, which takes values C &gt; 1 when the sum of the aggravating factors is greater than that of the mitigating factors, C &lt; 1 when the opposite occurs, and C = 1 when both sum equally or simply do not exist. That is to say,</w:t>
      </w:r>
    </w:p>
    <w:p>
      <w:r>
        <w:t>If S is within the intervals established by law, S becomes the effective sanction; but if it is greater than the maximum contemplated in the Law, then that maximum will be applied.</w:t>
      </w:r>
    </w:p>
    <w:p>
      <w:r>
        <w:t>(2) Given that by "total turnover of the infringing company" we have resolved that it should be understood exclusively as the income obtained in the market affected by the infringement, we start from that principle. We can distinguish two cases: (a) the last year in which the company committed the infringement is the year prior to the year in which the sanction is imposed; and (b) it is several years prior. In the first case:</w:t>
      </w:r>
    </w:p>
    <w:p>
      <w:r>
        <w:t>Thus, the sanction is:</w:t>
      </w:r>
    </w:p>
    <w:p>
      <w:r>
        <w:t>In consequence:</w:t>
      </w:r>
    </w:p>
    <w:p>
      <w:r>
        <w:t>(a.1) If there are no aggravating or mitigating factors, or if both weigh equally, then C = 1 and it is much greater than the maximum sanction contemplated in Law 15/2007 for very serious infringements, 10% of , because</w:t>
      </w:r>
    </w:p>
    <w:p>
      <w:r>
        <w:t>With even more reason, it exceeds the ceiling for serious and minor infringements, 5% of and 1% of , respectively.</w:t>
      </w:r>
    </w:p>
    <w:p>
      <w:r>
        <w:t>(a.2) If the aggravating factors sum more than the mitigating factors, C &gt; 1 and we are in the same situation, albeit more exaggerated: 0.1.</w:t>
      </w:r>
    </w:p>
    <w:p>
      <w:r>
        <w:t>(a.3) If the aggravating factors sum less than the mitigating factors, C &lt; 1 and, although it is not imaginable for C &lt; 1 to be sufficiently small to make &lt; 0.1 (and not to mention to make it less than 0.05 or 0.01).</w:t>
      </w:r>
    </w:p>
    <w:p>
      <w:r>
        <w:t>That is to say, when the last year in which the company committed the infringement is the year prior to the one in which the sanction is imposed, the system generates, by construction, fines that are always the maximum contemplated in the law. In other words: For minor infringements, always 1%; for serious ones, always 5%; and for very serious ones, always 10%. Thus, the intervals contemplated by the legislator (minor infringements, up to 1%; serious ones, up to 5%; and very serious ones, up to 10%) become irrelevant (whatever the intention with which they were foreseen by the legislator).</w:t>
      </w:r>
    </w:p>
    <w:p>
      <w:r>
        <w:t>Now let us consider situation (b), that is, when the last year in which we know that the infringement occurred is not the year prior to year t in which the sanction is imposed, but one year prior to it. First, that "last year in which the infringement occurred" must be much earlier than year t in which the sanction is imposed; otherwise, we would find ourselves in the same situation as in (a). This is because a company's sales rarely experience large changes between two consecutive years; in practice, it is almost always close to and this, in turn, to , etc. Therefore, unless the last year in which the infringement took place is very far from the year t in which the fine is imposed, the situation regarding IB, and therefore S, will be the same as in (a).</w:t>
      </w:r>
    </w:p>
    <w:p>
      <w:r>
        <w:t>But if the last year in which the infringement took place is very far from the year t in which the fine is imposed, we may find that the Commercial Code, Article 30.1, provides the infringing company with an escape route: “[...] the turnover corresponding to the financial years [...], [...] and [...] cannot be provided by the company, since, in accordance with what Article 30.1 of the Commercial Code allows, the documentation and justifications concerning its business and relating to those financial years are not retained,” which forces the sanctioning body to "invent" the turnover for each of those years.</w:t>
      </w:r>
    </w:p>
    <w:p>
      <w:r>
        <w:t>The Communication proposes to do it as follows: “When for any or some of the years of the duration of the infringement it is not possible to calculate the turnover affected by the infringement, the turnover affected by the infringement of the last year in which it is known that the infringement occurred will be attributed to such years [...]. In those cases where it is not even possible to calculate the turnover affected by the infringement during the last year of it, the turnover of the annual accounts approved in the last fiscal year will be taken instead.” With this, the probability of generating the same situation as in (a) increases.</w:t>
      </w:r>
    </w:p>
    <w:p>
      <w:r>
        <w:t>(IV) Consequences of applying the "COMMUNICATION"</w:t>
      </w:r>
    </w:p>
    <w:p>
      <w:r>
        <w:t>The immediate consequence of applying the method of determining fines contemplated in the Communication is that they tend to be much higher than those that, strictly applied, Law 15/2007 produces. This occurs because, as already indicated, this "method" presents, by construction, a mathematical bias that makes disappear from Article 63.1 the qualification "up to," being replaced by "always": For minor infringements, always 1%; for serious ones, always 5%; and for very serious ones, always 10%.</w:t>
      </w:r>
    </w:p>
    <w:p>
      <w:r>
        <w:t>There is only one way to avoid that bias, and even then only in the case of multi-product and/or multi-market companies, and not always. It consists of interpreting the concept "total turnover of the infringing company in the financial year immediately prior to the imposition of the fine" as the consolidated income of the company. In that case, it may sometimes result in &lt; 0.1 (but it is more difficult for it to result in &lt; 0.05 or &lt; 0.01). However, as we have pointed out (See Section [I] above), that interpretation of the concept "total turnover [...]" is unacceptable.</w:t>
      </w:r>
    </w:p>
    <w:p>
      <w:r>
        <w:t>The second consequence, probably derived from the above, is that the AN is not in favor of such a "method" and, as a result, systematically annuls at that point (the determination of the amount of the fines) as many Resolutions of the Council of the defunct CNC that pass through its jurisdiction as a consequence of the contentious-administrative appeals filed by the sanctioned companies.</w:t>
      </w:r>
    </w:p>
    <w:p>
      <w:r>
        <w:t>It also happens that, as &gt; 0.1, the sanctioning body is forced to consider that the true picture of sanctions is not Article 63.1, but that which results from the algorithm; so that the intervals (0%, 1%), (0%, 5%) and (0%, 10%) of Article 63.1 (with their respective high, medium, and minimum degrees, as required by Spanish law) are not true sanctioning intervals, but mere indicators of the maximum fine that can be imposed when they exceed it. In other words, the 1%, 5%, and 10% of Article 63.1 are not the upper limit of each sanctioning interval but mere "leveling thresholds" of the sanctions obtained with the algorithm; and thus, the sanctioning framework of Law 15/2007 is hijacked by the sanction calculation method of the Communication and replaced by the result of it, which is completely different – something that the CNMC is not authorized to do. The National Court has repeatedly rejected that hijacking of the sanctioning framework of Law 15/2007.</w:t>
      </w:r>
    </w:p>
    <w:p>
      <w:r>
        <w:t>Based on all of the above, I will substantiate some of my disagreements with the "Resolution."</w:t>
      </w:r>
    </w:p>
    <w:p>
      <w:r>
        <w:rPr>
          <w:b/>
        </w:rPr>
        <w:t>[Pages 67–69]</w:t>
      </w:r>
    </w:p>
    <w:p>
      <w:r>
        <w:t>PRIMERO.- The Resolution states (pages 32-33): “The Communication on the quantification of sanctions […] aims to establish guidelines that, in general, guide the actions of the Competition Authority […] [that] have been used by the Council [sic] to determine the sanction in this Resolution.” In light of the above, it is clear that this Counselor believes that this is inappropriate. However, regardless of that, I note that if the Communication is chosen to be applied, it must at least be done strictly; and in my opinion, the present Resolution does not do so. Indeed, the Resolution states (p. 34):</w:t>
        <w:br/>
        <w:t>“[…] the weighted sum of the business volumes in the market affected by the conduct during the years 2002 to 2013 [referring to expression 1 of the Preamble] amounts to €62,063,928. Based on this, […] the Competition Chamber has deemed it proportional to the ∑𝑖=1𝛼𝑖𝑉𝑉𝑉𝑖, intensity and severity of the conduct to apply in this case a percentage of 5% for the determination of the basic amount of the fine […]”</w:t>
        <w:br/>
        <w:t>Well, there is no loophole in the Communication that allows for such a thing. None. The parameter of expression [1] in Section III of the Preamble has a lower limit of 10%, with no possibility of any reduction within the framework of the Communication itself. Point (14) of the Communication establishes this without any possible interpretative doubt: the parameter, “starting from 10%, may be increased [up to 30%] considering the following criteria […]”. And to top it off: “Therefore, […] it will be between 10 and 30%.”</w:t>
        <w:br/>
        <w:t>Section I-(4) of the Communication allows for it not to be applied when the sanctioning body understands that it finds no way to do so, in which case it permits that it be replaced, exceptionally, by some other mechanism for determining the sanction. However, if what is intended is to use that Section to apply it but changing its parameters at the discretion of the sanctioning body, then what remains of Section I-(3) of the Communication itself?</w:t>
        <w:br/>
        <w:t>To put it more explicitly: If the sanctioning body can lower the parameter to any level it pleases, then it can also change the parameters – in fact, from a mathematical point of view, it is exactly the same to reduce the 𝑝 as it is to reduce the 𝛼𝑖, etc. But in that case, it is the sanctioning body itself that delves even further than the Communication already does into the forbidden territory of “formulations so open due to their breadth, vagueness, or indefiniteness” that the sanction “depends on a practically free and arbitrary decision of the interpreter and judge” (STC 34/1996, of March 11, FJ 5).</w:t>
      </w:r>
    </w:p>
    <w:p>
      <w:r>
        <w:t>SEGUNDO.- As noted above, the Communication leads to the replacement of the sanctioning framework of Law 15/2007 by that which it itself provides through the algorithm described in the Preamble. This occurs because, as also noted, that algorithm has – by construction – a structural bias to generate sanctions much higher than 10% of the sales made by the infringing company in the affected market in the year immediately preceding the imposition of the fine; and contrary to what the Resolution claims, the case at hand is an example of this.</w:t>
        <w:br/>
        <w:t>Indeed, the Resolution concludes by imposing a fine of €3,103,196, which the majority in this COMPETITION CHAMBER deems appropriate because, in its interpretation of Art. 63-1-c of Law 15/2007, the accused could be fined up to a ceiling of €25,977,172. But that conclusion is due to (1) the Communication not being correctly applied (see Section FIRST) and (2) the revenue volume used is not appropriate. Regarding (1), the Communication does not produce a sanction of €3,103,196, but rather €6,206,392.82. Concerning (2), I have argued in Section I of the Preamble that the “total business volume of the company in the year immediately preceding the imposition of the fine” referred to in Law 15/2007 is not the consolidated income of the company, but exclusively that obtained in the market affected by the infringement. When these two elements are taken into account, the sanction generated by the algorithm of the Communication represents 35% of the total business volume of the company in the affected market by the infringement, well above the ceiling of 10%. Even the fine actually imposed exceeds that limit as it reaches 17%.</w:t>
        <w:br/>
        <w:t>TERCERO.- If the previous argumentative development questions the Communication – and therefore the procedure followed in the Resolution – as an appropriate mathematical construction for determining the amount of the fines provided for in Articles 63 and 64 of Law 15/2007, of July 3, on the Defense of Competition, the substantive issue lies in the violation of the principle of legality and, consequently, of legal certainty, which leads to the violation of effective judicial protection, ex Articles 9 and 24 of the Spanish Constitution.</w:t>
        <w:br/>
        <w:t>The Communication clashes with the principle of legality by attempting to give greater applicative weight to a provision with a normative rank inferior to a Law than to specific legal provisions that do have that rank: Article 10 of Law 16/1989, of July 17, on the Defense of Competition, and Articles 62 and following and concordant of Law 15/2007, of July 3, on the Defense of Competition, provisions that have had constitutional and jurisprudential doctrinal development. As a simple mention, we can cite, among others, STC 100/2003, of June 2, which regarding the reservation of Law in the determination of administrative sanctions establishes the following:</w:t>
        <w:br/>
        <w:t>“This opens up the possibility for laws to refer to regulatory norms in this area, with the unbreachable limit, in any case, that such referral does not facilitate ‘an independent regulation and not clearly subordinate to the Law’ (SSTC 42/1987, of April 7, FJ 2; 101/1988, of June 8, FJ 3; 61/1990, of March 29, FJ 8; 341/1993, of November 18, FJ 10; and 25/2002, of February 11, FJ 4). In short, as highlighted in STC 113/2002, of May 9, FJ 3, reiterating what was already said in legal foundation 3 of STC 305/1993, of October 25, ‘Article 25 of the Constitution obliges the legislator to regulate by itself the types of administrative infringement and the sanctions applicable to them, without it being possible that, from the Constitution, new sanctions can be introduced or the framework of existing ones altered by a regulatory norm whose content is not sufficiently predetermined or delimited by another with the rank of Law.’”</w:t>
        <w:br/>
        <w:t>It previously recalls what was said in the doctrine expressed by STC 42/1987, of April 7:</w:t>
        <w:br/>
        <w:t>“The fundamental right thus enunciated incorporates the rule ‘nullum crimen nulla poena sine [praevia] lege’, extending it even to the administrative sanctioning system, and encompasses a double guarantee. The first, of a material nature and absolute scope, both regarding the strictly penal sphere and that of administrative sanctions, reflects the special significance of the principle of security in those limiting areas of individual freedom and translates into the imperative requirement of normative predetermination of illicit conduct and the corresponding sanctions. The second, of a formal nature, refers to the necessary rank of the norms typifying those conducts and regulating these sanctions, as this Court has repeatedly pointed out, the term ‘current legislation’ contained in that art. 25.1 is expressive of a reservation of Law in sanctioning matters” (loc. cit., FJ 2). […] we have emphasized this double guarantee in SSTC 133/1999, of July 15, FJ 2; 276/2000, of November 16, FJ 6; 25/2002, of February 11, FJ 4; 75/2002, of April 8, FJ 4; and 113/2002, of May 9, FJ 3 […]</w:t>
        <w:br/>
        <w:t>[…] In what is now strictly relevant, we must point out that, assuming the linkage of the material guarantee with the principle of legal certainty, this Court has specified that it incorporates the mandate of taxativity or lex certa, “which translates into the requirement of normative predetermination of punishable conducts and their corresponding sanctions” (among others, SSTC 142/1999, of July 22, FJ 3, and 123/2001, of June 4, FJ 11).”</w:t>
        <w:br/>
        <w:t>Certainty implies, as the AN has also pointed out (among others, SAN of December 23, 2013, Resource No. 188/2012) “a clear determination regarding the applicable sanction, establishing at least a minimum and a maximum, which allows for the gradation of the administrative sanction […]”.</w:t>
        <w:br/>
        <w:t>In conclusion: My disagreement with the present Resolution is based on the fact that the Communication – and therefore the method used to establish the amount of the sanction – conflicts with Spanish Law: First,</w:t>
      </w:r>
    </w:p>
    <w:p>
      <w:r>
        <w:rPr>
          <w:b/>
        </w:rPr>
        <w:t>[Pages 70–70]</w:t>
      </w:r>
    </w:p>
    <w:p>
      <w:r>
        <w:t>for the reason that a norm of lower rank cannot challenge what is established by a norm with the rank of Law. Second, because it is an ad hoc creation whose application leads to an arithmetic result exceeding the sanction ceiling, which is then whimsically corrected to reduce it to said ceiling, representing a procedure for determining the amount of fines that operates in the opposite direction to that contemplated in our Competition Defense Laws, with the consequences outlined here. Thus, by this Dissenting Opinion, I pronounce, command, and sign in Madrid, on November 7,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