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https://www.cnmc.es/expedientes/s046213</w:t>
      </w:r>
    </w:p>
    <w:p>
      <w:r>
        <w:t>Pages translated : 9</w:t>
      </w:r>
    </w:p>
    <w:p/>
    <w:p>
      <w:r>
        <w:rPr>
          <w:b/>
        </w:rPr>
        <w:t>[Pages 1–3]</w:t>
      </w:r>
    </w:p>
    <w:p>
      <w:r>
        <w:t>RESOLUTION</w:t>
        <w:br/>
        <w:t>(Expte. S/0462/13, Allianz Seguros)</w:t>
        <w:br/>
        <w:t>COUNCIL:</w:t>
        <w:br/>
        <w:t>Mr. Joaquín García Bernaldo de Quirós.</w:t>
        <w:br/>
        <w:t>Ms. Pilar Sánchez Núñez, Vice President</w:t>
        <w:br/>
        <w:t>Mr. Julio Costas Comesaña, Councilor</w:t>
        <w:br/>
        <w:t>Ms. Mª Jesús González López, Councilor</w:t>
        <w:br/>
        <w:t>Ms. Inmaculada Gutiérrez Carrizo, Councilor</w:t>
        <w:br/>
        <w:t>Mr. Luis Díez Martín, Councilor</w:t>
        <w:br/>
        <w:t>In Madrid, on June 18, 2013</w:t>
        <w:br/>
        <w:t>The Council of the National Competition Commission, with the composition stated above and with Councilor Rapporteur Ms. María Jesús González López, has issued the following Resolution in case S/462/13, Allianz Seguros, initiated by a complaint from the company QUIMERAUTO ANGELIN, S.L. against ALLIANZ, COMPAÑÍA DE SEGUROS Y REASEGUROS, S.A., for alleged conduct prohibited by Law 15/2007, of July 3, on the Defense of Competition (LDC).</w:t>
        <w:br/>
        <w:t>FACTUAL BACKGROUND</w:t>
        <w:br/>
        <w:t>1. On March 7, 2013, a letter from Mr. XXX, on behalf of QUIMERAUTO ANGELIN, S.L. (hereinafter QUIMERAUTO), was received by the CNC, in which a complaint was filed against ALLIANZ, COMPAÑÍA DE SEGUROS Y REASEGUROS, S.A. (hereinafter ALLIANZ SEGUROS) for an alleged abuse of dominant position, a conduct prohibited by Law 15/2007, of July 3, on the Defense of Competition (LDC).</w:t>
        <w:br/>
        <w:t>2. In view of this complaint and in accordance with the provisions of Article 49.2 of the LDC, the Directorate of Investigation initiated a reserved inquiry to preliminarily determine whether circumstances exist that could justify, if applicable, the initiation of sanctioning proceedings.</w:t>
        <w:br/>
        <w:t>3. On March 15, 2013, the DI made requests for information to QUIMERAUTO and ALLIANZ SEGUROS, asking them to provide certain information regarding the reported facts. The response from QUIMERAUTO was received by the CNC on March 25, 2013, while the response from ALLIANZ SEGUROS was received on April 8, 2013.</w:t>
        <w:br/>
        <w:t>4. On April 9, 2013, the DI requested additional information from ALLIANZ SEGUROS to complete the previously provided information. Their response was received by the CNC on April 22, 2013.</w:t>
      </w:r>
    </w:p>
    <w:p>
      <w:r>
        <w:t>5. On April 23, 2013, the DI requested certain additional information regarding the reported facts from QUIMERAUTO. The response was received by the CNC on May 6, 2013.</w:t>
        <w:br/>
        <w:t>6. On May 24, 2013, the DI submitted to the Council the report and proposed Resolution referred to in Article 49.3 of the LDC, in which it proposes to the Council, "...not to initiate the sanctioning procedure, as well as to file the proceedings followed as a result of the complaint filed by QUIMERAUTO ANGELIN, S.L., considering that there are no indications of infringement of the aforementioned Law."</w:t>
        <w:br/>
        <w:t>7. The most relevant aspects of the DI's Report and Proposal for Filing are outlined below:</w:t>
        <w:br/>
        <w:t>A) Description of the parties:</w:t>
        <w:br/>
        <w:t>- QUIMERAUTO ANGELIN, S.L. (complainant) is a company dedicated to the maintenance and repair of motor vehicles, belonging to the category of independent workshops.</w:t>
        <w:br/>
        <w:t>- ALLIANZ, COMPAÑÍA DE SEGUROS Y REASEGUROS, S.A. (respondent) is the Spanish subsidiary of the ALLIANZ GROUP, an insurance group and provider of financial services worldwide. The products and services offered by ALLIANZ SEGUROS within its insurance activity range from personal and family insurance to business insurance, offering life, automobile, home, accident, or health insurance, as well as multi-risk insurance for companies, up to more complex customized insurance solutions.</w:t>
        <w:br/>
        <w:t>B) Based on the information gathered in the case, the DI makes the following description of the market in which the reported conduct occurs and the regulations that govern it:</w:t>
        <w:br/>
        <w:t>“II.3.a) Product markets</w:t>
        <w:br/>
        <w:t>(21) The conduct subject to the complaint falls within the insurance activity of ALLIANZ SEGUROS. Specifically, facts are reported regarding the insurer's actions in fulfilling its obligation to cover the repair costs of a damaged vehicle under an insurance contract signed with the vehicle owner.</w:t>
        <w:br/>
        <w:t>(22) According to national precedents (C/0013/07, MAPFRE AUTOMÓVILES/MUTUA VALENCIANA AUTOMOVILISTA) and community regulations, the insurance market is divided into three submarkets: life insurance, non-life insurance, and reinsurance. The insurance of risks related to motor vehicles falls within the non-life insurance segment.</w:t>
        <w:br/>
        <w:t>(23) From the demand perspective, the non-life insurance market could be further subdivided into as many product markets as there are types of risks to be covered, given that their characteristics, premiums, and utilities differ and there is no substitutability for the consumer between the different covered risks.</w:t>
        <w:br/>
        <w:t>(24) Article 6.1, letter b), of Royal Legislative Decree 6/2004, of October 29, which approves the consolidated text of the Law on the regulation and supervision of private insurance (LOSSP), includes the category of “automobile insurance.”</w:t>
        <w:br/>
        <w:t>(25) The conduct reported in this case falls within the scope of this type of automobile insurance, without it being relevant for the purposes of this case to delineate the exact dimension of the relevant product market encompassing automobile insurance, as it does not affect the conclusions of the analysis.</w:t>
        <w:br/>
        <w:t>(26) The reported conduct also affects activities vertically related to automobile insurance, specifically, the provision of repair and maintenance services for motor vehicles and the supply of spare parts for motor vehicles.</w:t>
        <w:br/>
        <w:t>(27) However, this Directorate of Investigation considers that it is not necessary, for the purposes of this case, to pronounce on the delineation of the product markets that encompass these activities, since it does not affect the conclusions of the analysis.</w:t>
        <w:br/>
        <w:t>II.3.b) Geographic markets</w:t>
        <w:br/>
        <w:t>(28) Due to the fact that automobile insurance contracts are subject to specific national legislation, the need to have adequate distribution channels and local presence for the settlement of claims, as well as linguistic issues, the geographic scope of the product market encompassing these insurances would be national.</w:t>
        <w:br/>
        <w:t>(29) On the other hand, the markets that encompass the supply of spare parts for motor vehicles likely have a supranational dimension, as the production centers for automotive components are distributed worldwide and their marketing networks are usually supranational.</w:t>
        <w:br/>
        <w:t>(30) In the case of the markets that encompass the repair and maintenance of motor vehicles, their geographic dimension could be regional, given that the demanders of these repair and maintenance services will generally go to those workshops located in their proximity area.</w:t>
        <w:br/>
        <w:t>(31) In any case, for the purposes of this case, it is not necessary to determine the relevant geographic scope of the different considered product markets, as it does not affect the assessment of the reported conduct.</w:t>
      </w:r>
    </w:p>
    <w:p>
      <w:r>
        <w:rPr>
          <w:b/>
        </w:rPr>
        <w:t>[Pages 4–6]</w:t>
      </w:r>
    </w:p>
    <w:p>
      <w:r>
        <w:t xml:space="preserve">II.4 Structure and Operation of the Automobile Insurance Market  </w:t>
        <w:br/>
        <w:t xml:space="preserve">(32) The structure of the automobile insurance market is outlined below  </w:t>
        <w:br/>
        <w:t xml:space="preserve">MAIN AUTOMOBILE INSURERS IN SPAIN, FISCAL YEAR 2012  </w:t>
        <w:br/>
        <w:t xml:space="preserve">GROUP PREMIUMS (mill. of MARKET  </w:t>
        <w:br/>
        <w:t xml:space="preserve">INSURER euros) SHARE  </w:t>
        <w:br/>
        <w:t xml:space="preserve">1. MAPFRE [...] [...]  </w:t>
        <w:br/>
        <w:t xml:space="preserve">2. ALLIANZ SEGUROS [...] [...]  </w:t>
        <w:br/>
        <w:t xml:space="preserve">3. MUTUA MADRILEÑA [...] [...]  </w:t>
        <w:br/>
        <w:t xml:space="preserve">4. AXA [...] [...]  </w:t>
        <w:br/>
        <w:t xml:space="preserve">5. CATALANA OCC. [...] [...]  </w:t>
        <w:br/>
        <w:t xml:space="preserve">6. LÍNEA DIRECTA [...] [...]  </w:t>
        <w:br/>
        <w:t xml:space="preserve">7. REALE [...] [...]  </w:t>
        <w:br/>
        <w:t xml:space="preserve">8. LIBERTY [...] [...]  </w:t>
        <w:br/>
        <w:t xml:space="preserve">9. ZURICH [...] [...]  </w:t>
        <w:br/>
        <w:t xml:space="preserve">10. GENERALI [...] [...]  </w:t>
        <w:br/>
        <w:t xml:space="preserve">11. PELAYO [...] [...]  </w:t>
        <w:br/>
        <w:t xml:space="preserve">Source: Own elaboration based on ICEA1 data.  </w:t>
        <w:br/>
        <w:t xml:space="preserve">(33) Regarding the operation of the automobile insurance market, it should be noted that the contractual relationship is established between the insurance company and the insured. The sector's regulations2 establish the obligation of the insurance company to indemnify the insured in the event of a claim within the limits agreed upon in the respective policy. This indemnity may be replaced by the insurance company with the payment of the costs of the actions carried out by a workshop for the repair of damaged vehicles, which may be chosen by the insured from among those workshops with which the insurer has agreements.  </w:t>
        <w:br/>
        <w:t xml:space="preserve">(34) According to Article 18 of the LCS, when determining the indemnities corresponding in each case arising from a claim, insurance companies will carry out the necessary investigations and assessments to establish the existence of the claim, as well as the amount of the damages resulting from it.  </w:t>
        <w:br/>
        <w:t xml:space="preserve">(35) Insurance companies carry out this work through independent experts or appraisers. Thus, in the event of a claim, an independent expert designated by the insurance company assesses the causes of the claim, evaluates the damages, and other circumstances that may influence the determination of the indemnity arising from the insurance contract and formulates a proposal for the amount to be paid for the repair.  </w:t>
        <w:br/>
        <w:t xml:space="preserve">(36) These appraisers, together with the repair workshops of the damaged vehicles, carry out the assessment of the damages and the evaluation of the price to be paid for the actions carried out by the workshops, using for this purpose computer platforms to assist in the damage assessment, which are developed by external companies unrelated to ALLIANZ SEGUROS.  </w:t>
        <w:br/>
        <w:t xml:space="preserve">(37) Regarding the spare parts used by the workshops in the repair of vehicles whose costs are borne by the insurance company, ALLIANZ SEGUROS maintains that each repair workshop freely chooses the type of spare part to be used in its actions and its origin, being able to opt to use original parts from the vehicle manufacturer, original parts from the part manufacturer, or parts from other independent manufacturers.  </w:t>
        <w:br/>
        <w:t xml:space="preserve">(38) According to ALLIANZ SEGUROS, the quantification of the price to be paid for the part used by the workshop will result from the assessment carried out by the contracted insurance appraiser. ALLIANZ SEGUROS also claims not to have entered into any type of agreement with motor vehicle manufacturers or other distributors to regulate the supply or the price to be paid for original spare parts used in vehicle repairs.  </w:t>
        <w:br/>
        <w:t xml:space="preserve">C) Based on the reported facts and the requested information, the DI makes the following description of the facts:  </w:t>
        <w:br/>
        <w:t xml:space="preserve">(9) It is stated in the complaint that ALLIANZ SEGUROS carries out a practice towards Independent Vehicle Repair Workshops consisting of the unilateral application of a series of disproportionate discounts on the cost of the spare parts replaced in the repairs carried out on vehicles whose repair costs must be borne by the reported insurance company, in the event that these spare parts have not been purchased from the Manufacturer and Supplier of the Brand.  </w:t>
        <w:br/>
        <w:t xml:space="preserve">(10) According to the complainant, its refusal to accept this practice has led to coercion by the Expert Offices of ALLIANZ SEGUROS, in the form of threats to divert clients to Independent Workshops that do accept these discounts, as well as the internal designation of "non grata workshop."  </w:t>
        <w:br/>
        <w:t xml:space="preserve">(11) This conduct, allegedly widespread by the respondent throughout the national territory, would constitute, according to the complainant, a violation of the right that Independent Workshops have to acquire spare parts through independent channels (according to EU Regulation No. 461/2010), as through its discount policy and threats, ALLIANZ SEGUROS would allegedly be using its dominant position to force these workshops to acquire spare parts from the Distribution Networks of Brands and Manufacturers.  </w:t>
        <w:br/>
        <w:t xml:space="preserve">(12) QUIMERAUTO bases these allegations on the actions taken by ALLIANZ SEGUROS in the context of the repair by QUIMERAUTO of a damaged motor vehicle whose costs were borne by this insurer.  </w:t>
        <w:br/>
        <w:t xml:space="preserve">(13) On July 24, 2012, QUIMERAUTO notified ALLIANZ SEGUROS in writing of its disagreement and non-acceptance of discounts in the valuations of the repairs carried out by the experts of ALLIANZ SEGUROS in the referenced incident.  </w:t>
        <w:br/>
        <w:t xml:space="preserve">(14) On August 20, 2012, ALLIANZ SEGUROS, in response to the letter of July 24, 2012, sent a letter to the complainant stating the following: "regarding the matter of the discount applied in the valuation, we inform you that we have proceeded to apply the regulation of applying a 20% discount on the spare part that has not been purchased from the Manufacturer and Supplier of the Brand."  </w:t>
        <w:br/>
        <w:t xml:space="preserve">(15) On the same date, August 20, 2012, QUIMERAUTO sent a letter to ALLIANZ SEGUROS stating that it was unaware of the regulation to which the insurance company refers regarding the discount to be applied to the spare parts and communicated that the replaced part in the vehicle whose repair costs correspond to ALLIANZ SEGUROS is a spare part purchased from the supplier of the vehicle manufacturer.  </w:t>
        <w:br/>
        <w:t xml:space="preserve">(16) Subsequently, in its response of April 22, 2013, ALLIANZ SEGUROS states that the letter of August 20, 2012, where QUIMERAUTO is informed of the application in the valuation of a 20% discount on a spare part that has not been purchased from the manufacturer and supplier of the part, was erroneously prepared by a worker from the Claims Processing Center of ALLIANZ SEGUROS who had recently joined the company and who had little experience and knowledge in the matter at that time.  </w:t>
        <w:br/>
        <w:t>(17) Regarding the cost of the spare parts used by the workshop in the repair of the damaged vehicle, ALLIANZ SEGUROS indicates in its response of April 22, 2013, that this cost is normally provided by the workshop to the appraiser. In the case on which the complaint is based, according to ALLIANZ SEGUROS, QUIMERAUTO did not provide the appraiser in charge of the claim with information about the cost of the spare parts used in the repair of the damaged vehicle, being original parts manufactured by a supplier of the vehicle brand and not original parts from the manufacturer.</w:t>
      </w:r>
    </w:p>
    <w:p>
      <w:r>
        <w:rPr>
          <w:b/>
        </w:rPr>
        <w:t>[Pages 7–9]</w:t>
      </w:r>
    </w:p>
    <w:p>
      <w:r>
        <w:t>(18) According to ALLIANZ SEGUROS, in this situation, the expert opted to calculate the price of the aforementioned parts by referencing the price of the spare parts from the vehicle manufacturer and applying a discount based on the premise that repair parts from manufacturers other than the vehicle manufacturer have a lower cost. According to the insurer, this practice would constitute an exceptional fact, motivated by the lack of reliable information regarding the actual cost of the spare parts in question.</w:t>
      </w:r>
    </w:p>
    <w:p>
      <w:r>
        <w:t>(19) For its part, despite this Directorate of Investigation requesting it in the notice dated April 23, 2013, QUIMERAUTO has not demonstrated that it provided the expert with information regarding the cost of the spare parts actually used in the repair of the damaged vehicle, nor has it submitted the purchase invoices for the replaced parts.</w:t>
      </w:r>
    </w:p>
    <w:p>
      <w:r>
        <w:t>(20) On the other hand, in its written submission received by the CNC on May 6, 2013, QUIMERAUTO alleges that ALLIANZ SEGUROS is unilaterally applying a labor price in the valuations that is lower than that stipulated by QUIMERAUTO, disregarding the requests and notifications made by it.</w:t>
      </w:r>
    </w:p>
    <w:p>
      <w:r>
        <w:t>D) Given that the reported conduct is a possible abuse of dominant position, the DI in its report and proposal for filing analyzes whether the reported company, ALLIANZ SEGUROS, holds in the relevant market an economic power that allows it, as required by jurisprudence, to behave significantly independently in relation to competitors, customers, and suppliers, thus enabling it to obstruct the maintenance of competition in the market. After the analysis, it concludes the following:</w:t>
      </w:r>
    </w:p>
    <w:p>
      <w:r>
        <w:t>(45) From the data provided by the interested parties regarding the main operators in the automobile insurance market in Spain, it can be verified that, in 2012, ALLIANZ SEGUROS occupied the second position in the ranking of insurance companies, with a market share of 11.9%, behind MAPFRE (21%).</w:t>
      </w:r>
    </w:p>
    <w:p>
      <w:r>
        <w:t>(46) In light of this data, this Directorate of Investigation rules out that ALLIANZ SEGUROS can act significantly independently in the market in which it operates, and therefore it would not hold a dominant position in the automobile insurance market in Spain.</w:t>
      </w:r>
    </w:p>
    <w:p>
      <w:r>
        <w:t>(47) Consequently, and in accordance with Article 2 of the LDC, since the dominant position of ALLIANZ SEGUROS in the analyzed scope has not been established, the reported conduct cannot constitute an abuse of dominant position.</w:t>
      </w:r>
    </w:p>
    <w:p>
      <w:r>
        <w:t>(48) All of this is without prejudice to the fact that the reported conduct appears to respond to a bilateral conflict between QUIMERAUTO and ALLIANZ SEGUROS, which would not be capable of affecting competition in the market, and no indications have been provided by the complainant that the reported conduct corresponds to a generalized action by the insurance company.</w:t>
      </w:r>
    </w:p>
    <w:p>
      <w:r>
        <w:t>8. The Council of the CNC deliberated and issued this Resolution in its session on June 12, 2013.</w:t>
      </w:r>
    </w:p>
    <w:p>
      <w:r>
        <w:t>LEGAL BASIS</w:t>
      </w:r>
    </w:p>
    <w:p>
      <w:r>
        <w:t>FIRST.- Legal basis and object. Article 49.3 of Law 15/2007, of July 3, on the Defense of Competition states that, "The Council of the National Competition Commission, at the proposal of the Directorate of Investigation, may agree not to initiate the procedures derived from the alleged commission of the conduct prohibited by Articles 1, 2, and 3 of this Law and to file the proceedings when it considers that there are no indications of infringement of the Law."</w:t>
      </w:r>
    </w:p>
    <w:p>
      <w:r>
        <w:t>On the other hand, Article 27.1 of Royal Decree 261/2008, of February 22, which approves the Regulation on the Defense of Competition (RDC) stipulates that, "In order for the Council of the National Competition Commission to agree not to initiate proceedings and to file the proceedings in the terms established in Articles 44 and 49.3 of Law 15/2007, of July 3, the Directorate of Investigation shall forward the received complaint, the prior actions taken, if applicable, and a proposal for filing."</w:t>
      </w:r>
    </w:p>
    <w:p>
      <w:r>
        <w:t>In this case, the DI, based on the cited provisions, proposes to the Council the non-initiation of the sanctioning procedure, as well as the filing of the proceedings followed in case S-462-13 Allianz Seguros, for not finding indications of infringement of the aforementioned Law in the analyzed facts during the investigation phase.</w:t>
      </w:r>
    </w:p>
    <w:p>
      <w:r>
        <w:t>Therefore, taking into account the cited regulations, the object of this Resolution is to determine whether, in light of the available information from the reserved information phase, the proposal submitted to this Council by the instructing body is in accordance with the Law.</w:t>
      </w:r>
    </w:p>
    <w:p>
      <w:r>
        <w:t>SECOND.- Assessment of the Council. The complainant informs the CNC of what it considers an infringement of Article 2 of the LDC, for abuse of dominant position by the company ALLIANZ SEGUROS over independent motor vehicle repair workshops, because it claims that it applies disproportionate discounts on the cost of the replaced spare parts in the repairs covered by the insurance, in cases where the spare parts have not been purchased from the manufacturer or supplier of the brand. That is to say, ALLIANZ SEGUROS, with this behavior, would be forcing the workshops to acquire spare parts from the distribution networks of the Brands and Manufacturers.</w:t>
      </w:r>
    </w:p>
    <w:p>
      <w:r>
        <w:t>Article 2 of the LDC prohibits "the abusive exploitation by one or more companies of their dominant position" in all or part of the national market. And the abuse may consist, among other things, of "The imposition, directly or indirectly, of prices or other commercial or service conditions that are not equitable."</w:t>
      </w:r>
    </w:p>
    <w:p>
      <w:r>
        <w:t>Therefore, the DI analyzes beforehand the position of the reported party in the automobile insurance market in Spain, concluding that while it is a significant company (it has a share of [...] in 2012, similar to other competitors and behind the first one that has a [...]), it could not behave significantly independently in relation to competitors, customers, and suppliers and therefore does not hold a dominant position from which to exercise abuse, an essential premise to incur in infringement of Article 2 of the LDC.</w:t>
      </w:r>
    </w:p>
    <w:p>
      <w:r>
        <w:t>Moreover, as derived from the actions taken, the complainant has only provided information on one case, the repair of a vehicle in 2012, in which it has not been able to demonstrate having supplied the responsible expert with the cost of the parts used in the repair, nor has it provided evidence of the application of discounts on the cost of the parts.</w:t>
      </w:r>
    </w:p>
    <w:p>
      <w:r>
        <w:t>In light of the report and proposal for filing from the DI and the information contained in the file, the Council agrees with the analysis of the facts and the assessment made by the DI, which is reproduced in point 7 of the Background.</w:t>
      </w:r>
    </w:p>
    <w:p>
      <w:r>
        <w:t>From the reported facts, it does not appear that there are indications of infringement of competition rules, so the filing of the proceedings carried out is appropriate.</w:t>
      </w:r>
    </w:p>
    <w:p>
      <w:r>
        <w:t>Having seen the cited provisions and others of general application, the Council of the National Competition Commission in the composition mentioned at the beginning,</w:t>
      </w:r>
    </w:p>
    <w:p>
      <w:r>
        <w:t>RESOLVES</w:t>
      </w:r>
    </w:p>
    <w:p>
      <w:r>
        <w:t>SOLE.- In accordance with Article 49.3 of Law 15/2007, of July 3, on the Defense of Competition, not to initiate sanctioning proceedings and to file the reserved proceedings followed under number S/0462/13, Allianz Seguros, for considering that there are no indications of infringement of Article 2 of the same Law.</w:t>
      </w:r>
    </w:p>
    <w:p>
      <w:r>
        <w:t>This Resolution shall be communicated to the Directorate of Investigation and notified to the complainant and the reported party, informing them that it concludes the administrative procedure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