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https://www.cnmc.es/expedientes/s047213</w:t>
      </w:r>
    </w:p>
    <w:p>
      <w:r>
        <w:t>Pages translated : 9</w:t>
      </w:r>
    </w:p>
    <w:p/>
    <w:p>
      <w:r>
        <w:rPr>
          <w:b/>
        </w:rPr>
        <w:t>[Pages 1–3]</w:t>
      </w:r>
    </w:p>
    <w:p>
      <w:r>
        <w:t>RESOLUTION (Expte. S/0472/13, SUPPLY OF REACTIVE STRIPS) President D. José María Marín Quemada Counselors Dª. María Ortiz Aguilar D. Fernando Torremocha y García-Sáenz D. Benigno Valdés Díaz Dª. Idoia Zenarrutzabeitia Beldarrain Secretary D. Tomás Suárez-Inclán González In Madrid, on October 29, 2015 THE COMPETITION CHAMBER of the National Commission of Markets and Competition, with the composition stated above, has issued this RESOLUTION within the framework of the Sanctioning File S/0472/13 Supply of Reactive Strips, instructed by the Directorate of Competition. The Rapporteur has been Counselor Don Fernando Torremocha y García-Sáenz. BACKGROUND FIRST.- The Directorate of Competition of this National Commission of Markets and Competition accessed certain information "related to possible anticompetitive practices in the market for health products, among others, reactive strips for measuring blood glucose. Some of these practices may have been carried out within the framework of agreements signed by several Autonomous Communities and/or through participation in bidding procedures." On March 14, 2013, a complaint was filed with the now-defunct National Competition Commission by the Free Union of Pharmacists of the Valencian Community (SLF-CV) against the Valencian Health Agency (AVS) "for alleged conduct prohibited by Law 15/2007 of July 3, on the Defense of Competition as a result of the Agreement for the supply of reactive strips for the determination of blood glucose within the scope of the benefits of the Valencian Health Agency, signed on June 11, 2012, between the Official Colleges of Pharmacy of Alicante, Valencia, and Castellón, pharmaceutical and distribution companies, consistent in the agreement of uniform prices for the supply of reactive strips" (folios 1 to 18). SECOND.- On March 14, 2013, the Directorate of Investigation of the National Competition Commission (both now defunct), within the framework of the provisions of Article 49.2 of Law 15/2007 of July 3, on the Defense of Competition, initiated a Reserved Information "in order to preliminarily determine the concurrence of circumstances that would justify the initiation of a Sanctioning File." To this end, on May 7, information was requested from the Department of Health of the Valencian Community and the SPANISH FEDERATION OF HEALTH TECHNOLOGY COMPANIES (Fenin) (folios 19 to 126). On July 8, 9, and 10, 2014, domiciliary inspections were carried out, in compliance with the Investigation Orders issued the previous day, June 30, at the premises of ABBOTT LABORATORIES S.A.; JOHNSON &amp; JOHNSON S.A.; LABORATORIOS DISTROSUR S.A.; OFFICIAL COLLEGE OF PHARMACISTS OF GRANADA; CENTRO FARMACÉUTICO S.L.; and SPANISH FEDERATION OF HEALTH TECHNOLOGY COMPANIES (Fenin) (folios 127 to 710). From the information obtained and after examination, the possible existence of rational indications of the commission by ABBOTT LABORATORIES S.A.; JOHNSON &amp; JOHNSON S.A.; MENARINI DIAGNOSTICS S.A.; ROCHE DIAGNOSTICS S.L.; BAYER HISPANIA S.L.; and FENIN of an infringement of Article 1 of Law 15/2007 "consisting of exchanges of information and agreements for the setting of prices and other commercial conditions in the distribution and sale of reactive strips for the determination of blood glucose, carried out within FENIN and that could affect the Agreements signed in different Autonomous Communities, as well as the direct purchases made by public hospitals and participation in public tenders called by different hospitals and health agencies of various Autonomous Communities" was deduced. THIRD.- On September 30, 2014, the Directorate of Competition agreed to initiate the Sanctioning File in accordance with the provisions of Article 49.1 of Law 15/2007. This agreement was notified to the six interested parties (folios 762 to 800). FOURTH.- The Directorate of Competition, in view of the actions taken and in accordance with the provisions of Article 33.3 of the Competition Defense Regulation, concludes considering in the Statement of Facts that "The actions carried out by ABBOTT, BAYER, JOHNSON, MENARINI, ROCHE, and FENIN consisting of exchanges of information and agreements for the setting of maximum retail prices and discounts to be applied to the Agreements for the supply of TRGS with different Autonomous Communities would constitute an infringement typified in Article 1 of Law 15/2007, which, however, due to the time period in which they were carried out and by application of the provisions of Article 68.1, this Directorate of Competition considers would be time-barred." The Statement of Facts was notified to the interested parties, in accordance with the provisions of Article 50.3 of Law 15/2007, so that within a period of fifteen days they could respond to it and, if applicable, propose the evidence they consider pertinent. On September 14, 2015, the allegations submitted by ROCHE (folios 3876 to 3899); BAYER (folios 3900 to 3911); JOHNSON (folios 3912 to 3918) and ABBOTT (folios 3929 to 3932) were received. And the following day, September 15, those submitted by FENIN (folios 3933 to 3934) and MENARINI (folios 3835 to 3945). FIFTH.- The Directorate of Competition on September 23, 2015 proceeded to notify the interested parties of the closure of the instruction phase (folios 3947 to 3971) elevating to this COMPETITION CHAMBER the following Proposal Report "In view of the actions taken, in accordance with Article 50.4 of Law 15/2007 it is PROPOSED That it be declared that the prohibited conduct by Article 1 of Law 15/2007 of July 3, on the Defense of Competition, which has been accredited, due to the time period in which it was carried out and by application of the provisions of Article 68.1 would be time-barred. In accordance with Article 50.4 of Law 15/2007, this Proposal for Resolution shall be notified to the interested parties so that, within a period of fifteen days, they may submit the allegations they deem appropriate, informing them that these must contain, if applicable, the proposals of the parties regarding the practice of evidence and complementary actions before the Council of the CNMC, as well as the request for a hearing." On October 9, 2015, written allegations to the Proposal for Resolution were received in this Directorate of Competition.</w:t>
      </w:r>
    </w:p>
    <w:p>
      <w:r>
        <w:rPr>
          <w:b/>
        </w:rPr>
        <w:t>[Pages 4–6]</w:t>
      </w:r>
    </w:p>
    <w:p>
      <w:r>
        <w:t>of reaction. The TRGS are used by patients to monitor their blood glucose levels, which is essential for the management of diabetes. The market for these products is characterized by the presence of several manufacturers and distributors, each offering different brands and types of strips, which can lead to competition in terms of pricing and availability.</w:t>
      </w:r>
    </w:p>
    <w:p>
      <w:r>
        <w:t>THIRD.- The practices under investigation involve potential anti-competitive behaviors related to the pricing and distribution of TRGS. The CNMC has received information suggesting that there may be agreements among certain companies to fix prices or limit competition in the market for these essential medical supplies. The investigation aims to determine whether such practices exist and whether they violate the provisions of competition law.</w:t>
      </w:r>
    </w:p>
    <w:p>
      <w:r>
        <w:t>FOURTH.- The companies involved in this investigation have been notified of the allegations against them and have been given the opportunity to present their defense. The CNMC will evaluate the evidence and arguments presented by each party before making a final decision on the matter.</w:t>
      </w:r>
    </w:p>
    <w:p>
      <w:r>
        <w:t>FIFTH.- The outcome of this investigation may result in sanctions against any companies found to have engaged in anti-competitive practices, including fines and other measures to restore competition in the market for TRGS. The CNMC is committed to ensuring fair competition and protecting consumers' interests in the healthcare sector.</w:t>
      </w:r>
    </w:p>
    <w:p>
      <w:r>
        <w:rPr>
          <w:b/>
        </w:rPr>
        <w:t>[Pages 7–9]</w:t>
      </w:r>
    </w:p>
    <w:p>
      <w:r>
        <w:t>that it takes to obtain the results. The TRGS must be used together with a measuring device that records and interprets the chemical reaction that occurs when the patient's blood comes into contact with the TRGS. This measurement system allows diabetes patients to perform a self-analysis of their blood glucose level, enabling them to make adjustments to their insulin dosage, diet, and lifestyle. The offer of TRGS in the Spanish market is made up of pharmaceutical laboratories that manufacture and/or market them such as ABBOTT, BAYER, DISTROSUR, JOHNSON, MENARINI, NIPRO, ROCHE, SANOFI, GOLDSTAR PHARMA, FARMALIDER S.A., ENOL PHARMACEUTICAL RESEARCH, S.L. and EXCLUSIVAS PASCUAL Y FURIÓ, S.A. In principle, all blood glucose measurement systems available in the market serve to allow the patient to assess their blood glucose level at any given moment. However, despite this common utility, there are significant differences between the various systems from a technical standpoint (number and type of electrodes, type of enzyme used, sample volume, serum-plasma or whole blood reference, sample origin - capillary, venous, or arterial -, etc.). Additionally, there are also differences regarding the physical characteristics of the measuring devices with which the patient interacts. In this regard, the characteristics and features of each reading device make it more or less suitable for one type of patient or another depending on a large number of variables (type of diabetes, therapy, degree of metabolic control, physical abilities or limitations, presence of comorbidities, etc.). The suitability of each type of meter for each specific patient is determined by health professionals taking into account the type of patient and their health status. The main customers of TRGS manufacturers are, on one hand, wholesale distributors of medicines and health products that operate in the pharmacy channel and, on the other hand, the Public Administration that acquires these products through public tenders. -0000- The geographical market, according to various national and community precedents, is the national one, due to the different reimbursement systems, bidding procedures, and the differences in prices and market shares in the different Member States of the EU.</w:t>
      </w:r>
    </w:p>
    <w:p>
      <w:r>
        <w:t>LEGAL GROUNDS FIRST.- Law 15/2007 of July 3, on the Defense of Competition in its Article 68 Prescription of infringements and sanctions provides that “1.- Very serious infringements prescribe after four years, serious infringements after two years, and minor infringements after one year. The term of prescription shall be computed from the day on which the infringement was committed or, in the case of continued infringements, from the day they ceased; 2.- The sanctions imposed for the commission of very serious infringements shall prescribe after four years, those imposed for the commission of serious infringements after two years, and those imposed for minor infringements after one year; 3.- The prescription is interrupted by any act of the Administration with formal knowledge of the interested party aimed at compliance with the Law and by the acts carried out by the interested parties in order to ensure, complete or execute the corresponding resolutions.” The Directorate of Competition raises the prescription of the investigated conduct as a peremptory exception. This Competition Chamber, prior to entering into the merits, must address the exception raised, since if it is upheld, it would make a ruling on the merits unnecessary, by the mandate of the Law. Examined the Proven Facts and the qualification of the conduct attributed to the interested parties, all in light of the instruction carried out, this Competition Chamber concludes in accordance with the proposal submitted by the Directorate of Competition and declares the prescription of the conduct under Article 68 of Law 15/2007 of July 3, on the Defense of Competition. SECOND.- Upon upholding the exception of prescription of the conduct, as a preliminary issue to examine, this COMPETITION CHAMBER is prevented from entering into the substantive merits of the Sanctioning File, proceeding to agree on the filing. Having seen the cited provisions and the others of general application, this COMPETITION CHAMBER of the National Commission of Markets and Competition, in the Plenary Session held today HAS RESOLVED UNIQUE.- To declare the prescription of the conduct attributed for infringement of Article 1 of Law 15/2007 of July 3, on the Defense of Competition, for which FENIN (Spanish Federation of Health Technology Companies); ABBOTT LABORATORIES S.A.; BAYER HISPANIA S.L.; JOHNSON &amp; JOHNSON S.A.; MENARINI DIAGNOSTICS S.A. and ROCHE DIAGNOSTICS S.L. are responsible, and consequently, the filing of the proceedings is ordered.</w:t>
      </w:r>
    </w:p>
    <w:p>
      <w:r>
        <w:t>Communicate this administrative Resolution to the Directorate of Competition of this National Commission of Markets and Competition and notify the interested parties, informing them that there is no appeal against it in this preliminary administrative phase, which can be done within TWO MONTHS counted from the day following its notification, before the contentious-administrative jurisdiction: the National Court.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