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https://www.cnmc.es/expedientes/s047313</w:t>
      </w:r>
    </w:p>
    <w:p>
      <w:r>
        <w:t>Pages translated : 101</w:t>
      </w:r>
    </w:p>
    <w:p/>
    <w:p>
      <w:r>
        <w:rPr>
          <w:b/>
        </w:rPr>
        <w:t>[Pages 1–3]</w:t>
      </w:r>
    </w:p>
    <w:p>
      <w:r>
        <w:t xml:space="preserve">RESOLUTION  </w:t>
        <w:br/>
        <w:t xml:space="preserve">(Exp. S/0473/13 CONCRETE POLES)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January 15, 2015  </w:t>
        <w:br/>
        <w:t xml:space="preserve">The Competition Chamber of the National Commission of Markets and Competition has issued this Resolution in the file S/0473/13 CONCRETE POLES, initiated by the now-defunct Investigation Directorate of the National Competition Commission, against several companies for alleged infringement of Article 1 of Law 110/1963, of July 20, on the Suppression of Restrictive Practices of Competition, Article 1 of Law 16/1989, of July 17, on the Defense of Competition, and Article 1 of Law 15/2007, of July 3, on the Defense of Competition.  </w:t>
        <w:br/>
        <w:t xml:space="preserve">FACTUAL BACKGROUND  </w:t>
        <w:br/>
        <w:t xml:space="preserve">On May 22, 2013, certain information related to possible anticompetitive practices that could be contrary to Article 1 of Law 15/2007, of July 3, on the Defense of Competition (LDC), was received by the National Competition Commission (CNC) from various operators in the market for the manufacture and sale of concrete prefabricated products, particularly concrete poles, as well as other prefabricated products, such as manholes or covers (folio 1).  </w:t>
        <w:br/>
        <w:t xml:space="preserve">In light of this information, the Investigation Directorate, within the framework established in paragraph 2 of Article 49 LDC, initiated a reserved inquiry to preliminarily determine the existence of circumstances that justified the initiation of sanctioning proceedings.  </w:t>
        <w:br/>
        <w:t xml:space="preserve">On June 11 and 12, 2013, simultaneous home inspections were carried out at the premises of the companies POSTELÉCTRICA FABRICACIÓN S.A. (Madrid headquarters, folios 1533 to 1555, and Palencia headquarters, folios 1533 to 1555), ROMERO HORMELEC S.A. (Madrid headquarters, folios 71 to 82, and Zaragoza headquarters, folios 315 to 350), and ADHORNA PREFABRICACIÓN S.A. (folios 1148 to 1167).  </w:t>
        <w:br/>
        <w:t xml:space="preserve">After analyzing the information obtained during the home inspections, the Investigation Directorate considered that there were reasonable indications of the commission of an infringement of the LDC, and therefore, on July 4, 2013, it was agreed to initiate sanctioning proceedings against ADHORNA PREFABRICACIÓN S.A., POSTES NERVIÓN, S.A., ROMERO HORMELEC S.A., POSTELÉCTRICA FABRICACIÓN S.A., PREFABRICADOS Y POSTES DE HORMIGÓN S.A., APLICACIONES DEL HORMIGÓN S.A., and POSTES XEIXALVO S.L., for possible prohibited conduct under Article 1 of the LDC, consisting of exchanges of information and agreements for market allocation and the setting of commercial conditions in the market for the manufacture and sale of concrete prefabricated products.  </w:t>
        <w:br/>
        <w:t xml:space="preserve">On July 8, 2013, errors in the Initiation Agreement were corrected, noting that the company POSTES NERVIÓN, S.A. has been part of ADHORNA PREFABRICACIÓN S.A. since 2008, and that the company ROMERO HORMELEC S.A. resulted from the merger of POSTES ROMERO S.A. and HORMIGÓN Y ELECTRICIDAD, S.A. Thus, the actions with ADHORNA PREFABRICACIÓN S.A. are understood as responsible for both its own actions and those previously carried out by POSTES NERVIÓN S.A., and with ROMERO HORMELEC S.A. as responsible for both its own actions and those previously carried out by POSTES ROMERO S.A. and HORMIGÓN Y ELECTRICIDAD, S.A.  </w:t>
        <w:br/>
        <w:t xml:space="preserve">On January 30, 2014, it was agreed to extend the initiation to ELEMENTOS DE SUJECIÓN GALVANIZADOS S.L., BUPRE S.L., and RUBIERA PREDISA S.L., due to the existence of reasonable indications that the alleged anticompetitive practices that motivated the initiation of the reference file may also have been carried out by them (folios 4839 to 4848 and 4873 to 4875).  </w:t>
        <w:br/>
        <w:t xml:space="preserve">After carrying out the necessary instructional acts to determine the facts constituting the infringement and the attribution of responsibility to the companies involved, the Directorate of Competition prepared, in accordance with Article 50.3 of the LDC, the Statement of Specific Facts (PCH), notifying it to the parties between April 24 and 25, 2014, so that they could allege whatever they deemed appropriate and propose the evidence they considered pertinent.  </w:t>
        <w:br/>
        <w:t xml:space="preserve">The entities POSTES XEIXALVO S.L., ADHORNA PREFABRICACIÓN S.A., APLICACIONES DEL HORMIGÓN S.A., PREFABRICADOS Y POSTES DE HORMIGÓN S.A., ROMERO HORMELEC S.A., POSTELÉCTRICA FABRICACIÓN S.A., RUBIERA PREDISA S.L., BUPRE S.L., and ELEMENTOS DE SUJECIÓN GALVANIZADOS, S.L. submitted allegations to the PCH.  </w:t>
        <w:br/>
        <w:t xml:space="preserve">On June 20, 2014, in accordance with the provisions of Article 33.1 of the Competition Defense Regulation (approved by Royal Decree 261/2008, of February 22), the instruction phase in the reference file was closed, in order to draft the resolution proposal provided for in Article 50.4 of the LDC.  </w:t>
        <w:br/>
        <w:t xml:space="preserve">The resolution proposal was signed by the Director of Competition on June 24, 2014, and was duly notified to the parties so that, in accordance with Article 50.4 of the LDC, they could present the allegations they deemed appropriate.  </w:t>
        <w:br/>
        <w:t xml:space="preserve">The resolution proposal was submitted to this Chamber on July 22, 2014, containing a proposed sanction for infringement of Article 1 of Law 110/1963, of July 20, on the Suppression of Restrictive Practices of Competition (Law 110/1963), Article 1 of Law 16/1989, of July 17, on the Defense of Competition (Law 16/1989), and Article 1 of the LDC (folio 8193).  </w:t>
        <w:br/>
        <w:t xml:space="preserve">In the aforementioned Resolution Proposal, in addition to correcting several errors, it is declared that the entity ELEMENTOS DE SUJECIÓN GALVANIZADOS, S.L. is not charged, considering that its attribution was due to an error in the attribution of anticompetitive conduct (page 131, paragraph 155, folio 8324 of the Resolution Proposal).  </w:t>
        <w:br/>
        <w:t xml:space="preserve">The entities POSTES XEIXALVO S.L., ADHORNA PREFABRICACIÓN S.A., APLICACIONES DEL HORMIGÓN S.A., PREFABRICADOS Y POSTES DE HORMIGÓN S.A., ROMERO HORMELEC S.A., POSTELÉCTRICA FABRICACIÓN S.A., RUBIERA PREDISA S.L., and BUPRE S.L. have submitted allegations to the Resolution Proposal, some of which contain a request for the practice of evidence, as well as a request for confidentiality regarding part of the information contained therein.  </w:t>
        <w:br/>
        <w:t xml:space="preserve">By agreement dated November 27, 2014, the companies were again requested to provide additional information regarding the volume of business and the affected market (folios 8388 to 8391), a request that was attended to by all companies between December 5 and 22, 2014. This agreement suspended the computation of the duration of the procedure effective December 2, 2014, with the suspension lifted effective December 23, 2014 (folio 8507).  </w:t>
        <w:br/>
        <w:t xml:space="preserve">The interested parties in this procedure are:  </w:t>
        <w:br/>
        <w:t xml:space="preserve">POSTELÉCTRICA FABRICACIÓN, S.A.  </w:t>
        <w:br/>
        <w:t>ROMERO HORMELEC, S.A.</w:t>
      </w:r>
    </w:p>
    <w:p>
      <w:r>
        <w:rPr>
          <w:b/>
        </w:rPr>
        <w:t>[Pages 4–6]</w:t>
      </w:r>
    </w:p>
    <w:p>
      <w:r>
        <w:t xml:space="preserve">ADHORNA PREFABRICACIÓN, S.A.  </w:t>
        <w:br/>
        <w:t xml:space="preserve">PREFABRICADOS Y POSTES DE HORMIGÓN S.A.  </w:t>
        <w:br/>
        <w:t xml:space="preserve">POSTES XEIXALVO S.L.  </w:t>
        <w:br/>
        <w:t xml:space="preserve">APLICACIONES DEL HORMIGÓN S.A.  </w:t>
        <w:br/>
        <w:t xml:space="preserve">RUBIERA PREDISA S.L.  </w:t>
        <w:br/>
        <w:t xml:space="preserve">BUPRE, S.L.  </w:t>
        <w:br/>
        <w:t>ELEMENTOS DE SUJECIÓN GALVANIZADOS, S.L.</w:t>
      </w:r>
    </w:p>
    <w:p>
      <w:r>
        <w:t xml:space="preserve">ESTABLISHED FACTS  </w:t>
        <w:br/>
        <w:t>The behaviors subject to this file have been assessed by this Chamber based on the established facts considered by the Competition Directorate from the investigation initiated and carried out by the now-defunct Investigation Directorate and, subsequently, the Competition Directorate.</w:t>
      </w:r>
    </w:p>
    <w:p>
      <w:r>
        <w:t xml:space="preserve">THE PARTIES  </w:t>
        <w:br/>
        <w:t>The interested parties in the present procedure are as follows:</w:t>
      </w:r>
    </w:p>
    <w:p>
      <w:r>
        <w:t xml:space="preserve">1  </w:t>
        <w:br/>
        <w:t xml:space="preserve">ADHORNA PREFABRICACIÓN S.A. (ADHORNA)  </w:t>
        <w:br/>
        <w:t xml:space="preserve">ADHORNA is a company that emerged in 2008 from the merger of POSTES NERVIÓN S.A. and PLACAMARDA S.A., with its registered office in Vizcaya. Its parent company is ELECNOR S.A., a company focused on the electrical sector (lines, substations, lighting, and installations).  </w:t>
        <w:br/>
        <w:t>Its activity focuses on the production and sale of prefabricated concrete elements for various sectors: electrical sector (notably the production of poles and substation buildings), communications and civil works sector, and industrial sector (notably its production of prefabricated concrete industrial buildings), as well as other concrete elements such as lighting columns.</w:t>
      </w:r>
    </w:p>
    <w:p>
      <w:r>
        <w:t xml:space="preserve">2  </w:t>
        <w:br/>
        <w:t xml:space="preserve">ROMERO HORMELEC S.A. (ROMERO HORMELEC)  </w:t>
        <w:br/>
        <w:t xml:space="preserve">ROMERO HORMELEC was founded in 1996 from the merger of POSTES ROMERO S.A. and HORMIGÓN Y ELECTRICIDAD S.A., and has its registered office in Zaragoza. Its parent company and sole administrator is Proyectos Ferroviarios, S.L., which is located at the same registered office.  </w:t>
        <w:br/>
        <w:t>Its activity focuses on the manufacture of prefabricated concrete products, mainly reinforced concrete poles and prefabricated concrete buildings for transformation centers.</w:t>
      </w:r>
    </w:p>
    <w:p>
      <w:r>
        <w:t xml:space="preserve">3  </w:t>
        <w:br/>
        <w:t xml:space="preserve">POSTELÉCTRICA FABRICACIÓN S.A. (POSTELÉCTRICA FABRICACIÓN)  </w:t>
        <w:br/>
        <w:t xml:space="preserve">POSTELÉCTRICA FABRICACIÓN is a company founded in 1982 and dedicated to the manufacture of concrete, plaster, and cement products, focusing its activity in the national territory.  </w:t>
        <w:br/>
        <w:t>The headquarters is located in Palencia and also has factories in Torralba de Calatrava (Ciudad Real) and Llambillas (Girona), as well as a commercial office in Madrid.</w:t>
      </w:r>
    </w:p>
    <w:p>
      <w:r>
        <w:t xml:space="preserve">4  </w:t>
        <w:br/>
        <w:t xml:space="preserve">PREFABRICADOS Y POSTES DE HORMIGÓN S.A. (PREPHOR)  </w:t>
        <w:br/>
        <w:t xml:space="preserve">The activity of PREPHOR began in 1978 with the manufacture of concrete poles. Production quickly expanded to other prefabricated concrete products, primarily focused on the electrical sector and the telecommunications sector.  </w:t>
        <w:br/>
        <w:t>The headquarters of PREPHOR is located in Palencia.</w:t>
      </w:r>
    </w:p>
    <w:p>
      <w:r>
        <w:t xml:space="preserve">5  </w:t>
        <w:br/>
        <w:t xml:space="preserve">APLICACIONES DEL HORMIGÓN S.A. (APLIHORSA)  </w:t>
        <w:br/>
        <w:t xml:space="preserve">APLIHORSA was founded in 1951 with the aim of manufacturing durable prefabricated concrete products for the electrical, building, public works, and maritime sectors. Subsequently, in the 21st century, APLIHORSA developed a new modular manufacturing system applicable to any type of building.  </w:t>
        <w:br/>
        <w:t>APLIHORSA is part of the INVERTARESA group and has its headquarters in La Coruña.</w:t>
      </w:r>
    </w:p>
    <w:p>
      <w:r>
        <w:t xml:space="preserve">6  </w:t>
        <w:br/>
        <w:t xml:space="preserve">POSTES XEIXALVO S.L. (XEIXALVO)  </w:t>
        <w:br/>
        <w:t>POSTES XEIXALVO began its activity in 1991 with the aim of manufacturing concrete elements for construction. Its headquarters is located in Orense.</w:t>
      </w:r>
    </w:p>
    <w:p>
      <w:r>
        <w:t xml:space="preserve">ELEMENTOS DE SUJECIÓN GALVANIZADOS, S.L. (ESG)  </w:t>
        <w:br/>
        <w:t xml:space="preserve">ESG was created in 1995 with the aim of manufacturing fittings for overhead and underground telephone lines, although its purpose has expanded, and it currently manufactures parts for anyone who requests it, developing the part, the die, and the manufacturing.  </w:t>
        <w:br/>
        <w:t>ESG is dedicated to stamping and raw carbon steel, welding, and hot galvanizing, the latter being the coating used for all its parts. Its registered office is located in Burgos.</w:t>
      </w:r>
    </w:p>
    <w:p>
      <w:r>
        <w:t xml:space="preserve">BUPRE S.L. (BUPRE)  </w:t>
        <w:br/>
        <w:t xml:space="preserve">BUPRE was created in 1995, with its headquarters in Burgos.  </w:t>
        <w:br/>
        <w:t xml:space="preserve">Its purpose is the manufacture of prefabricated concrete products, highlighting covers, manholes, grates, cones, and rings of concrete, among other products.  </w:t>
        <w:br/>
        <w:t>Both BUPRE and ESG are part of the so-called "GRUPO APELLÁNIZ," which emerged in 1917 and is currently dedicated to metal fittings, hot galvanizing and centrifuging, and prefabricated concrete.</w:t>
      </w:r>
    </w:p>
    <w:p>
      <w:r>
        <w:t xml:space="preserve">RUBIERA PREDISA S.L. (RUBIERA)  </w:t>
        <w:br/>
        <w:t xml:space="preserve">RUBIERA was established in 2006, with the corporate purpose of manufacturing and selling prefabricated concrete products, including concrete poles.  </w:t>
        <w:br/>
        <w:t>Its registered office is located in Gijón.</w:t>
      </w:r>
    </w:p>
    <w:p>
      <w:r>
        <w:t xml:space="preserve">MARKET CHARACTERIZATION  </w:t>
        <w:br/>
        <w:t xml:space="preserve">2.1. Definition of market  </w:t>
        <w:br/>
        <w:t xml:space="preserve">This Chamber agrees with the market definition made by the Competition Directorate in its Resolution Proposal, in which it concludes that the investigated agreements would cover the markets for the manufacture and sale of prefabricated concrete products. In particular, within the mentioned market, the products of concrete poles, manholes, covers, and chambers.  </w:t>
        <w:br/>
        <w:t xml:space="preserve">According to community precedents7, four distinct concrete markets can be identified based on the characteristics and applications of the product.  </w:t>
        <w:br/>
        <w:t>Ready-mixed concrete, which is usually mixed beforehand in specific facilities and then transported in special vehicles (mixers) to the place where it will be used. This product, which is normally transformed in large volumes, is used as a base for in-situ molded concrete constructions, is supplied and sold semi-wet, and is a perishable product.</w:t>
      </w:r>
    </w:p>
    <w:p>
      <w:r>
        <w:t>7 Among others: IV/M.180 TARMAC /STEETLEY; IV/M. 460 HOLDERCIM / CEDEST; IV/M.1030 LAFARGE /REDLAND; IV/M.1157 SKANSKA /SCANCEM; IV/M.1759 RMC/RUGBY; and IV/M.1874 LAFARGE /BLUE CIRCLE</w:t>
      </w:r>
    </w:p>
    <w:p>
      <w:r>
        <w:rPr>
          <w:b/>
        </w:rPr>
        <w:t>[Pages 7–9]</w:t>
      </w:r>
    </w:p>
    <w:p>
      <w:r>
        <w:t xml:space="preserve">concrete for molded constructions on-site, is supplied and sold semi-wet, and is a perishable product.  </w:t>
        <w:br/>
        <w:t>7 Among others: IV/M.180 TARMAC /STEETLEY; IV/M. 460 HOLDERCIM / CEDEST; IV/M.1030 LAFARGE /REDLAND; IV/M.1157 SKANSKA /SCANCEM; IV/M.1759 RMC/RUGBY; and IV/M.1874 LAFARGE /BLUE CIRCLE</w:t>
      </w:r>
    </w:p>
    <w:p>
      <w:r>
        <w:t xml:space="preserve">The concrete mixed on-site or at the location where it will be used, for which the end user simply mixes the cement packed in bags with aggregates, water, and additives. This is a labor-intensive activity, and the concrete obtained does not present a homogeneous quality except in large works, usually public works, where concrete plants comparable to those of the usual suppliers are installed. This type of mix is mainly used when speed and quality are not important factors and when the required volumes are relatively limited.  </w:t>
        <w:br/>
        <w:t xml:space="preserve">Dry concrete or dry mortar is a more elaborate form of on-site concrete, as it is a pre-mixed product to which only water needs to be added. Dry mortar is made according to specific compositions, presenting a homogeneous quality. Furthermore, it offers the user a greater degree of flexibility by allowing them to foresee in advance the moment when the exact quantities of the product are needed. However, it is a much more expensive product, mainly used when small quantities of higher quality product are required.  </w:t>
        <w:br/>
        <w:t xml:space="preserve">Concrete in prefabricated elements is used in certain applications and can also incorporate other prefabricated products. Within the category of prefabricated concrete, it is possible to distinguish segments of prefabricated pillars, beams and joists, safety barriers on roads, containers, railway sleepers, as well as blocks and elements for building construction.  </w:t>
        <w:br/>
        <w:t xml:space="preserve">A prefabricated concrete product is a piece manufactured in a fixed production plant using concrete as the fundamental material. Once manufactured, the product can be stored until the moment of its delivery on-site.  </w:t>
        <w:br/>
        <w:t xml:space="preserve">A concrete post is a column of that material placed vertically to serve as support. There are 4 types of concrete posts:  </w:t>
        <w:br/>
        <w:t xml:space="preserve">Reinforced concrete post: this type of post is the most commonly used in low voltage electricity networks. The main advantage of this type of post is its unlimited durability and the fact that it requires no maintenance. The main disadvantage is the price compared to wooden posts, and that being heavier increases transportation costs.  </w:t>
        <w:br/>
        <w:t xml:space="preserve">Vibrated reinforced concrete posts: this type of post is manufactured to improve the qualities of reinforced concrete. They usually have a height between 7 and 18 m and their section is rectangular or in the shape of a double T. The main advantage of this type of post (which makes them the most used) is that they can be manufactured at the site of their installation, thus saving transportation costs.  </w:t>
        <w:br/>
        <w:t xml:space="preserve">Centrifuged reinforced concrete posts: this type of post is used in railway electrifications, in rural low and high voltage lines, including 220 KV lines, and in masts for outdoor lighting (in the old regulation called public lighting). Additionally, in combination with several posts, configurations of supports at angles, derivations, anchoring, etc., can be made. They are not used in hard-to-access places precisely because their manufacture cannot be carried out in provisional workshops.  </w:t>
        <w:br/>
        <w:t xml:space="preserve">Pretensioned reinforced concrete posts: these are concrete posts intentionally subjected to prior compressive stresses before being put into service. These stresses are achieved through steel cables that are tensioned and anchored to the concrete. This type of post is increasingly used as its price is much more economical than that of ordinary concrete.  </w:t>
        <w:br/>
        <w:t xml:space="preserve">A manhole is a small chamber used to receive, link, and distribute underground conduits or pipes; they are usually buried and have a top cover to allow for inspection and cleaning of their interior from impurities. They are used in sewage networks, drinking water, and irrigation, as well as in electricity distribution networks and other wired services, such as telecommunications. This manhole is covered with a concrete lid.  </w:t>
        <w:br/>
        <w:t xml:space="preserve">Concrete chambers, for their part, are intended for different uses, such as chambers for telecommunications equipment, chambers for electrical lines, or railway chambers.  </w:t>
        <w:br/>
        <w:t xml:space="preserve">Regarding geographical scope, the concrete market has been defined by the European Commission as a basically local market, although in some cases it has been delineated as a regional or national market due to the overlap or intersection that could occur between local markets with homogeneous competitive conditions.  </w:t>
        <w:br/>
        <w:t xml:space="preserve">Regarding prefabricated concrete products, the Commission has considered that the market did not exceed the national scope. Likewise, the investigation carried out by the Commission revealed that the structure of supply, price levels, and other competitive conditions did not differ significantly within each country.  </w:t>
        <w:br/>
        <w:t xml:space="preserve">Regulatory framework and market operation  </w:t>
        <w:br/>
        <w:t xml:space="preserve">The prefabricated concrete market, being a sector with a certain degree of danger, has been subject to abundant regulation in order to guarantee safety in its use.  </w:t>
        <w:br/>
        <w:t xml:space="preserve">The indispensable requirement for the free marketing and use of a product in all countries of the European Union is the CE marking, regulated through European Directive 89/106/EEC (and its subsequent amendment Directive 93/68/EEC) and subsequently Regulation 305/2011, of March 9. The CE marking establishes minimum safety levels below which no manufacturer can be placed, provided it has been established as mandatory. Prefabricated concrete products are directly or indirectly affected by almost 60 harmonized standards, with possession of the CE marking already being mandatory in most cases.  </w:t>
        <w:br/>
        <w:t xml:space="preserve">The regulatory framework that establishes the requirements that concrete structures must meet to satisfy structural safety and fire safety requirements is provided by the Structural Concrete Instruction EHE-08. The aforementioned Instruction also includes environmental protection regulations and provides procedures that allow for the demonstration of safety compliance with sufficient technical guarantees.  </w:t>
        <w:br/>
        <w:t xml:space="preserve">Furthermore, the EHE-08 implies the incorporation into the regulations of structures built with prefabricated elements, defining specific requirements for these products in the stages of calculation, control, and execution. It also allows the prefabricator to voluntarily obtain an Officially Recognized Quality Distinction (D.O.R.) that allows certain special considerations to be applied, such as the reduction of partial safety coefficients for concrete and steel, with the consequent improvement in the relationship between mechanical performance and materials used.  </w:t>
        <w:br/>
        <w:t xml:space="preserve">On the other hand, at the European level, a comprehensive program of standards has been developed that includes common methods for calculating and sizing structures, the Structural Eurocodes, all within the European Standardization Technical Committee CEN/TC 250, whose national mirror committee is AEN/CTN 140. In particular, the Eurocode that refers to the calculation of concrete structures is EC2.  </w:t>
        <w:br/>
        <w:t xml:space="preserve">Finally, the Technical Building Code represents the regulatory framework that regulates the basic quality requirements that buildings, including their installations, must meet to satisfy the basic requirements of safety and habitability, and is mandatory in new construction works, as well as in works of expansion, modification, reform, or rehabilitation carried out in existing buildings.  </w:t>
        <w:br/>
        <w:t>The supply of prefabricated concrete in our country is very fragmented. The National Association of the Prefabricated Concrete Industry (ANDECE) groups more than 200 members, representing around 70% of the business volume of its industrial sector. In the field of building and tenders, between January 2013 and January 2014, there was an increase of 192% in them, focusing mainly on an increase in demand from the Central Administration. By types of works, the extremely high increase in public housing tenders stands out, which rises from 2 million euros in January 2013 to 37 million euros in January 2014. The rest of the building also records increases in tenders, except for healthcare and industrial. Regarding the</w:t>
      </w:r>
    </w:p>
    <w:p>
      <w:r>
        <w:rPr>
          <w:b/>
        </w:rPr>
        <w:t>[Pages 10–12]</w:t>
      </w:r>
    </w:p>
    <w:p>
      <w:r>
        <w:t>composition of the offer, prefabricated products for construction represent 58% of the total, prefabricated civil works 36%, and products for urbanization and services the remaining 6%.</w:t>
      </w:r>
    </w:p>
    <w:p>
      <w:r>
        <w:t>In addition to manufacturers of prefabricated concrete, wholesalers of prefabricated concrete also operate within the market. Concrete warehouses are centers where products are stored once manufactured, awaiting sale. This function can be carried out either by the manufacturers themselves or by third-party companies, which subsequently take charge of the sale.</w:t>
      </w:r>
    </w:p>
    <w:p>
      <w:r>
        <w:t>The demand for prefabricated concrete primarily comes from occasional customers and large clients.</w:t>
      </w:r>
    </w:p>
    <w:p>
      <w:r>
        <w:t>Occasional customers usually purchase small quantities at the factory, with the purchase of modular prefabricated concrete for building construction having spread over the last decade, both for individual use (houses and residential buildings) and for work and public use (offices, schools, or sports complexes, among others).</w:t>
      </w:r>
    </w:p>
    <w:p>
      <w:r>
        <w:t>Large clients of prefabricated concrete are usually telecommunications and electricity companies, which hold auctions to supply themselves with certain prefabricated concrete products.</w:t>
      </w:r>
    </w:p>
    <w:p>
      <w:r>
        <w:t xml:space="preserve">PROVEN FACTS </w:t>
        <w:br/>
        <w:t>Considering the information contained in the file, the Competition Chamber of the CNMC Council considers it established that the companies involved have developed multiple initiatives to coordinate their commercial actions in the prefabricated concrete market between the years 1985 and 2013.</w:t>
      </w:r>
    </w:p>
    <w:p>
      <w:r>
        <w:t>The proven facts in the file demonstrate the existence of agreements and exchanges of information related to various prefabricated concrete products, such as posts, covers, chambers, and manholes, carried out by the companies POSTELÉCTRICA FABRICACIÓN, ROMERO HORMELEC, ADHORNA PREFABRICACIÓN, PREPHOR, XEIXALVO, APLIHORSA, RUBIERA, and BUPRE, during the years 1985 to 2013. The conduct carried out by the aforementioned companies would have included price-fixing agreements, exchange of sensitive commercial information, allocation of auctions among several companies, as well as market sharing.</w:t>
      </w:r>
    </w:p>
    <w:p>
      <w:r>
        <w:t>Most agreements would have been multilateral in nature, although it should be added that there were bilateral contacts and agreements between the companies, such as those between the entities ROMERO HORMELEC and POSTELÉCTRICA FABRICACIÓN, which would have conducted contacts outside of the other involved companies.</w:t>
      </w:r>
    </w:p>
    <w:p>
      <w:r>
        <w:t>There is a multitude of information in the file obtained by the Competition Directorate during the investigation of the procedure that proves the existence of the described conduct. Below, only a part of the mentioned information is presented, although this Chamber considers that it is sufficient to demonstrate the existence of the described conduct and the participation of the companies therein.</w:t>
      </w:r>
    </w:p>
    <w:p>
      <w:r>
        <w:t xml:space="preserve">Agreements and exchanges of information related to the sale of prefabricated concrete posts </w:t>
        <w:br/>
        <w:t>During the period 1985-2001, contacts occur between different prefabricated concrete companies which agree regarding concrete posts to set prices and commercial conditions, exchange commercial information, and divide the market.</w:t>
      </w:r>
    </w:p>
    <w:p>
      <w:r>
        <w:t>The agreements during this period are not stable, with a series of companies participating consistently (POSTELÉCTRICA FABRICACIÓN, POSTES NERVIÓN (later ADHORNA), ROMERO, HORMELEC, which after their merger in 1996 are called ROMERO HORMELEC and PREPHOR. XEIXALVO is involved in the agreements starting in 1988, participating consistently since then. Finally, APLIHORSA participates in them between 1988 and 1994, leaving the group between 1995 and 2000, and reintegrating thereafter.</w:t>
      </w:r>
    </w:p>
    <w:p>
      <w:r>
        <w:t>In 1985, POSTELÉCTRICA FABRICACIÓN, POSTES NERVIÓN, ROMERO, PREPHOR, and HORMELEC draft a "Report" in which they already consider the possibility of establishing a relationship among the different producers of concrete posts, being aware of its illicit nature ["(...) the agreements or arrangements made by all members that do not imply an active defense of the interests of the sector must be considered UNLAWFUL, so ultimately, they cannot be written and reliance must be placed on the gentlemen's agreement"] (folio 854). This report would be completed with a "market study," in which quotas, prices, and sales conditions are established, and means of joint action against other competing companies are collected. The companies provide sensitive commercial information, such as prices by product type for the preparation of said report.</w:t>
      </w:r>
    </w:p>
    <w:p>
      <w:r>
        <w:t xml:space="preserve">In the "Annex" to the aforementioned report, it is agreed to carry out a “market study,” which will begin on July 1, 1985, and "will last for two and a half years" (folio 862). This study involves: </w:t>
        <w:br/>
        <w:t xml:space="preserve">The companies agree on quotas that cannot be exceeded: "In this meeting, all operations that disrupt the expected incidence data will be examined, in order to correct these quotas as appropriate" (folio 867). </w:t>
        <w:br/>
        <w:t xml:space="preserve">Setting prices and sales conditions: "Special financing, discounts, hidden rebates, etc. are strictly prohibited" (folio 865). It is also established that “violations of agreed prices and other conditions will be penalized” (folio 871). </w:t>
        <w:br/>
        <w:t xml:space="preserve">Point 15 of the Annex titled “Joint Action Against Competition” states: “When it is deemed appropriate to take action against competition by a Group or by all that involves the breach of any of the specifications discussed here, the decision must be made unanimously” (folio 873). </w:t>
        <w:br/>
        <w:t xml:space="preserve">Creating a Guarantee Fund “for the correction of possible defects that cannot be addressed by better means,” with contributions from each Group (folio 872). </w:t>
        <w:br/>
        <w:t>Exchanging information: "Ordinarily, monthly, initially on the second Tuesday of each month, the members of the Study Team will hold a meeting in which they will provide data on manufactured pieces, the last number, and the pieces withdrawn from each of the factories, as well as the exchanges of pieces that take place among them" (folio 866). All these data will also be controlled: "A verification of the Factories by Group of pieces will be carried out (...). If during the duration of this study suspicions of discrepancies arise (...) it will be presented at the first meeting held and (...) a Commission will be appointed to carry out all necessary verifications to clarify the data" (folio 867). Penalties for concealing pieces are also established (folio 869).</w:t>
      </w:r>
    </w:p>
    <w:p>
      <w:r>
        <w:t xml:space="preserve">In turn, in the “Annex-P” are included: </w:t>
        <w:br/>
        <w:t xml:space="preserve">In it, signatures accompanied by initials are observed: “J.A.”, “J.J.”, “R.A.”, “M.V.”, and “L.M.” </w:t>
        <w:br/>
        <w:t xml:space="preserve">The section 3 (“Market to be studied”) of this annex establishes the following: “The market to be studied refers to the following Groups of pieces, classified by their estimated incidence in the future market, in % of the same </w:t>
        <w:br/>
        <w:t xml:space="preserve">Group 1 … 36.94 </w:t>
        <w:br/>
        <w:t xml:space="preserve">Group 2 … 22.43 </w:t>
        <w:br/>
        <w:t xml:space="preserve">Group 3 … 13.70 </w:t>
        <w:br/>
        <w:t xml:space="preserve">Group 4 … 15.93 </w:t>
        <w:br/>
        <w:t xml:space="preserve">Group 5 … 11.00 </w:t>
        <w:br/>
        <w:t xml:space="preserve">Types of pieces destined for markets outside the national territory are excluded from this study. </w:t>
        <w:br/>
        <w:t>If at the end of each studied period the incidence quotas of any Group have exceeded the base data of the initial study, an in-depth analysis will be carried out in order to correct the imbalances that have been incorrectly manifested. In this sense, the differences in incidence will be allocated to those Groups that have been improperly assigned by default, reducing those of the Groups that are in excess.” (folios 862, 863)</w:t>
      </w:r>
    </w:p>
    <w:p>
      <w:r>
        <w:rPr>
          <w:b/>
        </w:rPr>
        <w:t>[Pages 13–15]</w:t>
      </w:r>
    </w:p>
    <w:p>
      <w:r>
        <w:t xml:space="preserve">Price lists by product type that include the following columns: "Minimum, PN, R, PR, PO, HO" (folios 875-877). </w:t>
        <w:br/>
        <w:t xml:space="preserve">Conditions related to transportation: transportation price per trip based on tons, and specific prices for certain clients (folio 878). </w:t>
        <w:br/>
        <w:t xml:space="preserve">Weights of the posts (folio 879). </w:t>
        <w:br/>
        <w:t xml:space="preserve">General sales conditions (folio 880). </w:t>
        <w:br/>
        <w:t xml:space="preserve">In 1988, two new companies, XEIXALVO and APLIHORSA, join POSTELÉCTRICA FABRICACIÓN, POSTES NERVIÓN, ROMERO, PREPHOR, and HORMELEC, reaching various agreements through numerous periodic meetings. The participation of XEIXALVO in the agreement will be continuous from this year onwards. The participation of APLIHORSA will develop continuously between 1988 and 1994. The participation of APLIHORSA in the agreements resumes from 2009, with a brief participation between 2000 and 2001. </w:t>
        <w:br/>
        <w:t xml:space="preserve">The agreements reached during the period 1988 - 1994 focus on the price-fixing of prefabricated concrete products, the establishment of commercial conditions and prices to be charged for both final sale prefabricated concrete and for wholesalers, as well as the establishment of a monitoring system for compliance with the agreements. </w:t>
        <w:br/>
        <w:t xml:space="preserve">On May 17, 1988, a new agreement was reached for pieces intended for the national market under terms similar to those previously described, as evidenced by the document titled ANNEX I. This agreement "will last until December 31, 1990," with its start date being May 1, 1988 (folio 832). In particular, the quotas of six participants identified by numbers 1 to 615 appear. </w:t>
        <w:br/>
        <w:t xml:space="preserve">The document includes the following: "It is agreed to establish base general conditions that will include: Minimum rates, Collection modalities, and Minimum transportation prices" (folio 833), as well as the establishment of quotas for the participants. Among the "Base Conditions" of the agreement is the following: "Efforts will be made to respect the traditional clients of each participant and aggressive competition for their displacement will not be established" (folio 833). </w:t>
        <w:br/>
        <w:t xml:space="preserve">It is also agreed that at the start date of the agreement, each participant will provide the number of pieces stored in the factory and in the monthly meetings the number of pieces manufactured, removed from each factory, and exchanged, also foreseeing (i) the possibility of conducting inspections in the warehouses of each participant's factories (folio 834) and (ii) penalties for non-compliance (folios 836-838). Likewise, similar provisions to those of the 1985 agreement are established regarding the creation of a guarantee fund (so that the participant who fails to comply with the penalties loses their contribution to it, folio 838), the treatment of defaulters (folio 839), and actions against competition (folio 839). Furthermore, it is agreed to record the minutes of each meeting in which the agreements made are noted (folio 839). </w:t>
        <w:br/>
        <w:t xml:space="preserve">Regarding offers, it is established that they "will be made at the list prices of each participant plus transportation, and in those awarded at the table, only the awardee may lower the price, and in any case, must comply with their guarantee price plus transportation" (folio 835). The agreement includes an annex ("ANNEX II") which in turn consists of "Price Lists" (folio 841). </w:t>
        <w:br/>
        <w:t xml:space="preserve">In a document from November 1988, an agreement is recorded between POSTELÉCTRICA FABRICACIÓN, POSTES NERVIÓN, HORMELEC, PREPHOR, ROMERO, XEIXALVO, and APLIHORSA (identified by numbers 1 to 7. See Annex I) titled "Operating Rules," which contains agreements very similar to those described (from 1985 and from May 17, 1988), although in this agreement "the start date for prices in the market is 11.11.88. The start date for monitoring the stocks of the participants, and the entries and exits of pieces, is 1.1.89." Thus, similarly to the cited documents, "It is agreed to establish base general conditions that will include minimum rates, collection modalities, and minimum transportation prices" (folio 812), in addition to establishing periodic inspections (introducing surprise visits and a route for this purpose) (folio 814), penalties and corrections, and distribution of offers (folios 812 to 817). In the annex to this agreement, prices are also set (folio 819). It also contains provisions similar to those of previous agreements regarding the treatment of defaulters and actions against competition. </w:t>
        <w:br/>
        <w:t xml:space="preserve">From this same month, there is evidence of a meeting held on November 11, 1988, through a record (titled "Postes Meeting - 11.11.88") in which new prices are set: "From now on, the prices are those of the 1988 tariff + transportation" (folio 827), establishing the allocation of the guarantee fund, agreeing that the maximum payment term is 120 days. The executives are also asked to propose quotas. Likewise, regarding APLIHORSA, it is established: "these prices are valid for everyone if APLIHORSA agrees" (…) "If there is an agreement with APLIHORSA that A.P.H. sets the prices of U.F. and if there is no agreement, we will meet again immediately to review the prices." At the end of this document, there are 7 signatures and handwritten the following names next to each of these signatures: [XXX], [XXX], [XXX], [XXX], [XXX], [XXX], and [XXX], who are the representatives of the participating companies in the meeting (folio 827). </w:t>
        <w:br/>
        <w:t xml:space="preserve">Subsequently, in 1989, and with the presence of APLIHORSA, the companies exchange the prices of their concrete posts and establish penalties for those companies that do not apply the agreements. </w:t>
        <w:br/>
        <w:t xml:space="preserve">Evidence of this is the handwritten meeting record dated February 9, 1989 (titled "Meeting 9-II-89"), in which prices are set in two lists: the general list (denominated "P") and the electrical list (denominated "E"): "The general list is the "P" divided by 0.95" from that same month: "The lists must be in the entire market before 28.02.89. From 08.03.89 no orders can be accepted below the list "E", Set. Elec. or the "P" rest." At the end of this document, there are seven approvals (folio 828). </w:t>
        <w:br/>
        <w:t xml:space="preserve">The companies also carried out various penalties and settlements related to the common fund, not without controversy among the participants (folios 907-913). Thus, certain notes regarding the settlements of the years 1989 (settlement of January 1990, where numbers 1 to 6 appear), 1990 (settlement of January 1991 which only refers to numbers 2 and 5), and 1991 (which refers to numbers 1, 2, 3, 5, and 7) are sent by fax to ROMERO HORMELEC. Likewise, in the handwritten document (folio 913) collected at the headquarters of ROMERO HORMELEC and whose header reads "CA[...] PENALTIES AND COMMON FUND YEAR 1989," the following explicitly appear: 1 POSTELÉCTRICA, 2 NERVION, 3 HORMELEC, 4 PREPHOR, 5 ROMERO, and 6 XEIXALVO, along with dates, the number of posts, and the resulting penalties. </w:t>
        <w:br/>
        <w:t xml:space="preserve">The most relevant of the agreements reached during this period dates back to 1993, in which POSTELÉCTRICA FABRICACIÓN, POSTES NERVIÓN, ROMERO, PREPHOR, HORMELEC, XEIXALVO, and APLIHORSA agree to limit production, set prices, exchange sensitive data, and establish the operational bases of the agreement, by establishing monitoring systems, among others. </w:t>
        <w:br/>
        <w:t>Indeed, on October 1, 1993, the aforementioned companies sign a document titled "BASES" by which they reach a series of commitments: "The signing business entities have reached the following commitments: Limit production and consequently sales to certain quotas of the national market (except the Canary Islands) constantly seeking balance and distributing their sales among certain clients according to certain rules (...).</w:t>
      </w:r>
    </w:p>
    <w:p>
      <w:r>
        <w:rPr>
          <w:b/>
        </w:rPr>
        <w:t>[Pages 16–18]</w:t>
      </w:r>
    </w:p>
    <w:p>
      <w:r>
        <w:t>Respect the application of certain prices for certain services that will be set unanimously in certain geographical areas and contracting circumstances (...)." (folio 785)</w:t>
      </w:r>
    </w:p>
    <w:p>
      <w:r>
        <w:t>Furthermore, according to this document, they commit to:</w:t>
      </w:r>
    </w:p>
    <w:p>
      <w:r>
        <w:t>Provide data that allows for the verification of compliance with what was agreed.</w:t>
      </w:r>
    </w:p>
    <w:p>
      <w:r>
        <w:t>Apply a corrective mechanism based on the monthly quota obtained compared to the one agreed for each "signatory business entity" (identified by numbers 1 to 7) through certain economic transactions (if they exceed their monthly quota, they buy, and if they do not reach it, they sell).</w:t>
      </w:r>
    </w:p>
    <w:p>
      <w:r>
        <w:t>The "organizational elements"19 (folios 786-789), the "operational bodies"20 (folios 790-792), and the "monitoring elements" (which include the Commission of Fundamentals and the External Audit; folios 792-793) and the "development instruments"21 (folios 793-794) are also agreed upon.</w:t>
      </w:r>
    </w:p>
    <w:p>
      <w:r>
        <w:t>Finally, "to guarantee the stability of the agreement and the payments, a Company formed by all the participating Business Entities" is created, named LACOM (folios 794-795). Thus, with the contributions of each company to LACOM, "compliance with the penalties is guaranteed." Regarding the quota, it is established that "LACOM buys each month, by order, the number of deficit posts from the manufacturers who do not reach their quota and sells the same number (surplus) to the manufacturers with excess quota at the same price that will be the sector price for that month."</w:t>
      </w:r>
    </w:p>
    <w:p>
      <w:r>
        <w:t>On October 5 and 6, 1993, according to the meeting minutes contained in the file (titled "Meeting days 5-6 October 1993"), the quotas that the participants must comply with in their institutional market22 are set, establishing the guidelines to follow when participating in the tenders: "The institutional market represents X% of the total market. (…) It is set as a goal that all manufacturers participate with X% of their quota in the institutional market. (…) To differentiate the institutional offers, a minimum of 2% is considered for that company that must stand out over the other bidders to be awarded a greater share" (folio 771). In that same meeting, the "executives who carry a certain degree of authority and are: The Assembly, The Conflict and Arbitration Commission, and the Regulatory Board" are included.</w:t>
      </w:r>
    </w:p>
    <w:p>
      <w:r>
        <w:t>20 They include (i) the Pricing Commission, which deals with "formation and formulation of prices, sales conditions, treatment of defaulters, treatment of intermediaries in sales"; (ii) the Control Commission, which "deals with adapting the monthly production of the whole and of the individual signatories to the variable market demand," making allocations and calculating the economic value of the compensations to LACOM; and (iii) the Transport Commission, which studies the distribution system of requests in the most economical way avoiding product flows through exchanges.</w:t>
      </w:r>
    </w:p>
    <w:p>
      <w:r>
        <w:t>21 Coercive elements "in the philosophy that makes non-compliance very difficult and provides the necessary peace of mind," which include: "a numbered plate that will accompany each unit limiting production to the total number that the market absorbs"; an external audit and the buy-sell agreements.</w:t>
      </w:r>
    </w:p>
    <w:p>
      <w:r>
        <w:t>22 According to a document obtained at the Zaragoza headquarters of ROMERO HORMELEC and dated February 22, 1996, the following are considered institutional clients: Telefónica, Iberdrola, Cantábrico, Enher, Gesa, Unión Fenosa, Sevillana, Viesgo, Fecsa, and E.R.Z. (folio 922)</w:t>
      </w:r>
    </w:p>
    <w:p>
      <w:r>
        <w:t>A participation table for the year 1994 was approved as an annex to the minutes, by which the companies shared the institutional orders and set their quotas for that year, in which the names of "Posteléctrica, Aplicaciones, P. Nervión, Hormelec, Prephor, P. Romero, and P. Xeixalvo" are handwritten, and various clients (U.F., Telefónica, Iberdrola, Sevillana, etc.) are listed as columns (folios 772 to 773). Thus, they agree on who will prepare the offer based on the client in question, and that whoever is displaced "will be supported in other tenders."</w:t>
      </w:r>
    </w:p>
    <w:p>
      <w:r>
        <w:t>Through these agreements, and during this period, POSTELÉCTRICA FABRICACIÓN, POSTES NERVIÓN, ROMERO, PREPHOR, HORMELEC, XEIXALVO, and APLIHORSA directly and determinately influenced the concrete posts market.</w:t>
      </w:r>
    </w:p>
    <w:p>
      <w:r>
        <w:t>Between 1995 and 2000, POSTELÉCTRICA FABRICACIÓN, POSTES NERVIÓN, ROMERO, PREPHOR, HORMELEC, and XEIXALVO continued to hold periodic meetings, as shown by the documentation contained in the file. The merger of POSTES ROMERO S.A. and HORMIGÓN Y ELECTRICIDAD S.A. does not alter the behavior, appearing in the meeting minutes the new company, ROMERO HORMELEC, taking over from the two previous ones.</w:t>
      </w:r>
    </w:p>
    <w:p>
      <w:r>
        <w:t>In 1995, according to a document found at the Zaragoza headquarters of POSTELÉCTRICA FABRICACIÓN titled "Agreements 1995," this same company, POSTES NERVIÓN, HORMELEC, PREPHOR, ROMERO, XEIXALVO, and APLIHORSA23 reached a new agreement: "In order to properly regulate the situation of the National Concrete Post Market (…) the Manufacturers present in this agreement voluntarily and mandatorily decide and assume the following points." The start date of the agreement is June 1, 1995, and its duration extends "until December 31, 1998" (folio 774).</w:t>
      </w:r>
    </w:p>
    <w:p>
      <w:r>
        <w:t>In it, of a similar tenor to the previous agreements, quotas are set ("it is agreed to establish some basic general conditions that will include: Minimum Rates, Payment Modalities, and Minimum Transport Prices"), the exchange of sensitive commercial information is established, and inspections are agreed upon to ensure compliance with what was agreed, also setting penalties in case of non-compliance and a compensation system financed with contributions to the Compensation Fund. Offers24 are also regulated, and reference is made to respecting "the traditional clients of each company," to the agreement not to supply to defaulting clients, and to the need for unanimous approval of actions against competition that involve breaching what was agreed (folios 774 to 780).</w:t>
      </w:r>
    </w:p>
    <w:p>
      <w:r>
        <w:t>23 They are identified in this agreement (folio 774) with the initials: "PSA, PN, HOR, PRE, ROM, XEI, APL". According to the "Proposal to reactivate the agreements," sent by email on April 18, 2011, by [XXX to XXX, XXX, XXX, XXX, XXX, XXX, and XXX], the document was drafted by POSTES NERVIÓN: "These agreements did not work and were REACTIVATED on 01/08/1995 with a document prepared by PN" (folio 2963).</w:t>
      </w:r>
    </w:p>
    <w:p>
      <w:r>
        <w:t>24 "They will be made at the prices of each Company's list plus transport, and in those awarded at the table, only the awardee may lower the price, having to comply in any case with their guaranteed price plus transport" (folio 776).</w:t>
      </w:r>
    </w:p>
    <w:p>
      <w:r>
        <w:t>On February 22, 1996, a new agreement was signed, obtained at the Zaragoza headquarters of ROMERO HORMELEC, between POSTELÉCTRICA FABRICACIÓN, POSTES NERVIÓN, HORMELEC, PREPHOR, ROMERO, XEIXALVO, and APLIHORSA25 to regulate the market, set prices, and establish the conditions for applying the correction system.</w:t>
      </w:r>
    </w:p>
    <w:p>
      <w:r>
        <w:t>In these years, the actions expand to the tenders of other large companies, such as Unión Fenosa, Iberdrola, or ERZ. Thus, POSTELÉCTRICA FABRICACIÓN, POSTES NERVIÓN, ROMERO, PREPHOR, HORMELEC, and XEIXALVO exchange price lists and sensitive commercial information in order to organize themselves for the various auctions that take place.</w:t>
      </w:r>
    </w:p>
    <w:p>
      <w:r>
        <w:t>In 1997, price exchanges between companies were recorded as evidenced by the fax sent by PREPHOR "To A/A ENRIQUE" dated May 21, which contains a factory price table for different types of posts according to "UNIÓN FENOSA Designation" and according to "IBERDROLA Designation," titled "Hollow Vibrated Reinforced Concrete Posts" (folio 297), found at the Madrid headquarters of ROMERO HORMELEC.</w:t>
      </w:r>
    </w:p>
    <w:p>
      <w:r>
        <w:t>On July 6, 1998, APLIHORSA, according to a fax found at the Madrid headquarters of ROMERO HORMELEC26, sends its price list to this latter company, also giving instructions for price setting: "Attached I send you the price list for HVH posts, on this list you can apply a 5% discount." In said fax, there is a handwritten note: "10% Mr. [confidential]. 7-7-98" (folio 305).</w:t>
      </w:r>
    </w:p>
    <w:p>
      <w:r>
        <w:t>From this same year, there is a document that shows a price table to be offered to ENDESA with the handwritten note: "Madrid, August 5, 1998. PRICES AGREED AT THE TABLE" (folio 1017). The participating companies also exchange consumption estimates and unit prices of the posts to be sold during the years 1998, 1999, and 2000 (folios 1019 to 1052), according to tables found at the Zaragoza headquarters of ROMERO HORMELEC, which is consistent with the agreements on exchanges of information regarding prices and offers, as has been stated. From this same year is a comparative table of the prices offered by the companies, including APLIHORSA (folio 1053).</w:t>
      </w:r>
    </w:p>
    <w:p>
      <w:r>
        <w:t>From this moment on, the code of numbers changes27, so that number 1 corresponds to POSTELÉCTRICA FABRICACIÓN, number 2 to POSTES NERVIÓN, number 3 to ROMERO HORMELEC, number 4 to PREPHOR, number 5 to XEIXALVO, and number 6 to APLIHORSA.</w:t>
      </w:r>
    </w:p>
    <w:p>
      <w:r>
        <w:t>In 1999, several tables titled "Post Offer from H. to Iberdrola" appear in the file, subtitled respectively "Posteléctrica Offer-99," "Offer</w:t>
      </w:r>
    </w:p>
    <w:p>
      <w:r>
        <w:rPr>
          <w:b/>
        </w:rPr>
        <w:t>[Pages 19–21]</w:t>
      </w:r>
    </w:p>
    <w:p>
      <w:r>
        <w:t>P.Nervion-99”, “Romero-Hormelec-99”, “Prephor-99”, “Xeixalvo-99” and “Aplihorsa-99” (folios 1074 to 1079, found at the Zaragoza headquarters of ROMERO HORMELEC). All of them follow the same scheme, with the following columns by type of pole: “quantity”, “offer 1995”, “offer 1996”, “award 1996” and “Offer 1999”.</w:t>
      </w:r>
    </w:p>
    <w:p>
      <w:r>
        <w:t>On October 16, 2000, POSTELÉCTRICA, ADHORNA, POSTES NERVIÓN, ROMERO HORMELEC, PREPHOR, XEIXALVO, and APLIHORSA28 agreed, according to a meeting record collected at the Zaragoza headquarters of ROMERO HORMELEC, on the distribution of quotas for private and institutional clients, set the compensations to be made, the prices to be established, and the maximum discounts to be applied. Likewise, this document records the dates of four previous meetings (July 13, July 27, September 12, and September 28, all in the year 2000).</w:t>
      </w:r>
    </w:p>
    <w:p>
      <w:r>
        <w:t>On November 16, 2001, [XXX], on behalf of ROMERO HORMELEC, sent an email to [XXX, XXX, XXX, XXX, and XXX], representatives of ROMERO HORMELEC, POSTES NERVIÓN, APLIHORSA, POSTELÉCTRICA FABRICACIÓN, and APLIHORSA, respectively, with the subject “BASES PARA NUEVOS ACUERDOS”. The body of the email states: "In fulfillment of my commitment from the last meeting, I am attaching a proposal for "BASES PARA LA ACTUALIZACIÓN DE LOS ACUERDOS". The two premises I have started from have been: a) Respect the historical quotas of the institutions and the currently existing compensation system so that this market is fair for all. b) Bring the quotas of individuals closer to the actual market ones with softer compensations" (folio 764).</w:t>
      </w:r>
    </w:p>
    <w:p>
      <w:r>
        <w:t>In 2002, the agreements between the different companies in the precast concrete sector break down. The agreements between the companies break down in 2002 ("the agreements have broken due to circumstances that TENSION the situation", particularly due to the differences between the "agreed quotas and the reality of the market" (folio 3187), but are resumed shortly after, in 2003.</w:t>
      </w:r>
    </w:p>
    <w:p>
      <w:r>
        <w:t>In 2003, the agreements between different companies in the precast concrete sector regarding price fixing and commercial conditions and the distribution of the concrete pole market are reactivated. These agreements and exchanges continue until 2013.</w:t>
      </w:r>
    </w:p>
    <w:p>
      <w:r>
        <w:t>From 2003 onwards, the documented contacts between the companies multiply, with many of the agreements and meeting minutes found in all the headquarters of the investigated companies. From this time, there is documentation that allows concluding a pattern of monthly meetings and a constant market distribution.</w:t>
      </w:r>
    </w:p>
    <w:p>
      <w:r>
        <w:t>Furthermore, the participating companies have become more stable. Between 2003 and 2005, POSTELÉCTRICA FABRICACIÓN, ROMERO HORMELEC, PREPHOR, POSTES NERVIÓN, and XEIXALVO appear as part of the agreements. Between 2006 and 2008, there are agreements among these five companies, with the occasional attendance of APLIHORSA at the meetings. From 2009 until 2011, POSTELÉCTRICA FABRICACIÓN, ROMERO HORMELEC, PREPHOR, POSTES NERVIÓN, APLIHORSA, and XEIXALVO maintain stable agreements. From 2012, agreements are recorded between POSTELÉCTRICA FABRICACIÓN, ADHORNA, PREPHOR, and ROMERO HORMELEC, with documents showing RUBIERA's participation on certain occasions.</w:t>
      </w:r>
    </w:p>
    <w:p>
      <w:r>
        <w:t>Between 2003 and 2005, POSTELÉCTRICA FABRICACIÓN, ROMERO HORMELEC, PREPHOR, POSTES NERVIÓN, and XEIXALVO appear as part of the agreements. In the "Palencia Agreement of June 16, 2003", which included POSTELÉCTRICA, POSTES NERVIÓN, ROMERO HORMELEC, PREPHOR, and XEIXALVO29, found on paper at the Zaragoza headquarters of ROMERO HORMELEC, the quotas of the companies are set, the prices to be charged are adjusted, clients are allocated, and compensations are established (folios 737 to 740). The agreement was subsequently expanded and refined, allowing for the inclusion of a limitation on the production of each manufacturer.</w:t>
      </w:r>
    </w:p>
    <w:p>
      <w:r>
        <w:t>In 2004, the companies exchanged data on production, sales, and prices for the year, using templates that unified the information. The file contains the templates completed by the participating companies in the agreement during the second half of 2004, which provide disaggregated commercial data (folios 1467 to 1472, found on paper at the Palencia headquarters of POSTELÉCTRICA FABRICACIÓN; folios 1661 to 1663, found on paper at the Madrid headquarters of POSTELÉCTRICA FABRICACIÓN; and folios 3222 to 3236, 3267 to 3271, 3273 to 3279, 3286 to 3287, and 3297 to 3302, all found in electronic format at the Madrid headquarters of POSTELÉCTRICA FABRICACIÓN).</w:t>
      </w:r>
    </w:p>
    <w:p>
      <w:r>
        <w:t>Between October and December 2004, four meetings took place on October 4, October 26, November 30, and December 21, in which prices to be charged throughout the national territory and applicable discounts were continued to be set, as well as the distribution of orders from large companies (in particular, from Telefónica and UEF30) (folios 3250 to 3251, 3262 to 3264, 3284 to 3285, and 3293 to 3294, all obtained in electronic format at the Madrid headquarters of POSTELÉCTRICA FABRICACIÓN).</w:t>
      </w:r>
    </w:p>
    <w:p>
      <w:r>
        <w:t>From 2005 onwards, a notable change occurs in the agreements, in the sense that they begin to focus on information exchanges aimed at conducting auctions. Nevertheless, exchanges of prices, commercial conditions, clients, penalties, and compensations related to poles continue as well.</w:t>
      </w:r>
    </w:p>
    <w:p>
      <w:r>
        <w:t>The agreements and meetings between POSTELÉCTRICA, POSTES NERVIÓN, ROMERO HORMELEC, PREPHOR, and XEIXALVO continue throughout 2005. In this year, the companies continue their periodic meetings to set prices, share disaggregated commercial information, including prices and units sold, and distribute the auctions of large companies.</w:t>
      </w:r>
    </w:p>
    <w:p>
      <w:r>
        <w:t>Meetings between POSTELÉCTRICA, POSTES NERVIÓN, ROMERO HORMELEC, PREPHOR, and XEIXALVO occur throughout the year 2005, with documentation in the file relating to their celebration on January 25,31 March 8, March 31,32 May 10, May 24, June 21,33 July 21,34 August 29,35 September 26, September 29, October 13,36 November 15,37 and December 15 (folios 3314 to 3319, 3335, 3342-3343, 3360 to 3362, 3413 to 3414, 3416 to 3417, 3421 to 3423, 3432 to 3435, 3442 to 3445, and 3475 to 3476, found in electronic format at the Madrid headquarters of POSTELÉCTRICA FABRICACIÓN). In the meeting of March 31, they are referred to as “General table of converted roofers” (folio 3362).</w:t>
      </w:r>
    </w:p>
    <w:p>
      <w:r>
        <w:t>During 2006, the meetings between POSTELÉCTRICA FABRICACIÓN, POSTES NERVIÓN, ROMERO HORMELEC, PREPHOR, and XEIXALVO continue to develop steadily, with practically one meeting per month. In these meetings, the price fixing of the companies, the distribution of upcoming auctions, and the exchange of sensitive information are regularly observed. In particular, the documentation in the file shows the existence of meetings on February 14, March 15, April 24, and 23 of</w:t>
      </w:r>
    </w:p>
    <w:p>
      <w:r>
        <w:rPr>
          <w:b/>
        </w:rPr>
        <w:t>[Pages 22–24]</w:t>
      </w:r>
    </w:p>
    <w:p>
      <w:r>
        <w:t>May, June 22, July 26, September 14, October 17, and November 14, with POSTELÉCTRICA FABRICACIÓN, ADHORNA, ROMERO HORMELEC, PREPHOR, and XEIXALVO attending all of them, and at the meeting on November 14, APLIHORSA also attended (folios 1611, 1609, 1613, 1617 to 1619, 1621, 3521 to 3522, 3554, 3619 to 3621, 3625 to 3626, 3651).</w:t>
      </w:r>
    </w:p>
    <w:p>
      <w:r>
        <w:t>Thus, for example, at the meeting on June 22, 2006, documented from a meeting minutes found at the Madrid headquarters of POSTELÉCTRICA FABRICACIÓN, it is stated: "Number 6 accepts the proposal made to him at the previous meeting (20% Telefónica without going in 2nd position, 1st in UEF, exit from Barras and Viesgo at the end of the contract). Number 3 commits to finish distributing the previous Telefónica order with pieces or financially (...) Next meeting 20/07/06 (where Number 3 indicates)" (folios 1615 to 1616).</w:t>
      </w:r>
    </w:p>
    <w:p>
      <w:r>
        <w:t>The companies also continue to divide the market of clients they call "institutional" and make compensations among the companies when the established quotas are not met, as evidenced by numerous meeting minutes.</w:t>
      </w:r>
    </w:p>
    <w:p>
      <w:r>
        <w:t>Likewise, during the year 2007, the meetings are held monthly, as evidenced by the digital documentation obtained from the Madrid headquarters of POSTELÉCTRICA FABRICACIÓN. In these meetings, the companies set market prices and agree on their distribution. In particular, there is evidence of meetings held on January 25, March 20, April 23, May 21, June 19, July 19, September 11, October 18, and November 19 (folios 3662 to 3665, 3745, 3751, 3756, 3761 to 3763, 3783 to 3785, 3786 to 3788, and 3789 to 3791).</w:t>
      </w:r>
    </w:p>
    <w:p>
      <w:r>
        <w:t>For example, in the minutes of January 25, it is established: "A harmful drop in the supply of poles is detected. It is imposed that someone at the table stop manufacturing so that there is some business. Who volunteers? Control charts are attached, and an error of 8 pieces in institutional is detected. Whoever has them should return them." (folio 3665).</w:t>
      </w:r>
    </w:p>
    <w:p>
      <w:r>
        <w:t>In this same meeting, follow-ups on institutional clients are carried out, and another type of punishment for non-compliance is humorously and imaginatively anticipated. Likewise, information tables about sales made during the previous month, both from institutional clients and individuals, are shared, which are attached to the email. In these folios, the concept "Group of Pieces," mentioned in the second table, corresponds to the participating companies in the meeting (folios 3663 to 3664).</w:t>
      </w:r>
    </w:p>
    <w:p>
      <w:r>
        <w:t>Throughout 2008, POSTELÉCTRICA FABRICACIÓN, ROMERO HORMELEC, PREPHOR, XEIXALVO, and the newly created ADHORNA continue to meet periodically, with evidence of at least meetings on February 5, February 26, March 15, May 8, and June 24 (folios 3800, 3806, 3821 to 3822, 3870, 1569).</w:t>
      </w:r>
    </w:p>
    <w:p>
      <w:r>
        <w:t>From the year 2009, a change in the commercial trend of the agreements is observed, shifting from focusing (years 1985 to 2008) on price fixing, setting payment conditions, penalties, and quota distribution, to focusing on the distribution of the auctions carried out by Telefónica and limiting the number of companies participating in the distributions.</w:t>
      </w:r>
    </w:p>
    <w:p>
      <w:r>
        <w:t>Thus, in 2009, the companies focus on the distribution of the different auctions carried out by Telefónica. On September 21, the companies establish how the auctions for Telefónica should be conducted, attaching tables similar to those from 2008 (folios 3877 to 3879): "A).- If T. in the auction sets a starting price, which is the most likely scenario, the file will be applied for the different bids. AUCTION TABLE WITH STARTING PRICE OF T. B).- If T. does not set a starting price in the auction, an unlikely scenario, the prices from the file will be applied in the different bids. Bid WITHOUT STARTING PRICE OF T. In this case, the development of the auction is explained in the file CIRCULAR WITHOUT STARTING PRICE OF T." (folio 3876).</w:t>
      </w:r>
    </w:p>
    <w:p>
      <w:r>
        <w:t>In 2010, meetings continue to be held, as evidenced by the call for the meeting on May 13 (folio 3914), although during this period, the continuous distribution of auctions carried out by all the companies stands out. Regarding the distribution of auctions for institutional clients, on July 2 of this year, ROMERO HORMELEC gives similar instructions to those given the previous year for bidding in the upcoming Telefónica auction (folios 2483 to 2493):</w:t>
      </w:r>
    </w:p>
    <w:p>
      <w:r>
        <w:t>"I attach three files that will be used as follows: A).- If T. DOES NOT SET a starting price in the auction, the prices from the file will be applied in the different bids. BIDS WITHOUT STARTING PRICE OF T. In this case, the development of the auction is explained in the file CIRCULAR WITHOUT STARTING PRICE OF T. B).- If T. in the auction sets a starting price, the file will be applied for the different bids. BIDS WITH STARTING PRICE OF T. Putting, in this case, in cell F6, the starting price of T, instead of 390 as indicated in the table."</w:t>
      </w:r>
    </w:p>
    <w:p>
      <w:r>
        <w:t>The year 2011 is prolific in meetings and agreements among all the companies. The agreements related to the bids for Telefónica stand out, for which POSTELÉCTRICA FABRICACIÓN, ADHORNA, ROMERO HORMELEC, PREPHOR, XEIXALVO, and APLIHORSA send emails with different instructions. Additionally, periodic meetings among companies continue to be held regularly.</w:t>
      </w:r>
    </w:p>
    <w:p>
      <w:r>
        <w:t>The periodic meetings held by POSTELÉCTRICA FABRICACIÓN, ROMERO HORMELEC, ADHORNA, PREPHOR, XEIXALVO, and APLIHORSA on February 22, 2011, April 2011, May 11, 2011, and September 27, 2011, have been accredited (folios 3968-3671, 3996 to 3998, 4015, and 4122 to 4124).</w:t>
      </w:r>
    </w:p>
    <w:p>
      <w:r>
        <w:t>In particular, POSTELÉCTRICA FABRICACIÓN, ROMERO HORMELEC, ADHORNA, PREPHOR, XEIXALVO, and APLIHORSA exchange various emails throughout April (folios 2939 to 2970), and propose a meeting for May in Madrid (folio 2971).</w:t>
      </w:r>
    </w:p>
    <w:p>
      <w:r>
        <w:t>In this same year 2011, it is agreed, within the framework of the agreements, that ADHORNA, PREPHOR, and ROMERO HORMELEC will attend the auctions in a temporary joint venture (UTE). Thus, on September 27, 2011, a meeting takes place in Burgos attended by [XXX, XXX, XXX, XXX, XXX, XXX, and XXX], where the possibility is discussed for several companies from the agreement to attend future Telefónica auctions forming a Temporary Joint Venture (UTE) (folios 3129 to 3133).</w:t>
      </w:r>
    </w:p>
    <w:p>
      <w:r>
        <w:rPr>
          <w:b/>
        </w:rPr>
        <w:t>[Pages 25–27]</w:t>
      </w:r>
    </w:p>
    <w:p>
      <w:r>
        <w:t>In the years 2012 and 2013, POSTELÉCTRICA FABRICACIÓN, ADHORNA, PREPHOR, and ROMERO HORMELEC maintain contact with the aim of reaching an agreement on the prices to be offered in the E.ON auctions. Similarly, POSTELÉCTRICA FABRICACIÓN, ADHORNA, PREPHOR, RUBIERA, and ROMERO HORMELEC attempt to reach agreements on the bids to be submitted in the Hidroeléctrica del Cantábrico auctions, as evidenced by the documentation collected.</w:t>
      </w:r>
    </w:p>
    <w:p>
      <w:r>
        <w:t>Regarding the periodic meetings, there is evidence57 of a meeting held between POSTELÉCTRICA FABRICACIÓN, ADHORNA, PREPHOR, and ROMERO HORMELEC on June 29, 2012 (folios 4143 to 4144).</w:t>
      </w:r>
    </w:p>
    <w:p>
      <w:r>
        <w:t>In the aforementioned meeting of June 29, 2012, of which there is evidence from an email58 sent by [XXX to XXX, XXX, XXX, XXX, and XXX], it is stated: "RH will maintain current prices. The other three will go between 3.5% and 4.5% above. In the following order: 2° ADH, 3° PRE, and 4° PF. Rubiera is contacted (by RH) and it is agreed to outline the issue on Monday, July 2, 2012. If they agree to go in line, they will be placed between PRE and PF, giving them the option to lower in Gijón, to match the prices they currently have. The lists will be prepared by [sic] RTH and sent to the others on Tuesday, July 3, 2012." (folio 4143).</w:t>
      </w:r>
    </w:p>
    <w:p>
      <w:r>
        <w:t>Regarding the auctions, there is evidence of their allocation for the one called by Hidrocantábrico, according to an email sent by [XXX to XXX, XXX, XXX, XXX, and XXX] dated July 3, 2012, in which it is established: "Attached is the price table for the HC offer, as we agreed. Rubiera has sent me their offer, maintaining the prices they currently have. I am attaching it as well, to share the information. Note that they state in their offer that the prices are 'ex-works'. The prices are in line with ours and result, in the overall types they offer, at 0.72% above ours” (folio 4145).</w:t>
      </w:r>
    </w:p>
    <w:p>
      <w:r>
        <w:t xml:space="preserve">Agreements regarding covers, manholes for substations, and chambers </w:t>
        <w:br/>
        <w:t>POSTELÉCTRICA FABRICACIÓN, POSTES NERVIÓN/ADHORNA, ROMERO HORMELEC, PREPHOR, and BUPRE have made agreements regarding products other than concrete poles, particularly concerning buildings for substations, covers, chambers, and manholes.</w:t>
      </w:r>
    </w:p>
    <w:p>
      <w:r>
        <w:t xml:space="preserve">In 1998, POSTELÉCTRICA FABRICACIÓN and PREPHOR signed a formal agreement, lasting ten years, regarding prices, order allocation, and the exchange of information on manhole and chamber stocks. </w:t>
        <w:br/>
        <w:t xml:space="preserve">57 Meeting minutes collected in electronic format at the Madrid headquarters of POSTELÉCTRICA FABRICACIÓN attended by [XXX, XXX, XXX, and XXX]. [XXX] did not attend, with a record that "they will abide by ADH's decisions." </w:t>
        <w:br/>
        <w:t>58 Email sent on July 2, 2012, by [XXX] to [XXX, XXX, XXX, XXX, and XXX] including the meeting minutes as an attachment.</w:t>
      </w:r>
    </w:p>
    <w:p>
      <w:r>
        <w:t>In 1998, POSTELÉCTRICA FABRICACIÓN and PREPHOR signed a formal agreement, lasting ten years, regarding prices, order allocation, and the exchange of information on manhole and chamber stocks. It stipulated the equal allocation of orders and set the prices to be applied over ten years (folios 1491 to 1494).</w:t>
      </w:r>
    </w:p>
    <w:p>
      <w:r>
        <w:t>Between 2004 and 2012, agreements and exchanges of commercial information regarding covers and manholes were carried out among different companies operating in the precast concrete sector. These agreements included price fixing and commercial conditions and market allocation.</w:t>
      </w:r>
    </w:p>
    <w:p>
      <w:r>
        <w:t>The agreed exchanges of information were put into practice, as evidenced by the email sent on July 8, 2004, by [XXX to XXX, XXX, and XXX], which included a table of manhole offers as a model for the other companies (folios 3217 to 3218).</w:t>
      </w:r>
    </w:p>
    <w:p>
      <w:r>
        <w:t>At the end of August 2004, POSTELÉCTRICA FABRICACIÓN, PREPHOR, and POSTES NERVIÓN attempted to confirm a date for a new meeting59 (folios 3239 to 3240).</w:t>
      </w:r>
    </w:p>
    <w:p>
      <w:r>
        <w:t>The aforementioned companies continued to meet in 2004, according to an email obtained at the Madrid headquarters of POSTELÉCTRICA FABRICACIÓN, on October 13 (folio 3247) and December 9 (folio 3288), both sent by [XXX to XXX, XXX, and XXX].</w:t>
      </w:r>
    </w:p>
    <w:p>
      <w:r>
        <w:t>The companies POSTELÉCTRICA FABRICACIÓN, PREPHOR, and ADHORNA set the prices at which to bid in the auctions in 2006 as follows: initially, the participants in the agreement approved, on one hand, a random allocation of numbers among the four participants; on the other hand, a list of rates, the allocation of which was pending the results of the National Lottery draw that would take place during those days. Based on that result, the previously agreed rate lists would be assigned.</w:t>
      </w:r>
    </w:p>
    <w:p>
      <w:r>
        <w:t>On February 1, 2007, POSTES NERVIÓN60 sent an email to [XXX, XXX, XXX, and XXX] attaching various organizational tables for the upcoming auction titled "AUCTION" and "MANHOLES 2007" (folios 3695 to 3698).</w:t>
      </w:r>
    </w:p>
    <w:p>
      <w:r>
        <w:t>Contacts continued, as shown by an email sent by [XXX to XXX, XXX, and XXX] on February 2, 2007, regarding the manhole auction for Telefónica, in which tables with the prices of four participants broken down by types of manholes were attached, with 18 movements and instructions on the calls to be made after the different movements (folios 3708 to 3732). On March 11, 2008, [XXX] sent an email to [XXX, XXX, XXX, and XXX] attaching a table under the title "COVERS 2008" (folio 3814).</w:t>
      </w:r>
    </w:p>
    <w:p>
      <w:r>
        <w:t>In 2010, there are records of exchanges of cover prices in an email sent by [XXX to XXX] on June 15, in response to a previous email in which Celso said, "Send me cover prices to present tomorrow, June 16, 2010" (folio 2680).</w:t>
      </w:r>
    </w:p>
    <w:p>
      <w:r>
        <w:t>On June 9, 2011, [XXX] sent an email to [XXX, XXX, and XXX] including the minutes of a meeting held in Burgos the day before. In it, the prices that BUPRE should charge its clients are recorded, as well as the fact that this company will be excluded from the manhole market for individuals, in exchange for ADHORNA and PREPHOR always buying concrete covers from them (folios 4088 to 4089).</w:t>
      </w:r>
    </w:p>
    <w:p>
      <w:r>
        <w:t>Already in 2012, in an email found at ADHORNA, dated July 20, [XXX] asks [XXX] for the prices of concrete covers to be presented to Telefónica: "Submit cover offer T, for Monday the 23rd at 10:00. Let me know." (folio 4177).</w:t>
      </w:r>
    </w:p>
    <w:p>
      <w:r>
        <w:t>The response to the request is prompt, with [XXX] receiving an email from [XXX] that same day with instructions: "Submit the initial offer (one euro up) from the previous tender and we will talk about the auction. Best regards" (folio 4178).</w:t>
      </w:r>
    </w:p>
    <w:p>
      <w:r>
        <w:t>A few days later, on July 27, 2012, [XXX] sends an email to [XXX, XXX, and XXX], including various tables with the prices of the covers for the Telefónica auction from the companies PREPHOR, ELIFSA, and ADHORNA (folios 4180 to 4184).</w:t>
      </w:r>
    </w:p>
    <w:p>
      <w:r>
        <w:t>POSTELÉCTRICA FABRICACIÓN, PREPHOR, and ADHORNA reach agreements regarding concrete chambers and prefabricated buildings for substations in the period 2005 - 2007.</w:t>
      </w:r>
    </w:p>
    <w:p>
      <w:r>
        <w:t>POSTELÉCTRICA FABRICACIÓN, PREPHOR, and ADHORNA carry out controls of the chambers to be sold and in which locations, through standardized tables. For example, on January 28, 2005, [XXX sends to XXX and XXX] a table specifying the different works to be carried out and the company that should achieve the award of the same (folios 3312 to 3313). The same type of tables have been found in other emails and dates, such as in the email dated March 5, 2007, sent by [XXX to XXX, XXX to XXX] (folios 3738 to 3742).</w:t>
      </w:r>
    </w:p>
    <w:p>
      <w:r>
        <w:t xml:space="preserve">The companies also set prices during the year 2006. For example, in folio 3580, collected in electronic format at the Madrid headquarters of POSTELÉCTRICA FABRICACIÓN, [XXX comments61 to XXX and XXX and XXX]: "In </w:t>
        <w:br/>
        <w:t>61 Email sent on July 12, 2006.</w:t>
      </w:r>
    </w:p>
    <w:p>
      <w:r>
        <w:rPr>
          <w:b/>
        </w:rPr>
        <w:t>[Pages 28–30]</w:t>
      </w:r>
    </w:p>
    <w:p>
      <w:r>
        <w:t xml:space="preserve">(folios 3738 to 3742).  </w:t>
        <w:br/>
        <w:t xml:space="preserve">The companies also set prices during the year 2006. For example, in folio 3580, obtained in electronic format at the Madrid headquarters of POSTELÉCTRICA FABRICACIÓN, [XXX comments61 to XXX and XXX]: "In the meeting on the 26th, if you agree, we will discuss implementing the new prices for chambers, to take effect from 01/08/06."  </w:t>
        <w:br/>
        <w:t xml:space="preserve">Already in the year 2007, there are records of price exchanges and market allocations for chambers and manholes, as well as various meetings on this matter held between [XXX, XXX, XXX, and XXX (folios 3708 to 3732, 3764 to 3767, 3771, 3792 to 3795).  </w:t>
        <w:br/>
        <w:t xml:space="preserve">Thus, for example, on March 6, 2007, [XXX sends an email to XXX and XXX expressing his dissatisfaction with the breach of the agreement: "From what I have checked in sales, number 3 has sold 9 chambers allocated to number 2 (157 and 584) and 4 chambers allocated to number 1 (568).  </w:t>
        <w:br/>
        <w:t xml:space="preserve">Reviewing the list, 617 and 627 are the same work. and there are 2 works that are in previous lists: Juncal 452 and vivero 488. Please make the new allocation considering the above and send it to us for approval. It would be advisable for the offer numbers to be consecutive as before" (folio 3743).  </w:t>
        <w:br/>
        <w:t xml:space="preserve">Agreements and exchanges of information between POSTELÉCTRICA FABRICACIÓN and ROMERO HORMELEC  </w:t>
        <w:br/>
        <w:t xml:space="preserve">ROMERO HORMELEC and POSTELÉCTRICA FABRICACIÓN carry out contacts outside of the other companies involved. On numerous occasions, they exchange commercial information related to prices and market shares. In other cases, these are conversations aimed at strengthening their position against the other participants in the aforementioned agreements. Finally, ROMERO HORMELEC and POSTELÉCTRICA FABRICACIÓN have contacts within the framework of discussions about the viability of the former, and consequently exchange disaggregated commercial and financial information.  </w:t>
        <w:br/>
        <w:t xml:space="preserve">ROMERO HORMELEC and POSTELÉCTRICA FABRICACIÓN carry out exchanges of commercial information related to prices and market shares and, in relation to the pole market in Catalonia, conclude agreements on prices, commercial conditions, and territorial market allocation.  </w:t>
        <w:br/>
        <w:t xml:space="preserve">The bilateral contacts between ROMERO HORMELEC and POSTELÉCTRICA FABRICACIÓN date back at least to the year 2006, as evidenced by the email sent on March 5 by [XXX to XXX], titled "OFFER CHAMBERS," attaching a document consisting of tables with the offers for chambers (folios 3515 to 3516).  </w:t>
        <w:br/>
        <w:t xml:space="preserve">Already in 2008, on March 11, Fernando Arroyo sends an email to Raimundo Arbide containing the following: "The same as you have given me a price for the 8-160 (centrifuged), please tell me the prices for the 8-400, 9-160, 9-400, 10-160, and 10-400 (centrifuged), and if in vibrated assembly the prices for these poles would be similar to those we currently manufacture" (folio 3812).  </w:t>
        <w:br/>
        <w:t xml:space="preserve">The year 2010 begins with new meetings and agreements between the two companies. Thus, on March 8, 2010, [XXX] sends an email to [XXX] mentioning a meeting between them: "Regarding your planned visit to Zaragoza next Friday, I inform you, in case it would be better for Enrique or you, that next week I will be (...) in Madrid, (...), from Tuesday to Thursday. Therefore, if it would be better for you, we could meet in Madrid any of those days" (folio 3204).  </w:t>
        <w:br/>
        <w:t xml:space="preserve">Already in 2011, ROMERO HORMELEC and POSTELÉCTRICA FABRICACIÓN continue their contacts, holding meetings and exchanging prices (folio 3971).  </w:t>
        <w:br/>
        <w:t xml:space="preserve">ROMERO HORMELEC and POSTELÉCTRICA FABRICACIÓN carry out contacts to strengthen their position against the other participants in the aforementioned agreements.  </w:t>
        <w:br/>
        <w:t xml:space="preserve">ROMERO HORMELEC and POSTELÉCTRICA FABRICACIÓN also discuss the conversations held with other group members, as shown by the email sent by [XXX] on December 2, 2008, in which he attaches a summary of the conversation held with XEIXALVO within the framework of the agreements reached between POSTELÉCTRICA FABRICACIÓN, ROMERO HORMELEC, ADHORNA, PREPHOR, XEIXALVO, and APLIHORSA (folios 3874 to 3875).  </w:t>
        <w:br/>
        <w:t xml:space="preserve">[CONFIDENTIAL]  </w:t>
        <w:br/>
        <w:t xml:space="preserve">The meetings continue in 2011, as shown by the emails exchanged between both companies to hold a new meeting on March 22 (folios 3974 to 3975).  </w:t>
        <w:br/>
        <w:t xml:space="preserve">On June 27, 2012, [XXX] sends an email to [XXX] sharing the strategy to be followed for the upcoming tender from Hidroeléctrica del Cantábrico. In particular, the email states the following: "Good morning [XXX]: This Friday we meet in your Madrid office Celso and I with XXX, XXX, and XXX to discuss the Hidroeléctrica del Cantábrico Tender. We have told XXX and XXX that PF has also received the invitation to bid, although it is not true, with the intention that if we reach some kind of allocation agreement, we get more and can defend our positions with your support. I warn you to avoid that in any conversation of yours with XXX or XXX you tell them that you were not invited and the deception is discovered." (folio 4141).  </w:t>
        <w:br/>
        <w:t xml:space="preserve">ROMERO HORMELEC and POSTELÉCTRICA FABRICACIÓN carry out contacts regarding the economic situation of the former starting in 2011.  </w:t>
        <w:br/>
        <w:t xml:space="preserve">In the context of these contacts, they exchange disaggregated information, both commercial and financial.  </w:t>
        <w:br/>
        <w:t xml:space="preserve">29  </w:t>
        <w:br/>
        <w:t xml:space="preserve">[CONFIDENTIAL]  </w:t>
        <w:br/>
        <w:t xml:space="preserve">CONCLUSION  </w:t>
        <w:br/>
        <w:t xml:space="preserve">In light of the facts described in this section, it is evident that the entities POSTELÉCTRICA FABRICACIÓN, ROMERO HORMELEC, ADHORNA PREFABRICACIÓN, PREPHOR, XEIXALVO, APLIHORSA, RUBIERA, and BUPRE have engaged from 1985 to 2013 in practices contrary to competition rules consisting of various behaviors in the market for the manufacture and sale of prefabricated concrete products.  </w:t>
        <w:br/>
        <w:t xml:space="preserve">The behaviors would have consisted of i) price-fixing agreements, ii) exchange of sensitive information, iii) market allocation, and iv) auction allocation, in relation to various products in the prefabricated concrete market.  </w:t>
        <w:br/>
        <w:t xml:space="preserve">Thus, the entities POSTELÉCTRICA FABRICACIÓN, ROMERO HORMELEC, ADHORNA PREFABRICACIÓN, and PREPHOR would have carried out the described behaviors in relation to the following prefabricated concrete products: poles, covers, chambers, and manholes.  </w:t>
        <w:br/>
        <w:t xml:space="preserve">Identical behaviors to the above would have been carried out by the entities XEIXALVO and APLIHORSA, although only in relation to concrete pole products. In the case of RUBIERA, it would have participated in practices consisting of the exchange of commercial information in order to participate in an auction by the company Hidroeléctrica del Cantábrico, having sent its prices, which were shared by ROMERO HORMELEC.  </w:t>
        <w:br/>
        <w:t xml:space="preserve">For its part, the entity BUPRE would have participated in the aforementioned behaviors, except for customer allocation, but only in relation to covers and manholes through periodic meetings held during at least 2011 and 2012.  </w:t>
        <w:br/>
        <w:t xml:space="preserve">Below is a summary table expressing the participation of each of the companies in the described behaviors.  </w:t>
        <w:br/>
        <w:t xml:space="preserve">COMPANY BEHAVIOR PRODUCT PERIOD  </w:t>
        <w:br/>
        <w:t xml:space="preserve">Price-fixing  </w:t>
        <w:br/>
        <w:t xml:space="preserve">Exchange of information Poles, covers, chambers, manholes 1985 to 2013  </w:t>
        <w:br/>
        <w:t xml:space="preserve">Market allocation  </w:t>
        <w:br/>
        <w:t xml:space="preserve">POSTELÉCTRICA  </w:t>
        <w:br/>
        <w:t>Auction allocation Poles, covers, manholes 1993 to 2013</w:t>
      </w:r>
    </w:p>
    <w:p>
      <w:r>
        <w:rPr>
          <w:b/>
        </w:rPr>
        <w:t>[Pages 31–33]</w:t>
      </w:r>
    </w:p>
    <w:p>
      <w:r>
        <w:t xml:space="preserve">Price-fixing  </w:t>
        <w:br/>
        <w:t xml:space="preserve">Information exchange Covers, manholes, chambers, pits 1985 to 2013  </w:t>
        <w:br/>
        <w:t xml:space="preserve">Market allocation  </w:t>
        <w:br/>
        <w:t xml:space="preserve">POSTELECTRÍCA  </w:t>
        <w:br/>
        <w:t>Auction allocation Covers, manholes 1993 to 2013</w:t>
      </w:r>
    </w:p>
    <w:p>
      <w:r>
        <w:t xml:space="preserve">Price-fixing  </w:t>
        <w:br/>
        <w:t xml:space="preserve">1985 to 2013  </w:t>
        <w:br/>
        <w:t xml:space="preserve">Information exchange  </w:t>
        <w:br/>
        <w:t xml:space="preserve">Covers, manholes  </w:t>
        <w:br/>
        <w:t xml:space="preserve">ADHORNA Auction allocation 1993 to 2013  </w:t>
        <w:br/>
        <w:t xml:space="preserve">Market allocation Covers, manholes, chambers, pits 1985 to 2013  </w:t>
        <w:br/>
        <w:t xml:space="preserve">Price-fixing  </w:t>
        <w:br/>
        <w:t xml:space="preserve">Covers, manholes, chambers, pits 1985 to 2013  </w:t>
        <w:br/>
        <w:t xml:space="preserve">Information exchange  </w:t>
        <w:br/>
        <w:t xml:space="preserve">PREPHOR Market allocation 1985 to 2013  </w:t>
        <w:br/>
        <w:t xml:space="preserve">Covers, manholes  </w:t>
        <w:br/>
        <w:t xml:space="preserve">Auction allocation 1993 to 2013  </w:t>
        <w:br/>
        <w:t xml:space="preserve">Price-fixing  </w:t>
        <w:br/>
        <w:t xml:space="preserve">Information exchange 1988 to 2011  </w:t>
        <w:br/>
        <w:t xml:space="preserve">Market allocation  </w:t>
        <w:br/>
        <w:t xml:space="preserve">XEIXALVO Covers  </w:t>
        <w:br/>
        <w:t xml:space="preserve">Auction allocation 1993 to 2011  </w:t>
        <w:br/>
        <w:t xml:space="preserve">Price-fixing  </w:t>
        <w:br/>
        <w:t xml:space="preserve">APLIHORSA  </w:t>
        <w:br/>
        <w:t xml:space="preserve">Information exchange  </w:t>
        <w:br/>
        <w:t xml:space="preserve">Covers 2009 to 2011  </w:t>
        <w:br/>
        <w:t xml:space="preserve">Market allocation  </w:t>
        <w:br/>
        <w:t xml:space="preserve">Auction allocation  </w:t>
        <w:br/>
        <w:t xml:space="preserve">Price-fixing  </w:t>
        <w:br/>
        <w:t xml:space="preserve">BUPRE Information exchange Covers, manholes 2011 and 2012  </w:t>
        <w:br/>
        <w:t xml:space="preserve">Auction allocation  </w:t>
        <w:br/>
        <w:t xml:space="preserve">RUBIERA62 Information exchange Covers 2012  </w:t>
        <w:br/>
        <w:t>62 Rubiera's participation in the cartel has been evidenced very specifically, without any direct emails between the mentioned company and the other participants.</w:t>
      </w:r>
    </w:p>
    <w:p>
      <w:r>
        <w:t xml:space="preserve">LEGAL GROUNDS  </w:t>
        <w:br/>
        <w:t xml:space="preserve">FIRST. COMPETENCY ENABLEMENT  </w:t>
        <w:br/>
        <w:t xml:space="preserve">According to the provisions of the first additional provision of Law 3/2013, of June 4, creating the National Commission of Markets and Competition, by Order ECC/1796/2013, of October 4, of the Ministry of Economy and Competitiveness, October 7, 2013, was determined as the date of operation of the CNMC. According to the second additional provision of the same Law, "references in current legislation to the National Competition Commission [...] shall be understood as made to the National Commission of Markets and Competition [...]" and "References in Law 15/2007, of July 3, to the Investigation Directorate of the National Competition Commission shall be understood as made to the Competition Directorate of the National Commission of Markets and Competition."  </w:t>
        <w:br/>
        <w:t xml:space="preserve">On the other hand, according to Article 5.1.c) of Law 3/2013, it is the responsibility of the CNMC to "apply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  </w:t>
        <w:br/>
        <w:t xml:space="preserve">Consequently, the competence to resolve this procedure corresponds to the Competition Chamber of the CNMC Council.  </w:t>
        <w:br/>
        <w:t xml:space="preserve">SECOND. OBJECT OF THE RESOLUTION AND APPLICABLE REGULATIONS  </w:t>
        <w:br/>
        <w:t xml:space="preserve">The Council in this file must resolve, based on the instruction carried out by the Competition Directorate as recorded in the Report and Proposal for Resolution, whether the investigated practices constitute a single and continuous infringement contrary to competition law, prohibited by Article 1 of Law 110/1963, Article 1 of Law 16/1989, and Article 1 of Law 15/2007, consisting of exchanges of information and agreements for market allocation and price-fixing, in the market for the manufacture and sale of precast concrete products.  </w:t>
        <w:br/>
        <w:t xml:space="preserve">Regarding the applicable national regulations, this file concerns practices carried out during the validity of Law 110/1963, Law 16/1989, and the LDC, which prohibit agreements that have as their object, produce, or may produce the effect of fixing, directly or indirectly, prices or other commercial or service conditions in all or part of the national market, as well as agreements for market allocation or sources of supply, opposing any direct or indirect contact between competitors aimed at influencing the behavior of a real or potential competitor, or revealing to that competitor the behavior that has been decided to adopt or intends to adopt in the market.  </w:t>
        <w:br/>
        <w:t xml:space="preserve">Specifically, the behaviors related to agreements regarding the sale of precast concrete poles that took place until 1988 inclusive, are framed within Article 1 of Law 110/1963; the agreements related to the sale of precast concrete poles, buildings for substations, covers, pits, and chambers, as well as the bilateral behaviors carried out by ROMERO HORMELEC and POSTELÉCTRICA FABRICACIÓN, occurring between 1989 and 2006, inclusive, are framed within Article 1 of Law 16/1989; finally, the agreements related to the sale of precast concrete poles, buildings for substations, covers, pits, and chambers, as well as the bilateral behaviors carried out by ROMERO HORMELEC and POSTELÉCTRICA FABRICACIÓN, carried out from 2007 onwards, inclusive, are framed within Article 1 of the current LDC.  </w:t>
        <w:br/>
        <w:t xml:space="preserve">Thus, as noted on previous occasions, it would be indifferent to apply one legal provision or another, opting for one of the mentioned laws, although, according to the provisions of Article 128 of Law 30/1992, of November 26, on the Legal Regime of Public Administrations and Common Administrative Procedure, it must be the one that is most beneficial for the infringer in the specific case, in accordance with the principles of non-retroactivity of the more unfavorable sanctioning norm and retroactivity of the more favorable one.  </w:t>
        <w:br/>
        <w:t xml:space="preserve">Without prejudice to the fact that the behavior regulated by Article 1 of the aforementioned Laws is the same, according to the precedents of the defunct CNC, also in this case the sanctioning regime designed by Law 15/2007 is, from a global perspective, more favorable to the infringers than that contemplated by the other cited laws.  </w:t>
        <w:br/>
        <w:t xml:space="preserve">This more favorable application of Law 15/2007 has been recognized on previous occasions by the Council of the CNC63 and the CNMC64 and by the National Court, which in its recent Judgment of April 2, 2014 (appeal 194/2011, of L'OREAL ESPAÑA S.A. AND L'OREAL S.A.)65, has stated the following:  </w:t>
        <w:br/>
        <w:t xml:space="preserve">"In the following reason, the plaintiff asserts that the CNC has made an improper retroactive application of Law 15/2007. In this regard, it is worth highlighting that the  </w:t>
        <w:br/>
        <w:t xml:space="preserve">63 Resolutions of the Council of the CNC of November 12, 2009, Expte. S/0037/08, Decennial Insurance Companies; of January 21, 2010, Expte. S/0085/08, Gel Manufacturers; of April 12, 2010, Expte. S/0059/08 ANAGRUAL; of May 17, 2010, Expte. S/0106/08 Iron Warehouses; of July 28, 2010, Expte. S/0091/08, Fine Wines of Jerez; of July 31, 2010, Expte. S/0120/08, Freight Forwarders; of March 2, 2011, Expte. S/0086/08, Professional Hairdressing; of June 24, 2011, Expte. S/0185/09, Fluid Pumps; of October 26, 2011, Expte. S/0192/09 Asphalts; of November 10, 2011, Expte. S/024/10 Shipping Companies Ceuta-2; of February 23, 2012, Expte. S/0244/10, BALEARIC SHIPPING COMPANIES and of October 15, 2012, Expte. S/0318/10, Export of envelopes.  </w:t>
        <w:br/>
        <w:t xml:space="preserve">64 Resolutions of the CNMC of June 12, 2014 (Expte. S/0444/12 GEA) and September 22, 2014 (Expte. S/0428/12 PALÉS).  </w:t>
        <w:br/>
        <w:t>65 In similar terms, the recent Judgment of the National Court of April 15, 2014 (appeal 572/2010, of RHENUS IHG IBERICA, S.A.) also states.</w:t>
      </w:r>
    </w:p>
    <w:p>
      <w:r>
        <w:rPr>
          <w:b/>
        </w:rPr>
        <w:t>[Pages 34–36]</w:t>
      </w:r>
    </w:p>
    <w:p>
      <w:r>
        <w:t xml:space="preserve">co-author of the acts due to the actions of centralization, coordination, and dissemination of information among the other participating companies.  </w:t>
        <w:br/>
        <w:t xml:space="preserve">Agreement for the allocation of auctions of the companies Telefónica, Unión Fenosa, Iberdrola, and Hidroeléctrica del Cantábrico, for the products of concrete posts, covers, and manholes from at least 1993 until July 2013, as a co-author of the acts due to the actions of centralization, coordination, and dissemination of information among the other participating companies.  </w:t>
        <w:br/>
        <w:t xml:space="preserve">Agreement for the allocation of the market for concrete posts, covers, manholes, and chambers from at least 1985 until July 2013, as a co-author of the acts due to the actions of centralization, coordination, and dissemination of information among the other participating companies.  </w:t>
        <w:br/>
        <w:t xml:space="preserve">POSTES NERVIÓN  </w:t>
        <w:br/>
        <w:t xml:space="preserve">Particularly for the practices consisting of:  </w:t>
        <w:br/>
        <w:t xml:space="preserve">Agreement for the price-fixing of concrete posts, covers, and manholes, through periodic meetings held from at least 1985 until July 2013, as a co-author of the acts due to the actions of centralization, coordination, and dissemination of information among the other participating companies.  </w:t>
        <w:br/>
        <w:t xml:space="preserve">Agreement for the exchange of sensitive commercial information, and in particular data on customers, manufactured products, and set prices, for the products of concrete posts, covers, and manholes, through periodic meetings held from at least 1985 until July 2013, as a co-author of the acts due to the actions of centralization, coordination, and dissemination of information among the other participating companies.  </w:t>
        <w:br/>
        <w:t xml:space="preserve">Agreement for the allocation of auctions of the companies Telefónica, Unión Fenosa, Iberdrola, and Hidroeléctrica del Cantábrico, for the products of concrete posts, covers, and manholes from at least 1993 until July 2013, as a co-author of the acts due to the actions of centralization, coordination, and dissemination of information among the other participating companies.  </w:t>
        <w:br/>
        <w:t>Agreement for the allocation of the market for concrete posts, covers, manholes, and chambers from at least 1985 until July 2013, as a co-author of the acts due to the actions of centralization, coordination, and dissemination of information among the other participating companies.</w:t>
      </w:r>
    </w:p>
    <w:p>
      <w:r>
        <w:rPr>
          <w:b/>
        </w:rPr>
        <w:t>[Pages 37–39]</w:t>
      </w:r>
    </w:p>
    <w:p>
      <w:r>
        <w:t xml:space="preserve">co-author of the acts due to the actions of centralization, coordination, and dissemination of information among the other participating companies. </w:t>
        <w:br/>
        <w:t xml:space="preserve">Agreement for the allocation of the market for concrete posts, covers, chambers, and manholes from at least 1985 until July 2013, as a co-author of the acts due to the actions of centralization, coordination, and dissemination of information among the other participating companies. </w:t>
        <w:br/>
        <w:t xml:space="preserve">PREPHOR </w:t>
        <w:br/>
        <w:t xml:space="preserve">Particularly for the practices consisting of: </w:t>
        <w:br/>
        <w:t xml:space="preserve">Price-fixing agreement for concrete posts, covers, chambers, and manholes, through periodic meetings held from at least 1985 until July 2013, as a co-author of the acts due to the actions of centralization, coordination, and dissemination of information among the other participating companies. </w:t>
        <w:br/>
        <w:t xml:space="preserve">Agreement for the exchange of sensitive commercial information, and in particular data on customers, manufactured products, and set prices, for concrete posts, covers, manholes, and chambers, through periodic meetings held from at least 1985 until July 2013, as a co-author of the acts due to the actions of centralization, coordination, and dissemination of information among the other participating companies. </w:t>
        <w:br/>
        <w:t xml:space="preserve">Agreement for the allocation of auctions of the companies Telefónica, Unión Fenosa, Iberdrola, and Hidroeléctrica del Cantábrico, for concrete posts, covers, and manholes from at least 1993 until July 2013, as a co-author of the acts due to the actions of centralization, coordination, and dissemination of information among the other participating companies. </w:t>
        <w:br/>
        <w:t xml:space="preserve">Agreement for the allocation of the market for concrete posts, covers, and manholes from at least 1985 until July 2013, as a co-author of the acts due to the actions of centralization, coordination, and dissemination of information among the other participating companies. </w:t>
        <w:br/>
        <w:t xml:space="preserve">XEIXALVO </w:t>
        <w:br/>
        <w:t xml:space="preserve">Particularly for the practices consisting of: </w:t>
        <w:br/>
        <w:t xml:space="preserve">Price-fixing agreement for concrete posts, through periodic meetings held from at least 1988 until 2011, as a co-author of the acts due to the actions of centralization, coordination, and dissemination of information among the other participating companies. </w:t>
        <w:br/>
        <w:t xml:space="preserve">Agreement for the exchange of sensitive commercial information, and in particular data on customers, manufactured products, and set prices, for concrete posts, through periodic meetings held from at least 1988 until 2011, as a co-author of the acts due to the actions of centralization, coordination, and dissemination of information among the other participating companies. </w:t>
        <w:br/>
        <w:t xml:space="preserve">Agreement for the allocation of auctions of the companies Telefónica, Unión Fenosa, Iberdrola, and Hidroeléctrica del Cantábrico, for concrete posts from at least 1993 until 2011, as a co-author of the acts due to the actions of centralization, coordination, and dissemination of information among the other participating companies. </w:t>
        <w:br/>
        <w:t xml:space="preserve">Agreement for the allocation of the market for concrete posts from at least 1988 until 2011, as a co-author of the acts due to the actions of centralization, coordination, and dissemination of information among the other participating companies. </w:t>
        <w:br/>
        <w:t xml:space="preserve">APLIHORSA </w:t>
        <w:br/>
        <w:t xml:space="preserve">Particularly for the practices consisting of: </w:t>
        <w:br/>
        <w:t xml:space="preserve">Price-fixing agreement for concrete posts, through periodic meetings held from at least 2009 until 2011, as a co-author of the acts due to the actions of centralization, coordination, and dissemination of information among the other participating companies. </w:t>
        <w:br/>
        <w:t xml:space="preserve">Agreement for the exchange of sensitive commercial information, and in particular data on customers, manufactured products, and set prices, for concrete posts, through periodic meetings held from at least 2009 until 2011, as a co-author of the acts due to the actions of centralization, coordination, and dissemination of information among the other participating companies. </w:t>
        <w:br/>
        <w:t xml:space="preserve">Agreement for the allocation of auctions of Telefónica, for concrete posts from at least 2009 until 2011, as a co-author of the acts due to the actions of centralization, coordination, and dissemination of information among the other participating companies. </w:t>
        <w:br/>
        <w:t xml:space="preserve">Agreement for the allocation of the market for concrete posts from at least 2009 until 2011, as a co-author of the acts due to the actions of centralization, coordination, and dissemination of information among the other participating companies. </w:t>
        <w:br/>
        <w:t xml:space="preserve">RUBIERA </w:t>
        <w:br/>
        <w:t xml:space="preserve">Particularly for the practices consisting of the exchange of sensitive commercial information through its sending to ROMERO HORMELEC at least in 2012. </w:t>
        <w:br/>
        <w:t xml:space="preserve">The participation of RUBIERA in the cartel has been evidenced in a very specific manner, without any direct emails between the mentioned company and the rest of the participants. </w:t>
        <w:br/>
        <w:t xml:space="preserve">BUPRE </w:t>
        <w:br/>
        <w:t xml:space="preserve">Particularly for the practices consisting of: </w:t>
        <w:br/>
        <w:t xml:space="preserve">Price-fixing agreement for covers and manholes through periodic meetings held during at least 2011 and 2012, as a co-author of the acts due to the actions of centralization, coordination, and dissemination of information among the other participating companies. </w:t>
        <w:br/>
        <w:t xml:space="preserve">Agreement for the exchange of sensitive commercial information, for concrete covers and manholes, through periodic meetings held during at least 2011 and 2012, as a co-author of the acts due to the actions of centralization, coordination, and dissemination of information among the other participating companies. </w:t>
        <w:br/>
        <w:t xml:space="preserve">Agreement for the allocation of auctions, for concrete covers and manholes during at least 2011 and 2012, as a co-author of the acts due to the actions of centralization, coordination, and dissemination of information among the other participating companies. </w:t>
        <w:br/>
        <w:t xml:space="preserve">The Competition Directorate considers that the adoption of the various collusive practices developed by the accused companies, which adapted over time according to market circumstances - observing during their validity successive agreements for price-fixing, market allocation, and exchange of sensitive commercial information for concrete posts, covers, manholes, and chambers, as well as for the allocation of auctions for concrete posts, covers, and manholes - should be considered a single, complex, and continuous infringement, from at least the year 1985 until the year 2013. </w:t>
        <w:br/>
        <w:t xml:space="preserve">According to the Competition Directorate, it has been evidenced in the file that the concertation and coordination of actions among the entities involved dates back at least to the year 1985, with this infringement continuing from that moment until 2013. The companies in the cartel have had different participation depending on their presence in all or some of the markets affected by the cartel (posts, covers, chambers, and manholes of concrete), with neither the role adopted by all of them nor the intensity of the agreements reached throughout this period being identical. </w:t>
        <w:br/>
        <w:t xml:space="preserve">In this case, we are faced with practices prohibited by Article 1 of the aforementioned Laws, which fall within the definition of a cartel, as the object of these practices consisted of the adoption of secret agreements among the companies participating in the cartel. The mentioned companies were aware of the illicit nature of their acts, as they state on various occasions. </w:t>
        <w:br/>
        <w:t xml:space="preserve">The agreements reached focus on: </w:t>
        <w:br/>
        <w:t>Price-fixing, exchanges of sensitive commercial information (customers, manufactured products, and prices, among others), allocation of auctions, fixing of side compensations, and setting of quotas, related to the market for posts of</w:t>
      </w:r>
    </w:p>
    <w:p>
      <w:r>
        <w:rPr>
          <w:b/>
        </w:rPr>
        <w:t>[Pages 40–42]</w:t>
      </w:r>
    </w:p>
    <w:p>
      <w:r>
        <w:t xml:space="preserve">prefabricated concrete posts, between POSTELÉCTRICA FABRICACIÓN, ADHORNA PREFABRICACIÓN, ROMERO HORMELEC, PREPHOR, XEIXALVO, APLIHORSA, and RUBIERA, from 1985 to 2013. </w:t>
        <w:br/>
        <w:t xml:space="preserve">Price-fixing, exchanges of sensitive information, and allocation of auctions, between POSTELÉCTRICA FABRICACIÓN, ADHORNA, PREPHOR, and BUPRE, from 1998 to 2013. </w:t>
        <w:br/>
        <w:t xml:space="preserve">Bilateral agreements between ROMERO HORMELEC and POSTELÉCTRICA FABRICACIÓN, between 2006 and 2013. </w:t>
        <w:br/>
        <w:t xml:space="preserve">In relation to the Temporary Joint Venture formed in 2011 by ADHORNA, PREPHOR, and ROMERO HORMELEC, its purpose was to participate in a Telefónica auction, agreeing on the prices to compete with the other companies that were part of the cartel, and with the aim of setting market prices and sharing the market. This horizontal cooperation agreement in 2011 between ADHORNA, PREPHOR, and ROMERO HORMELEC, for which its implementation has been proven, must be considered a restriction of competition that is part of the common plan that these companies have been developing. </w:t>
        <w:br/>
        <w:t xml:space="preserve">Regarding the effects on the market caused by the agreements subject to this file, according to the proposed resolution, these are undeniable since, as the participants themselves acknowledge, they were in force for at least part of the time of the period considered, with ups and downs, as recorded in the file. This is further compounded by the fact that the companies involved control 60% of the concrete post manufacturing market in Spain. </w:t>
        <w:br/>
        <w:t xml:space="preserve">Thus, the possibilities of the claimants in this market to access better prices and conditions would have been limited, completely distorting the competitive process pursued through tenders and auctions for the procurement of supplies. All this occurred over a sufficiently long period to generate a structural effect in this market and with the credible threat of exercising a boycott on companies that might deviate, which would undoubtedly have reinforced and secured the effects of the agreements reached. </w:t>
        <w:br/>
        <w:t xml:space="preserve">As for the qualification of the behaviors as a single and continuous infringement, the Competition Directorate justifies such qualification by the existence of a plurality of actions carried out with the common objective of all the companies to control the market for prefabricated concrete products. While it is true that the instruments and means used have varied and, to some extent, strengthened over time, as previously analyzed, it is no less true that the behaviors have been carried out with an identical purpose and substrate. </w:t>
        <w:br/>
        <w:t xml:space="preserve">The Competition Directorate considers that we are facing an infringement of Article 62.4 a) of the LDC, which establishes that “Very serious infringements are: </w:t>
        <w:br/>
        <w:t xml:space="preserve">The development of collusive behaviors typified in Article 1 of the Law that consist of cartels or other agreements, decisions, or collective recommendations, concerted practices or consciously parallel practices among companies that are not competitors with each other, real or potential.” For this reason, the accredited behaviors are considered a very serious infringement for the purposes established in the LDC. </w:t>
        <w:br/>
        <w:t xml:space="preserve">FOURTH. ALLEGATIONS PRESENTED TO THE PROPOSED RESOLUTION </w:t>
        <w:br/>
        <w:t xml:space="preserve">On June 24, 2014, the Competition Directorate adopted the Proposed Resolution of the procedure, containing a proposal for a sanction for infringement of Article 1 of Law 110/1963, Article 1 of Law 16/1989, and Article 1 of the LDC. </w:t>
        <w:br/>
        <w:t xml:space="preserve">The entities XEIXALVO, ADHORNA, APLIHORSA, PREPHOR, ROMERO HORMELEC, POSTELÉCTRICA FABRICACIÓN, RUBIERA, and BUPRE have presented allegations to the Proposed Resolution, with some of the writings containing a request for the practice of evidence, as well as a request for confidentiality regarding part of the information contained therein. </w:t>
        <w:br/>
        <w:t xml:space="preserve">4.1. On the accreditation of the facts and the individual responsibility of the companies </w:t>
        <w:br/>
        <w:t xml:space="preserve">4.1.1. Allegations of XEIXALVO </w:t>
        <w:br/>
        <w:t xml:space="preserve">XEIXALVO states that it did not participate in the discussions regarding covers, manholes, and chambers described in the Proposed Resolution, nor did it intervene in the discussions between POSTELÉCTRICA FABRICACIÓN and ROMERO HORMELEC regarding chambers, centrifuged posts, and manholes in the Catalonia area. In this regard, the entity points out that it supplies posts in the Galicia area and although its main client centralizes purchases from Madrid, the posts supplied by XEIXALVO to this client are used in works in the Galicia area and the province of León. </w:t>
        <w:br/>
        <w:t xml:space="preserve">Furthermore, the entity indicates that its participation in the alleged infringement related to concrete posts has been substantially more limited than that of the other companies, having been absent from several meetings and without having had an active role in organizing them or in the discussions, nor in their execution. </w:t>
        <w:br/>
        <w:t xml:space="preserve">Response from the Competition Chamber </w:t>
        <w:br/>
        <w:t xml:space="preserve">Regarding XEIXALVO's participation in behaviors related to chambers, manholes, and covers, this Chamber must remind the mentioned entity that it has not been attributed responsibility for such behaviors concerning the aforementioned concrete products, but rather its responsibility derives from its participation in agreements regarding posts, as unequivocally determined by the Proposed Resolution submitted to this Chamber and notified to XEIXALVO (page 135, paragraph 169, folio 8328 of the PR). </w:t>
        <w:br/>
        <w:t xml:space="preserve">On the other hand, regarding its participation in the behaviors attributed to it, there are sufficient facts in the file that prove that XEIXALVO participated in agreements regarding posts from 1988 to 2011. </w:t>
        <w:br/>
        <w:t xml:space="preserve">Not attending a particular meeting, within the period in which the anticompetitive behaviors attributed to it are carried out, does not indicate in any way that XEIXALVO was not actively participating in the cartel or that its participation in it was limited, as there are more than sufficient evidentiary elements in the file that prove its participation in it during that period. In fact, given the extensive duration of the single and continuous infringement attributed, it is reasonable that there could be some absence in one of the multiple meetings held throughout that period by some of the cartel members, as is the case of the meeting in April 2011 which XEIXALVO did not attend, although it was perfectly informed of the call, the objective, and the result achieved in it. </w:t>
        <w:br/>
        <w:t xml:space="preserve">The fact that a company has not participated in all the constitutive elements of a collusive practice, or that it has played a minor role in the aspects in which it has participated, would only be relevant for grading the sanction that would correspond to it, but in no case would it imply a situation of non-attributability of the behavior. </w:t>
        <w:br/>
        <w:t xml:space="preserve">In this regard, the Resolution of July 28, 2010, of the CNC Council, regarding file S-0091/08 Fine wines from Jerez indicates that: “[...] cartel agreements mostly respond to a set of agreements, more or less complex, and in which the responsibilities of their members do not have to be the same, neither in terms of durations nor in terms of the role played by each of its members. In long-lasting cartels, such as the present one, it is natural that there may be both incorporations to it and departures, as well as that some are instigators or promoters while others act only as accomplices. It is the obligation of the competition authorities to highlight such differences if they indeed exist, since while such differences do not affect the accreditation of the infringement, they do affect the sanction that each of the accused may deserve.” </w:t>
        <w:br/>
        <w:t>Likewise, the judgment of the General Court of the European Union (Extended Sixth Chamber) of June 16, 2011, in case T-240/07 Heineken Nederland/Commission states that: "(195) It should be recalled, in this regard, that according to established case law, when a company has attended, even without playing an active role, a meeting during which an illicit agreement has been evoked, it</w:t>
      </w:r>
    </w:p>
    <w:p>
      <w:r>
        <w:rPr>
          <w:b/>
        </w:rPr>
        <w:t>[Pages 43–45]</w:t>
      </w:r>
    </w:p>
    <w:p>
      <w:r>
        <w:t>considers that it has participated in such collusion, unless it proves that it clearly distanced itself from it or that it informed the other participants that it intended to attend the meeting in question with a perspective different from its own (see the judgment of the Court of 15 March 2000, Cimenteries CBR and others/Commission, T-25/95, T-26/95, T-30/95 to T-32/95, T-34/95 to T-39/95, T-42/95 to T-46/95, T-48/95, T-50/95 to T-65/95, T-68/95 to T-71/95, T-87/95, T-88/95, T-103/95 and T-104/95, Rec. p. II-491, paragraph 3199 and cited case law)." (Emphasis added)</w:t>
      </w:r>
    </w:p>
    <w:p>
      <w:r>
        <w:t>Finally, regarding the geographical scope of the entity's operations, the Council of the CNC stated in its Resolution of 12 January 2012 (file S/0179/09 Concrete and related products) that the fact that some of the companies involved do not operate in all the areas delineated by the cartel does not exclude their responsibility in it:</w:t>
      </w:r>
    </w:p>
    <w:p>
      <w:r>
        <w:t>"Therefore, the fact that some of the accused companies do not operate in all the areas delineated by the cartel or do not produce the three products affected by the infringement does not pose any obstacle to the conclusion that all of them are authors of a single cartel infringement under Article 1 of the LDC, to the extent that their respective responsibilities for the infringement of that legal provision are individualized according to what is established in the file."</w:t>
      </w:r>
    </w:p>
    <w:p>
      <w:r>
        <w:t>The allegations of XEIXALVO are therefore dismissed as its participation in the conduct attributed to it has been established and there are no facts evidencing an unequivocal rejection of the agreements and conduct carried out by the entity.</w:t>
      </w:r>
    </w:p>
    <w:p>
      <w:r>
        <w:t>4.1.2. Allegations of ADHORNA</w:t>
      </w:r>
    </w:p>
    <w:p>
      <w:r>
        <w:t>ADHORNA clarifies that the only activity it carries out that would be related to the present investigation is the production and sale of concrete posts, manholes, and covers for institutional clients (both from the electrical sector and the communications sector), with total exclusion of civil works and activities related to the industrial sector.</w:t>
      </w:r>
    </w:p>
    <w:p>
      <w:r>
        <w:t>Therefore, although ADHORNA would be present in the civil works sector (this activity represented 39% of ADHORNA's sales in 2013), according to the entity, it is clear that such activities are not part of the scope of the CNMC investigation.</w:t>
      </w:r>
    </w:p>
    <w:p>
      <w:r>
        <w:t>Response from the Competition Chamber</w:t>
      </w:r>
    </w:p>
    <w:p>
      <w:r>
        <w:t>An identical issue was already addressed by the Competition Directorate in the Proposal for Resolution, in which it stated the following:</w:t>
      </w:r>
    </w:p>
    <w:p>
      <w:r>
        <w:t>"Firstly, this Directorate does not understand this allegation, as it is not clear in the written allegations made by ADHORNA whether it ultimately engages in civil works as indicated in the PCH. It seems that it would indeed be present in civil works activities although not in the products of posts, covers, and manholes for civil works, which implies that the assertion of the PCH is not completely incorrect as it is present in civil works, albeit in other products. In any case, this clarification does not alter the conclusions of the PCH nor does it undermine the attribution made by what has already been indicated in section III.1.6 regarding the definition of exact product markets in the cartel infringement."</w:t>
      </w:r>
    </w:p>
    <w:p>
      <w:r>
        <w:t>Indeed, when it comes to determining the market affected by behaviors such as those analyzed in the present file, it is the criterion of this Chamber to consider that it is the companies and entities themselves that, with their anticompetitive behaviors, determine the scope affected by the infringement67. This is why in the present procedure the defined market includes the manufacture and sale of concrete prefabricated products, and within that market, the segments of posts, chambers, manholes, and covers. Therefore, the activity alleged by ADHORNA would also be included in the scope of investigation of the present file.</w:t>
      </w:r>
    </w:p>
    <w:p>
      <w:r>
        <w:t>Similarly, regarding the scope of its clientele, it should be noted that the fact that one company participates more or less than another, both in terms of time, geography, and the type of clients to whom the anticompetitive practices have been directed, does not affect the qualification of the infringement, but rather, in any case, the delimitation of that company's responsibility for the infringement committed.</w:t>
      </w:r>
    </w:p>
    <w:p>
      <w:r>
        <w:t>4.1.3. Allegations presented by RUBIERA</w:t>
      </w:r>
    </w:p>
    <w:p>
      <w:r>
        <w:t>For RUBIERA, it is evident that, under the circumstances in which the aforementioned entity operated, it was totally absurd and anomalous to reach agreements with large companies that were not its competitors and with which it had no relationship whatsoever, and that the alleged agreements described in the file did not benefit or harm it in any way.</w:t>
      </w:r>
    </w:p>
    <w:p>
      <w:r>
        <w:t>For the aforementioned entity, "the curious and surprising" thing is that the sensitive information supposedly exchanged by RUBIERA with HORMELEC is based on emails sent by the latter to third parties, and not to RUBIERA, which demonstrates that there is no evidence in the file that justifies RUBIERA's involvement in these facts, not even in 2012, with the instructor's intention that the alleged infringer should prove negative facts that are impossible to substantiate. The aforementioned entity considers that, by contradicting the most elementary rules of the burden of proof, the procedure should be declared null and void.</w:t>
      </w:r>
    </w:p>
    <w:p>
      <w:r>
        <w:t>Response from the Council Chamber</w:t>
      </w:r>
    </w:p>
    <w:p>
      <w:r>
        <w:t>In the documentation collected by the Competition Directorate during the inspections, RUBIERA's participation in the exchange of information on prices through ROMERO is abundantly proven. To cite some examples, in the offer sent by ROMERO to HORMELEC (folios 959-966), it includes RUBIERA's price offer, which it must have obtained from it, as evidenced by the email of 3 July 2012 (folio 964) from ROMERO, which clearly states, "Rubiera has sent me its offer, maintaining the prices it currently has." On the other hand, in the minutes of the meeting attached to the email of 2 July 2012 from ROMERO (folio 966), it states: "contact is made with Rubiera and it is agreed to outline the issue on Monday 02/07/2012." In another email from ROMERO, dated 24 September 2012 (folios 63), with the subject "call Rubiera," it states: "Gonzalez from Rubiera calls me at 9:30. He tells me that he received a letter from HC last week to counteroffer the issue of posts. (...)".</w:t>
      </w:r>
    </w:p>
    <w:p>
      <w:r>
        <w:t>These facts, taken together, allow us to deduce without a doubt that RUBIERA transmitted this information directly to ROMERO, so that what is relevant for determining the existence of an infringement and the responsibility of the infringing parties is not the origin of the evidence or proof of such infringement, as RUBIERA claims, but rather the irrefutable content of it.</w:t>
      </w:r>
    </w:p>
    <w:p>
      <w:r>
        <w:t>In this regard, it should be noted that the documents and evidence in the file must be considered collectively, and precisely that collective assessment is what has allowed the conclusion of the existence of the infringement attributed to RUBIERA.</w:t>
      </w:r>
    </w:p>
    <w:p>
      <w:r>
        <w:t>4.1.4. Allegations of APLIHORSA</w:t>
      </w:r>
    </w:p>
    <w:p>
      <w:r>
        <w:t>According to APLIHORSA, the Competition Directorate does not sufficiently determine the specific behaviors that the aforementioned entity supposedly carried out during the period 2009-2011. At most, the entity points out that the alleged agreements were focused on the supply of concrete posts for institutional clients, which would form part of a differentiated market segment, without these facts in any case proving the behaviors attributed.</w:t>
      </w:r>
    </w:p>
    <w:p>
      <w:r>
        <w:t>Response from the Competition Chamber</w:t>
      </w:r>
    </w:p>
    <w:p>
      <w:r>
        <w:t>Contrary to what APLIHORSA states, there is ample evidence in the file that undoubtedly proves the entity's participation in the behaviors attributed to it during the aforementioned period 2009-2011.</w:t>
      </w:r>
    </w:p>
    <w:p>
      <w:r>
        <w:rPr>
          <w:b/>
        </w:rPr>
        <w:t>[Pages 46–48]</w:t>
      </w:r>
    </w:p>
    <w:p>
      <w:r>
        <w:t>In the year 2009, as acknowledged by APLIHORSA itself, only the folios of the file related to the auctions carried out by TELEFONICA contain references to APLIHORSA (page 23 of this Resolution). However, as noted in folios 3876 to 3879, an email circulated by [XXX] to several recipients, including APLIHORSA68, includes an attached document in which the companies establish how the aforementioned auctions should be conducted. This attached document clearly indicates the participation of APLIHORSA identified as number 6. This identification of APLIHORSA with number 6 (as well as the other participating companies and their numerical equivalents) is recorded in folio 941.</w:t>
      </w:r>
    </w:p>
    <w:p>
      <w:r>
        <w:t>Regarding the year 2010, there is evidence of 3 emails. The first, dated May 6 (folio 3914), from POSTELÉCTRICA to 5 other companies involved - PREPHOR, XEIXALVO, ROMERO, APLIHORSA, and ADHORNA - convenes a meeting for May 13. The contact from APLIHORSA, [XXX], is clearly identified as a recipient of the same. The second, dated July 2 (folios 2483-2493), is from ROMERO to the 5 remaining companies from the previous email, providing similar instructions to those of the previous year for bidding in the next auction of Telefónica. This email provides the contact details of the different companies participating in the agreement, and [XXX] from APLIHORSA can also be clearly identified, in addition to the explicit mention of APLIHORSA and the prices and coefficients corresponding to it in the attached tables. In the third email, dated December 3, 2010 (folios 2728-2729), also from ROMERO to the other 5 companies, instructions for bidding are provided (“In this initial offer, the order has been randomly altered so that it does not always appear the same”) and tables with the prices of the initial offer are again attached, clearly identifying the initial offer that each company must present.</w:t>
      </w:r>
    </w:p>
    <w:p>
      <w:r>
        <w:t>Finally, regarding the year 2011, the file contains three emails that clearly identify the participation of APLIHORSA. One from April 18 (folios 2961-2965), which attaches a proposal for the reactivation of the agreement related to posts, another dated September 29 which attaches the minutes of the meeting of September 27, and lastly one from June 7 which attaches a table with the prices of the offers for a Telefónica auction.</w:t>
      </w:r>
    </w:p>
    <w:p>
      <w:r>
        <w:t>Therefore, APLIHORSA's participation in the conduct attributed to it during the mentioned period 2009-2011 is abundantly evidenced.</w:t>
      </w:r>
    </w:p>
    <w:p>
      <w:r>
        <w:t>4.1.5 Allegations of PREPHOR</w:t>
      </w:r>
    </w:p>
    <w:p>
      <w:r>
        <w:t>68 [XXX] was the person acting on behalf of APLIHORSA (folio 764).</w:t>
      </w:r>
    </w:p>
    <w:p>
      <w:r>
        <w:t>According to PREPHOR, regarding the agreements and exchanges of information related to the sale of prefabricated concrete posts, the DC considers that its participation has been evidenced by the inclusion of certain initials in an annex of the Report dated October 24, 1985, related to prices that supposedly correspond to the initials of the names of the involved companies. PREPHOR understands that this is not sufficient to prove its participation in the preparation of said document, nor even that PREPHOR was aware of its preparation. Likewise, PREPHOR considers that the content of the report does not imply any conduct that could be considered anticompetitive, given that the information contained in said report does not have the capacity to eliminate the usual degree of uncertainty in the market. In this sense, the entity understands that using the aforementioned Report of 1985 (the authorship of which is unknown) as the sole evidence of the initiation of a supposed cartel, of which there are no further indications until three years later, is clearly excessive.</w:t>
      </w:r>
    </w:p>
    <w:p>
      <w:r>
        <w:t>Secondly, regarding the imputations of PREPHOR based on documents related to the period 1994-2002, according to the mentioned entity, the Proposal for Resolution considers that its participation is evidenced through the reference to a handwritten document from 1989 in which the list of participants appears, without demonstrating that, beyond the references to PREPHOR, there is actually participation from it in the preparation of the documents. Finally, concerning the period of inactivity from March 2008 to 2011, according to the mentioned entity, the Competition Directorate limits itself to analyzing the meeting of June 29, 2012, which PREPHOR did not attend, and in which a third party (ADHORNA) states that PREPHOR will abide by its decisions. In PREPHOR's view, the fact that a third party states that PREPHOR will abide by its decisions, without further evidence of PREPHOR's stated intention, cannot be sufficient proof.</w:t>
      </w:r>
    </w:p>
    <w:p>
      <w:r>
        <w:t>Regarding the agreements and exchanges of information related to covers and manholes, PREPHOR points out that, in the alleged anticompetitive conduct carried out during the period 2004-2008, of the four meetings that supposedly took place in 2004, only the convocations in emails for three of them are recorded, without evidence of the actual holding or PREPHOR's participation in them. Similarly, the holding of any of the meetings in 2005 has not been evidenced, as only the convocations in emails during that period are recorded. On the other hand, starting from 2006, the emails listed in the Plea and in the PR are mainly based on participation in auctions, and in any case, the frequency of contacts is limited to sporadic emails every few months. Furthermore, the mentioned entity indicates that although the DC itself acknowledges the existence of a time lapse between 2008 and 2011 in which no emails from PREPHOR appear, it maintains the accusation made in the Plea by considering that PREPHOR has not provided any evidence to conclude that it has not participated in said conduct. In this sense, according to PREPHOR, it is the acting Administration that must demonstrate the existence of an infringement and its temporal extent, without requiring the parties to prove that they have not participated in it.</w:t>
      </w:r>
    </w:p>
    <w:p>
      <w:r>
        <w:t>Response from the Council Chamber</w:t>
      </w:r>
    </w:p>
    <w:p>
      <w:r>
        <w:t>Regarding the agreements and exchanges of information related to the sale of concrete posts in which PREPHOR has participated, it should be noted that in the "Annex P" of the 1985 report, among others, price lists by product type are included, which contain the following columns: “Minimum, PN, R, PR, PO, HO” (folios 875-877). The Competition Directorate has been able to relate these initials to the names of the companies involved in the file thanks to the vast amount of information gathered about the participation of the involved companies in the different evidenced anticompetitive practices. Thus, indeed, there is ample evidence that these initials correspond to POSTES NERVION, ROMERO, PREPHOR, POSTELECTRICA, and HORMELEC respectively69.</w:t>
      </w:r>
    </w:p>
    <w:p>
      <w:r>
        <w:t>Regarding the assertion that the Competition Directorate bases its imputations against PREPHOR on many documents related to the period 1994-2002, in which there is no more reference than a list of numbers, without any identifying reference to the attending companies or the representatives who supposedly attended them, this Chamber can only reject such an allegation since in a handwritten document (folio 913) collected at the headquarters of ROMERO HORMELEC, in which the header reads “CA […] PENALIZACIONES Y FONDO COMÚN AÑO 1989”, it explicitly states “1 POSTELÉCTRICA, 2 NERVION, 3 HORMELEC, 4 PREPHOR, 5 ROMERO and 6 XEIXALVO”, along with dates, the number of posts, and the resulting penalties. As already noted in the established facts, the code of numbers changes from 1998 (folio 941), so that from then on number 1 corresponds to POSTELÉCTRICA FABRICACIÓN, number 2 to POSTES NERVIÓN, number 3 to ROMERO HORMELEC, number 4 to PREPHOR, number 5 to XEIXALVO, and number 6 to APLIHORSA (folio 941).</w:t>
      </w:r>
    </w:p>
    <w:p>
      <w:r>
        <w:t>On the other hand, it is noteworthy that PREPHOR openly acknowledges its participation in various cartel meetings during the period 2003 to 2010. Regarding PREPHOR's assertion that it is accused of participating in the meeting of June 29, 2012, in which it is expressly stated that it did not participate, it should be noted that in the minutes of that meeting (folios 4142-4144), although it is noted that PREPHOR did not attend, it is stated that “PREPHOR (PRE): [XXX], (does not attend, will abide by 69 See folios 774, 806 and 2961 to 2965, among others.</w:t>
      </w:r>
    </w:p>
    <w:p>
      <w:r>
        <w:rPr>
          <w:b/>
        </w:rPr>
        <w:t>[Pages 49–51]</w:t>
      </w:r>
    </w:p>
    <w:p>
      <w:r>
        <w:t>in the meeting of June 29, 2012, in which it is expressly stated that it did not participate, it should be noted that in the minutes of that meeting (folios 4142-4144), although it is recorded that PREPHOR did not attend, it is indicated that “PREPHOR (PRE): [XXX], (did not attend, will abide by the decisions of ADH)”. Thus, it is recorded that PREPHOR, although it could not attend, expresses its willingness to continue coordinating, in this case, through ADHORNA.</w:t>
      </w:r>
    </w:p>
    <w:p>
      <w:r>
        <w:t>In any case, its continued participation in the cartel throughout the period for which it is charged has been abundantly proven, having even acknowledged its participation in numerous meetings. Therefore, the non-attendance at any isolated meeting within the time period for which it is charged with anticompetitive practices does not alter, as already pointed out, in any way the conclusions contained in the Proposal for Resolution.</w:t>
      </w:r>
    </w:p>
    <w:p>
      <w:r>
        <w:t>Regarding the allegations related to agreements and exchanges of information on covers and manholes, this Chamber also does not share the entity's allegation that during the period 2004-2008, the frequency of emails from 2006 onwards was low, as there are numerous and frequent emails during this period in which PREPHOR is a participant.</w:t>
      </w:r>
    </w:p>
    <w:p>
      <w:r>
        <w:t>On the other hand, it should be noted that the existence of the aforementioned gap in the emails in which PREPHOR appears, between March 2008 and 2011, does not imply in any case that PREPHOR remained inactive during this period, as the absence of contacts does not indicate that the agreements are not still being applied, with PREPHOR having provided no evidence in this regard that would allow for the conclusion of such inactivity.</w:t>
      </w:r>
    </w:p>
    <w:p>
      <w:r>
        <w:t>4.2. On the qualification of a single and continuous infringement. Prescription</w:t>
      </w:r>
    </w:p>
    <w:p>
      <w:r>
        <w:t>According to ADHORNA, the characteristics, both operational and temporal, of both behaviors (agreements on posts on one hand, and agreements on other concrete products on the other) are clearly distinct. Thus, while in the case of posts the behaviors would have begun as early as 1985, in the case of manholes and covers, the behavior covers a different period. Likewise, according to the aforementioned entity, the participation of the various accused companies is different depending on the type of product considered, as not all companies are present in the same markets.</w:t>
      </w:r>
    </w:p>
    <w:p>
      <w:r>
        <w:t>ADHORNA argues that regarding its responsibility, the elements indicated above (temporal intensity, diversity, and scope of the alleged behaviors) must necessarily lead the CNMC to limit its responsibility to two behaviors.</w:t>
      </w:r>
    </w:p>
    <w:p>
      <w:r>
        <w:t xml:space="preserve">Those two behaviors would be: </w:t>
        <w:br/>
        <w:t xml:space="preserve">Agreements on price-fixing, market allocation, and exchange of information related to the sale of prefabricated concrete posts to institutional clients for the period from 2003 to July 2013. </w:t>
        <w:br/>
        <w:t>Agreements on price exchanges related to manholes and covers for institutional clients for the period from 2010 to 2012.</w:t>
      </w:r>
    </w:p>
    <w:p>
      <w:r>
        <w:t>For its part, PREPHOR argues that for a single and continuous infringement to be considered, jurisprudence requires that the anticompetitive behaviors have occurred continuously, understood as a successive or at least proximate time frame. In this regard, PREPHOR indicates that throughout this file there is abundant evidence demonstrating that the behaviors described in the PR do not meet this requirement. This is because a chronological review of the behaviors cited in the PCH and in the PR shows that not only is there no temporal continuity of the behavior, but it is also evidenced that the agreements were broken on various occasions.</w:t>
      </w:r>
    </w:p>
    <w:p>
      <w:r>
        <w:t>On the other hand, PREPHOR claims that the requirement of homogeneity in the modus operandi required by jurisprudence for the behaviors to be qualified as a single and continuous infringement is also not met.</w:t>
      </w:r>
    </w:p>
    <w:p>
      <w:r>
        <w:t>Finally, both entities consider that those behaviors related to concrete posts that occurred prior to the year 2002 could not be subject to analysis in this file, and should be considered prescribed.</w:t>
      </w:r>
    </w:p>
    <w:p>
      <w:r>
        <w:t>Likewise, regarding the behaviors on covers and manholes, ADHORNA considers that the agreements for institutional clients would have prescribed for the period 2004-2008 by application of Article 68.1 of the LDC, so ADHORNA could only be charged for agreements related to covers and manholes to institutional clients in the period 2010-2012, and for behaviors related exclusively to "price exchanges".</w:t>
      </w:r>
    </w:p>
    <w:p>
      <w:r>
        <w:t>Response from the Competition Chamber</w:t>
      </w:r>
    </w:p>
    <w:p>
      <w:r>
        <w:t>This Chamber considers that all the described facts must be regarded as a single and continuous infringement, of a complex nature, in which multiple differentiated agreements such as those described can be subsumed that affect different products of the analyzed relevant market. An examination of the jurisprudence in this regard leads to such a conclusion.</w:t>
      </w:r>
    </w:p>
    <w:p>
      <w:r>
        <w:t>Thus, the Judgment of the Court of Justice of December 6, 2012, Case C-441/11, paragraph 41, indicates that: “According to established case law, an infringement of Article 81 EC, paragraph 1, now 101.1 TFEU, may result not only from an isolated act but also from a series of acts or even from a continued behavior, even if one or several elements of that series of acts or the continued behavior may also constitute by themselves and considered in isolation an infringement of the aforementioned provision. Therefore, when the various actions fall within a ‘joint plan’ due to their identical object that distorts competition within the common market, the Commission may attribute responsibility for those actions based on participation in the infringement considered as a whole (Commission/Anic Partecipazioni, previously cited, paragraph 81, as well as from January 7, 2004, Aalborg Portland and others/Commission, C-204/00 P, C-205/00 P, C-211/00 P, C-213/00 P, C-217/00 P and C-219/00 P, Rec. p. I-123, paragraph 258)”.</w:t>
      </w:r>
    </w:p>
    <w:p>
      <w:r>
        <w:t>In the same vein, the National Court, in its judgment of February 5, 2013, referring to the Judgment of the same Chamber dated November 6, 2009, and also to community jurisprudence, has pointed out that to qualify various behaviors as a single and continuous infringement, it is necessary to examine whether the various behaviors present a link of complementarity, that is, that "contribute, through interaction, to the realization of the set of effects contrary to competition sought by their authors, within the framework of a global plan aimed at a single objective". For this, it will be necessary to examine the application period, the content (including the methods used), and, correlatively, the objective of the various behaviors in question. In this sense, aspects such as the unity of common objectives among the behaviors, the identity of subjects, the methods used, or the temporal coincidence are elements that must be considered when assessing the existence of a single and continuous infringement.</w:t>
      </w:r>
    </w:p>
    <w:p>
      <w:r>
        <w:t xml:space="preserve">Likewise, the recent Judgment of the National Court of July 29, 2014 (appeal no. 172/2013) also recalls the doctrine of the General Court in this regard: </w:t>
        <w:br/>
        <w:t>“1st Thus, in the judgment of February 6, 2014, Case T-27/10 AC- Treuhand AG, paragraphs 240 and 241, it states that the concept of ‘single objective’, which underlies the joint plan of the involved companies, cannot be generically identified with the simple distortion of competition, as that is the premise for qualifying the practice as anticompetitive. Such an interpretation would result in several behaviors related to an economic sector, contrary to Article 81 EC, paragraph 1, being systematically qualified as constitutive elements of a single infringement (see the judgment of the Court of November 30, 2011, Quinn Barlo and others/Commission, T-208/06, Rec. p. II-7953, paragraph 149, and the cited jurisprudence).</w:t>
      </w:r>
    </w:p>
    <w:p>
      <w:r>
        <w:t>Therefore, the degree of complementarity of the different behaviors that make up the single infringement must always be verified.</w:t>
      </w:r>
    </w:p>
    <w:p>
      <w:r>
        <w:t>In this regard, any circumstance that may demonstrate or refute such a link must be taken into account, such as the application period, the content (including the methods used), and, correlatively, the objective of the various behaviors in question (see the judgment Amann &amp; Söhne and Cousin Filterie/Commission, previously cited, paragraph 92, and the cited jurisprudence).</w:t>
      </w:r>
    </w:p>
    <w:p>
      <w:r>
        <w:rPr>
          <w:b/>
        </w:rPr>
        <w:t>[Pages 52–54]</w:t>
      </w:r>
    </w:p>
    <w:p>
      <w:r>
        <w:t>permite a la autoridad de competencia calificar la infracción sin necesidad de realizar una delimitación del mercado relevante.</w:t>
      </w:r>
    </w:p>
    <w:p>
      <w:r>
        <w:t>Por lo tanto, la Sala considera que, en este caso, la conducta de las empresas analizadas se enmarca dentro de una infracción única y continuada, que tiene como objetivo restringir la competencia en el mercado de productos de hormigón, sin que sea necesario definir con precisión los mercados de productos individuales.</w:t>
      </w:r>
    </w:p>
    <w:p>
      <w:r>
        <w:t>En conclusión, la existencia de una infracción única y continuada se justifica por la identificación de elementos de unidad de actuación y finalidad, así como por la naturaleza de las conductas llevadas a cabo por las empresas implicadas, que han actuado de manera coordinada para controlar el mercado de productos de hormigón.</w:t>
      </w:r>
    </w:p>
    <w:p>
      <w:r>
        <w:rPr>
          <w:b/>
        </w:rPr>
        <w:t>[Pages 55–57]</w:t>
      </w:r>
    </w:p>
    <w:p>
      <w:r>
        <w:t>the conduct under investigation in this sanctioning file74:</w:t>
        <w:br/>
        <w:t>“(...) This doctrine also indicates that the exact delimitation of the relevant market is not an element of the type of infringement defined in Article 1 of the LDC when it comes to agreements that, by their content and purpose, can objectively be concluded without further analysis to be anti-competitive by their object. Such is the case of price-fixing and market-sharing cartels like the one subject to this file, as precedents and economic theory reveal that they are agreements that objectively have the capacity to restrict effective competition to the detriment of welfare without producing efficiencies from which third parties can benefit, regardless of the legal and economic context in which they occur (Case T44-00 Mannesmannröhren-Werke AG v Commission, paragraphs 132-133; Case T-61/99, Adistrica di Navigazione Spa, paragraph 29; CNC Decision of July 22, 2004, File 565/03, Radioactive Manipulators, FD 14; CNC Decision of July 29, 2010, File S/0091/08, Fine Wines of Jerez, FD 8; and CNC Decision of July 31, 2010, File S/0120/10, Freight Forwarders).”</w:t>
        <w:br/>
        <w:t>Having noted the above, this Chamber agrees with the market definition made by the Competition Directorate in its Resolution Proposal, from which an analysis of the relevant product market -manufacturing and sale of precast concrete- is derived, and also delineates the segments of that market affected by the conduct -posts, manholes, chambers, and covers-, determining from this delimitation the individual responsibility of each company.</w:t>
        <w:br/>
        <w:t>In the present file, it is evident that the relevant product market is the manufacturing and sale of precast concrete, among other reasons, due to the high substitutability on the supply side that it presents. Likewise, given that the conduct consists of a cartel, and considering the specific products affected by the conduct within the relevant market, it could be determined that the affected market segments would be the products of posts, manholes, chambers, and covers, without this undermining the responsibility of the companies in the conduct subject to the file resolved here. This segmented cartelization of part of the supply is a matter fully accepted in the precedents of the CNC and the judicial decisions of our country75.</w:t>
        <w:br/>
        <w:t>74 In the same sense, among others, the Resolution of the TDC of July 22, 2004, File 565/03, Radioactive Manipulators; Resolutions of the CNC Council of July 31, 2010, File S/0120/10 Freight Forwarders; of August 2, 2012, File S/0287/10 Post-Tensioning and Geotechnics; of March 8, 2013, File S/0329/11 Asphalts of Cantabria and of July 30, 2013, File S/0380/11 Rental Cars, File S/428/12 Pallets.</w:t>
        <w:br/>
        <w:t>75 File S/0179/09 Concrete and Related Products. Judgment of the National Court of November 30, 2013 (appeal 110/2012).</w:t>
        <w:br/>
        <w:t>In short, this Chamber confirms the relevant market definition made by the Competition Directorate and does not share the consideration of the existence of a relevant market for each of the products subject to this file, nor by type of customer to whom the services are directed.</w:t>
        <w:br/>
        <w:t>4.4. On the effects of the conduct in the market</w:t>
        <w:br/>
        <w:t>According to XEIXALVO, during the instruction of the procedure, it provided invoices corresponding to the period 2010-2013 for each customer in order to demonstrate that there was no uniformity of prices resulting from the agreements. In this regard, XEIXALVO disagrees with the DC and points out that it has been shown not only that there is no uniformity of prices but that they fluctuate up to 100% depending on each customer. Likewise, regarding the need for homologations76, according to the aforementioned entity, large institutional customers, due to their high purchasing power, can quickly homologate companies, so it does not constitute a barrier to entry into the market.</w:t>
        <w:br/>
        <w:t>Furthermore, XEIXALVO considers that there is no legal norm that obliges such companies to homologate their suppliers, but rather it is a matter of internal instructions or guidelines.</w:t>
        <w:br/>
        <w:t>In relation to the above, XEIXALVO believes that the DC does not provide any evidence of the existence of negative effects on competition produced by the conduct under investigation. In this sense, according to the entity, the document cited by the DC entitled "Proposal to Reactivate the Post Agreements" confirms the absence of application or, in its case, the very limited application of the agreements.</w:t>
        <w:br/>
        <w:t>Likewise, in the opinion of XEIXALVO, the fact that the companies involved represent only 60% of the market for the manufacture of posts is a circumstance that shows that the alleged agreements could not prosper. With a large number of alternative operators, customers could always have turned to third parties in the event of an illicit price increase.</w:t>
        <w:br/>
        <w:t>In the same vein, ADHORNA points out that, regarding the agreements on posts, they never worked for individual customers, as the agreed rates were never implemented. According to the entity, evidence of this is a document in the administrative file regarding the "Proposal to Reactivate the Post Agreements," in which the first page stated the following: "Let us try to find the reasons why the agreements did not work previously, and perhaps we can find the appropriate therapy."</w:t>
        <w:br/>
        <w:t>76 In paragraph 179 of the PR it is stated: “Likewise, as XEIXALVO points out in the aforementioned folios (5623 to 5624), large customers require suppliers to have followed a homologation procedure, considering XEIXALVO that the involved companies represent the majority of the companies homologated by large institutional customers in Spain."</w:t>
        <w:br/>
        <w:t>In ADHORNA's view, a complete reading of the document demonstrates that the mention of "agreements" refers to agreements concerning individuals that did not function in practice.</w:t>
        <w:br/>
        <w:t>ADHORNA emphasizes that the agreements for individual customers regarding manholes and covers also did not work in practice due to the existence of a series of local manufacturers by areas that were not homologated by Telefónica and that competed with them, selling manholes without reinforcement, with low-strength concrete.</w:t>
        <w:br/>
        <w:t>Similarly, PREPHOR considers that the alleged conduct had no effects in the market.</w:t>
        <w:br/>
        <w:t>Response from the Competition Chamber</w:t>
        <w:br/>
        <w:t>As the Council of the CNC and the CNMC has pointed out on previous occasions, in the assessment of conduct under Article 1 of the LDC, proof of actual anti-competitive effects is not required when it has been determined that they are restrictive by their object77.</w:t>
        <w:br/>
        <w:t>Likewise, the Court of Justice of the European Union has stated that78:</w:t>
        <w:br/>
        <w:t>“[I]t should be recalled that, according to established case law, in the application of Article 101 TFEU (RCL 2009, 2300), paragraph 1, the assessment of the specific effects of an agreement is superfluous when it is found that they have the object of preventing, restricting, or distorting competition (see, in this sense, the judgments of July 13, 1966, Consten and Grundig/Commission, 56/64 and 58/64, Rec. p. 429, and of December 8, 2011 [CJEU 2011, 399], KME Germany and others/Commission, C-272/09 P, Rec. p. I-0000, paragraph 65, and KME Germany and others/Commission, [CJEU 2011, 400] C-389/10 P, Rec. p. I-0000, paragraph 75).</w:t>
        <w:br/>
        <w:t>In this regard, the Court of Justice has stated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w:t>
        <w:br/>
        <w:t>Therefore, it should be considered that an agreement that may affect trade between Member States and has an object contrary to competition</w:t>
        <w:br/>
        <w:t>77 See, File S/0120/10, Freight Forwarders, File S/428/12 Pallets, and File S/0422/12 Loyalty Contracts.</w:t>
        <w:br/>
        <w:t>78 Judgment of December 13, 2012, of the Court of Justice of the European Union (Second Chamber). Case C-226/11 (Expedia Inc. v. Autorité de la concurrence and others).</w:t>
      </w:r>
    </w:p>
    <w:p>
      <w:r>
        <w:rPr>
          <w:b/>
        </w:rPr>
        <w:t>[Pages 58–60]</w:t>
      </w:r>
    </w:p>
    <w:p>
      <w:r>
        <w:t>constitutes, by its very nature and regardless of its specific effects, a significant restriction of the competitive process." And finally, the Supreme Court in its ruling of December 18, 2007, similarly stated that: "Regarding the plaintiff's allegations that its behavior did not have negative effects on the market since it did not reflect in prices, nor in market allocation, nor, ultimately, in the sanctioned companies maintaining, improving, or increasing their market power, it is sufficient to point out […] that the sanctioning of the behaviors included in Article 1 of the Competition Defense Law does not require that such effects have occurred, but only that they could occur, which would already avoid having to examine such arguments."</w:t>
      </w:r>
    </w:p>
    <w:p>
      <w:r>
        <w:t>In light of the above, the result of the analysis of the effects caused by the behaviors in the market should not alter the legal qualification that this Chamber must make in relation to them, as we are faced with anticompetitive behaviors by object, and this qualification is sufficient to consider the existence of an infringement and determine the specific responsibilities that may arise.</w:t>
      </w:r>
    </w:p>
    <w:p>
      <w:r>
        <w:t>Notwithstanding the above, this Chamber considers that the Competition Directorate has demonstrated during the instruction of the procedure that the behaviors carried out by the parties, in addition to having an object contrary to competition, have caused a restrictive effect on competition.</w:t>
      </w:r>
    </w:p>
    <w:p>
      <w:r>
        <w:t>The facts established by the Competition Directorate show that the illicit agreements were put into practice and therefore had effects in the market. In this sense, the minutes of the meetings and documents describing the operation of the agreements show that, despite specific breaches and difficulties, there was follow-up on what was agreed, with agreed offers being submitted and tenders being awarded in the established order, applying agreed prices and exchanging commercial information that conditioned the independent actions of competing companies.</w:t>
      </w:r>
    </w:p>
    <w:p>
      <w:r>
        <w:t>It has also been established that compensations were implemented for those who exceeded their quotas (among others, folios 2962-2965, 3250, 3263, 3809, 3751).</w:t>
      </w:r>
    </w:p>
    <w:p>
      <w:r>
        <w:t>Additionally, it should be noted that the companies involved control 60% of the concrete pole manufacturing market in Spain79 and also represent the majority of the approved companies in our country, a requirement demanded by large institutional clients, as declared by XEIXALVO (folios 5623 to 5624).</w:t>
      </w:r>
    </w:p>
    <w:p>
      <w:r>
        <w:t>79 According to what was indicated by XEIXALVO (folios 5623-5624).</w:t>
      </w:r>
    </w:p>
    <w:p>
      <w:r>
        <w:t>The precast concrete market, in which the products affected by the behaviors are framed, is characterized by the existence of a more restricted number of operators on the demand side (occasional clients and large clients) and very fragmented on the supply side. However, the coordinated behavior of the involved companies restricts that competition, which should be normal in a market of such characteristics, through price-fixing and market allocation, with the aim of maintaining the status quo achieved by them.</w:t>
      </w:r>
    </w:p>
    <w:p>
      <w:r>
        <w:t>As a result, the possibilities of the plaintiffs in this market to access better prices and conditions would have been limited, completely distorting the competitive process pursued through tenders and auctions for the procurement of supplies. All this occurred over a sufficiently long period to generate a structural effect in this market and with the credible threat of exercising a boycott on companies that might deviate, which would undoubtedly have reinforced and secured the effects of the agreements reached.</w:t>
      </w:r>
    </w:p>
    <w:p>
      <w:r>
        <w:t>The most direct victims of these illicit acts are, on one hand, the large clients calling for auctions, which the involved companies divided among themselves, such as Telefónica, Hidroeléctrica del Cantábrico, Unión Fenosa, or Iberdrola, as well as the other clients of the involved companies during the commission of the illicit acts, to whom products are offered at prices agreed upon between the parties, thus being unable to benefit from the advantages of the free market, which could have resulted in lower prices.</w:t>
      </w:r>
    </w:p>
    <w:p>
      <w:r>
        <w:t>It can also be concluded that it is very likely that the damages caused to the large clients, in the form of higher prices and worse commercial conditions, have been passed on in the form of higher prices for their final product, thus affecting the end clients of the companies, namely, consumers of electricity, telephony, etc.</w:t>
      </w:r>
    </w:p>
    <w:p>
      <w:r>
        <w:t>We are therefore faced with behaviors that, in addition to being anticompetitive per se, have caused a clear effect in the market altering the basic rules of the game of free competition.</w:t>
      </w:r>
    </w:p>
    <w:p>
      <w:r>
        <w:t>4.5. On the constitution of the UTE as an instrument to restrict competition</w:t>
      </w:r>
    </w:p>
    <w:p>
      <w:r>
        <w:t>ADHORNA considers that the constitution of the UTE was not part of any common plan to restrict competition, as its objective was exclusively to legalize a situation known to Telefónica in order to improve both the logistics and the management of the services provided to the latter.</w:t>
      </w:r>
    </w:p>
    <w:p>
      <w:r>
        <w:t>In the same vein, PREPHOR states that the business collaboration formalized through the creation of the aforementioned UTE cannot be classified as an anticompetitive agreement, as its purpose was not to restrict or limit competition, but to allow the parties involved to equip themselves with sufficient production capacity to meet the demand and supply conditions of a large client such as Telefónica in this case.</w:t>
      </w:r>
    </w:p>
    <w:p>
      <w:r>
        <w:t>Response from the Competition Chamber</w:t>
      </w:r>
    </w:p>
    <w:p>
      <w:r>
        <w:t>As has been established in the Resolution Proposal, the mentioned UTE aimed to participate in a Telefónica auction, agreeing on the prices to compete with the other companies that were part of the cartel, and in order to set market prices and allocate the same, so its creation is yet another way to implement the global plan aimed at a single objective of closely controlling the market for precast concrete products.</w:t>
      </w:r>
    </w:p>
    <w:p>
      <w:r>
        <w:t>In this sense, the meeting of September 27, 2011, in which the possibility of several companies from the agreement attending future Telefónica auctions as a UTE is discussed, leaves no doubt about the anticompetitive nature that the creation of the UTE by the companies concealed:</w:t>
      </w:r>
    </w:p>
    <w:p>
      <w:r>
        <w:t xml:space="preserve">"1.- UTE </w:t>
        <w:br/>
        <w:t xml:space="preserve">1.1 It is reported: </w:t>
        <w:br/>
        <w:t xml:space="preserve">Number 4 informs that it has sounded out with T the possibility of going in UTE for the next tender and that it is viewed positively, as long as they manage to improve the purchase price, by T., with the following considerations: </w:t>
        <w:br/>
        <w:t xml:space="preserve">The UTE will be formed by numbers 2, 4, and 6. </w:t>
        <w:br/>
        <w:t xml:space="preserve">It must be registered in Adquira before the tender. </w:t>
        <w:br/>
        <w:t xml:space="preserve">It will be valid for a single tender or auction. </w:t>
        <w:br/>
        <w:t xml:space="preserve">1.2 It is debated: </w:t>
        <w:br/>
        <w:t xml:space="preserve">- The order in the final bid of the next auction. </w:t>
        <w:br/>
        <w:t xml:space="preserve">Various considerations are made and the content, in this regard, of the "Agreement proposal for T. June-2011" is presented, where it was stated that in the December/2011 auction the UTE would be 2 1, behind number 9 3. After several considerations, the strongest argument is that it is "more normal" for the UTE to go 1st. </w:t>
        <w:br/>
        <w:t xml:space="preserve">1.3 It is agreed: </w:t>
        <w:br/>
        <w:t>That the UTE may go first, seeking a way to promote an award of 60/40%, either by indicating the UTE's commitment of up to 60% of the tender in its offer (in the section of manufacturing capacity made available to T.), or by stating it verbally to T." (folio 3116). (Emphasis added)</w:t>
      </w:r>
    </w:p>
    <w:p>
      <w:r>
        <w:t>To this, it should be added that the constitution of the UTE by the companies does not seem to obey a coherent business and economic logic, as there is no objective need for the companies to associate due to a lack of capacity to participate individually in the auctions, and this, combined with the parties' own behaviors mentioned, reinforces the idea that</w:t>
      </w:r>
    </w:p>
    <w:p>
      <w:r>
        <w:rPr>
          <w:b/>
        </w:rPr>
        <w:t>[Pages 61–63]</w:t>
      </w:r>
    </w:p>
    <w:p>
      <w:r>
        <w:t>we are faced with the use of a means -associative agreement- to achieve the end of agreeing on prices and dividing the market.</w:t>
      </w:r>
    </w:p>
    <w:p>
      <w:r>
        <w:t>The use of associative structures as a vehicle for carrying out anticompetitive practices -a matter noted by the very regulations governing the activity of temporary joint ventures (UTE)80- has been addressed by various competition monitoring authorities, which have analyzed this figure and established the criteria that must be observed to determine whether the establishment of a UTE can be considered a means to achieve anticompetitive ends.</w:t>
      </w:r>
    </w:p>
    <w:p>
      <w:r>
        <w:t>Based on the consideration that the creation of a UTE does not constitute per se an anticompetitive agreement, since it is a legally accepted associative figure and also common in the business sector in our country, the assessment of its impact on competition must be made based on the characteristics of the companies that form it and the specific context in which it occurs.</w:t>
      </w:r>
    </w:p>
    <w:p>
      <w:r>
        <w:t>Through the Resolution of January 20, 2003 (Expte. r 504/01, Home Respiratory Therapies)81, the Competition Defense Tribunal established that, in assessing the associative agreement as a means to carry out anticompetitive conduct, the criteria of capacity and autonomy of the companies must be evaluated, since "only when the concerted companies lacked sufficient capacity to achieve the object of the tender on their own and could not participate individually could it be established that there is no impact on competition."</w:t>
      </w:r>
    </w:p>
    <w:p>
      <w:r>
        <w:t>In similar terms, the European Commission states in its Communication regarding the Guidelines on the applicability of Article 101 of the Treaty on the Functioning of the European Union to horizontal cooperation agreements (2011/C 11/01), when in paragraph 237 it refers to this type of associative agreements for the purposes of considering them contrary to competition rules.</w:t>
      </w:r>
    </w:p>
    <w:p>
      <w:r>
        <w:t>"In general, a marketing agreement is unlikely to raise competition concerns if it is objectively necessary for one party to enter a market that it could not have accessed individually or with fewer parties than those actually participating in the cooperation, for example, due to the costs involved. A specific application of this principle would be consortium arrangements that allow the involved companies to participate in projects that they could not undertake individually. Since the parties to the consortium arrangement are not,</w:t>
      </w:r>
    </w:p>
    <w:p>
      <w:r>
        <w:t>therefore, potential competitors in the execution of the project, there is no restriction of competition under Article 101, paragraph 1."</w:t>
      </w:r>
    </w:p>
    <w:p>
      <w:r>
        <w:t>It is worth noting that the European Commission considers that, in these cases, the insignificant individual position of the companies in the market and, therefore, their inability to participate in the project unless they present themselves jointly, would exclude the possibility of considering the existence of a horizontal relationship between them, as they would not be potential competitors in the execution of the project. However, this is not the case concerning the companies constituting the UTE subject to the present file.</w:t>
      </w:r>
    </w:p>
    <w:p>
      <w:r>
        <w:t>The data contained in the file, particularly relating to the business volumes of the mentioned companies, leads to the conclusion that the companies had sufficient individual capacity to participate in the tenders without the need to associate with other companies, since ADHORNA, PREPHOR, and ROMERO HORMELEC are companies whose business volumes, as well as their technical and material means, have been sufficient not to have to depend on other companies to participate in the tenders of Telefónica. Additionally, it should be noted that the mentioned companies would have participated individually in other tenders before, during, and after the year 201182 (the date of the establishment of the UTE), so it is difficult to justify the establishment of the UTE based on the lack of capacity of the companies.</w:t>
      </w:r>
    </w:p>
    <w:p>
      <w:r>
        <w:t>In short, it has been established that the UTE aimed to participate in a tender from Telefónica, agreeing on the prices at which to compete with the other companies that were part of the cartel, with the aim of setting market prices and dividing the market, so its creation is yet another way to implement the overall plan aimed at a single objective of closely controlling the market for prefabricated concrete products.</w:t>
      </w:r>
    </w:p>
    <w:p>
      <w:r>
        <w:t>4.6. Regarding the anonymous complaint that gave rise to the file</w:t>
      </w:r>
    </w:p>
    <w:p>
      <w:r>
        <w:t>XEIXALVO requests the CNMC to archive the file due to its initiation based on an anonymous complaint.</w:t>
      </w:r>
    </w:p>
    <w:p>
      <w:r>
        <w:t>According to the aforementioned entity, the regulations and jurisprudence prohibit the filing of anonymous complaints in the administrative sanctioning field in order to prevent any person from, without identifying themselves, providing information obtained unlawfully, even with violations of fundamental rights contrary to what is established in the Spanish Constitution.</w:t>
      </w:r>
    </w:p>
    <w:p>
      <w:r>
        <w:t>Response from the Competition Chamber</w:t>
      </w:r>
    </w:p>
    <w:p>
      <w:r>
        <w:t>XEIXALVO's request cannot be accepted by this Chamber since the anonymous complaint has only been considered to investigate the facts prior to the initiation of the sanctioning procedure and has not served as a basis for determining the responsibility of the companies involved.</w:t>
      </w:r>
    </w:p>
    <w:p>
      <w:r>
        <w:t>As previously stated by the CNC83, the elements of proof of the conduct do not correspond exclusively to the information and documents provided by the complainant, who initially brings to light the infringing actions, but rather it is the investigative activity of the instructing body, through the corresponding inspections, along with other relevant information, that allows for the determination of the existence of sufficient indications that compel the initiation of the corresponding sanctioning procedure, the true channel in which the corresponding responsibilities must be determined and the appropriate sanctions imposed.</w:t>
      </w:r>
    </w:p>
    <w:p>
      <w:r>
        <w:t>In criminal law, where the requirement for procedural requirements must be greater, if possible, than in administrative sanctioning law, the Supreme Court84 admits the submission of anonymous complaints as one more source of knowledge that makes possible the preliminary investigation phase by the instructing judge, so it does not constitute an "automatic and radical impediment" to the investigation of the facts, but rather serves as an indicative element that provides a basis for initiating preliminary investigations aimed at determining the existence of a criminal offense.</w:t>
      </w:r>
    </w:p>
    <w:p>
      <w:r>
        <w:t>Likewise, within the framework of administrative sanctioning law, the courts allow this type of complaints to be taken into account, for the same reasons already mentioned85, and within the procedures processed and resolved by the CNC, there is also no judicial impediment to considering such documents as indicative elements for the initiation of the preliminary investigation phase prior to the initiation of the sanctioning procedure. This is evident from the Judgment of the National Court of December 23, 2013 (appeal 188/12), when it states the following:</w:t>
      </w:r>
    </w:p>
    <w:p>
      <w:r>
        <w:t>"Therefore, in light of all the above, the participation of the plaintiff has been established, considering that the documents of the anonymous complaint have been corroborated by what results from the other documentation to which we have referred, so that the latter, which gave rise to the reserved information, does not constitute, by itself, the sole proof of the participation of the plaintiff, thus respecting the Jurisprudence of the Court of the European Union (Judgment of June 16, 2011, case Heincken)."</w:t>
      </w:r>
    </w:p>
    <w:p>
      <w:r>
        <w:t>Therefore, in the present case, we can admit that the necessary prerequisites have been met to consider the anonymous complaint that initiated the investigation period by the DC as admissible, since it has only been considered to investigate the facts prior to the initiation of the sanctioning procedure. The necessary evidence for the charges to be brought is required.</w:t>
      </w:r>
    </w:p>
    <w:p>
      <w:r>
        <w:rPr>
          <w:b/>
        </w:rPr>
        <w:t>[Pages 64–66]</w:t>
      </w:r>
    </w:p>
    <w:p>
      <w:r>
        <w:t>determination of responsibility and for the imposition of the corresponding sanctions have derived from the inspections carried out by the Directorate of Investigation at the premises of the companies POSTELÉCTRICA FABRICACIÓN S.A. (Madrid headquarters, folios 1533 to 1555, and Palencia headquarters, folios 1533 to 1555), ROMERO HORMELEC S.A. (Madrid headquarters, folios 71 to 82, and Zaragoza headquarters, folios 315 to 350) and ADHORNA PREFABRICACIÓN S.A. (folios 1148 to 1167), and from the documentation requested from the companies during the processing of the sanctioning procedure, without the complaint having essential incriminating weight in this procedure.</w:t>
      </w:r>
    </w:p>
    <w:p>
      <w:r>
        <w:t xml:space="preserve">FIFTH.- RESPONSE TO OTHER QUESTIONS REQUESTED IN THE RESOLUTION PHASE </w:t>
        <w:br/>
        <w:t xml:space="preserve">5.1. Proposal for evidence </w:t>
        <w:br/>
        <w:t xml:space="preserve">The entities XEIXALVO and RUBIERA have requested the practice of the following evidence: </w:t>
        <w:br/>
        <w:t xml:space="preserve">XEIXALVO has requested: </w:t>
        <w:br/>
        <w:t xml:space="preserve">The admission of the documentary evidence contained in Annex 2 of its written allegations, which contains a nominal list of the company's workers (TC2). </w:t>
        <w:br/>
        <w:t xml:space="preserve">Witness evidence consisting of the CNMC Council requesting the clients of the entity indicated in Annex I of its written allegations, to confirm that they did not suffer price reductions from XEIXALVO in the years 2004 or 2005 as a measure to prevent them from acquiring supplies from APLIHORSA. </w:t>
        <w:br/>
        <w:t xml:space="preserve">For its part, RUBIERA has requested: </w:t>
        <w:br/>
        <w:t xml:space="preserve">The admission of a documentary evidence consisting of a sworn statement formalized by the worker of RUBIERA PREDISA who, as commercial director, provided services in the purchasing department in the years 2012 and 2013. </w:t>
        <w:br/>
        <w:t xml:space="preserve">Regarding the evidence requested by the parties, it should be noted that Article 51.1 of the LDC provides that the CNMC Council may order, ex officio or at the request of any interested party, the practice of evidence different from those already practiced before the DC in the instruction phase, as well as the carrying out of complementary actions in order to clarify specific issues for the formation of its judgment in the decision-making process. </w:t>
        <w:br/>
        <w:t xml:space="preserve">This Law regulates the practice of evidence before the Council as an exceptional procedure. A single sanctioning procedure is established, in which the instruction phase carried out by the DC is clearly separated (“in which all necessary acts for the clarification of the facts will be carried out and the contradiction and the right of defense of the accused will be guaranteed”), and the resolution phase that corresponds to the Council, which adopts decisions based on the proposals made by the DC, eliminating the duplication of actions of the previous LDC, without detriment to the principle of legal certainty. </w:t>
        <w:br/>
        <w:t xml:space="preserve">Therefore, in the scheme of the LDC, both the practice of evidence, at the proposal of the parties or ex officio by the Council, and the holding of a hearing, are discretionary actions of the Council, which will agree to them to the extent that it considers them necessary to clarify issues that are not recorded in the instruction, and that are essential for the formation of its judgment before resolving (Article 51.1 and 3 of the LDC). </w:t>
        <w:br/>
        <w:t xml:space="preserve">In addition, in evidentiary matters, according to the doctrine of the Constitutional Court, it is the Council's criterion to consider that only those that have potential decisive influence in terms of defense are admissible as exculpatory evidence, which must be duly motivated by the interested party (SSTC 25/1991, 205/1991, 1/1996, 217/1998 and 101/1999). </w:t>
        <w:br/>
        <w:t xml:space="preserve">In any case, the decision on the proposed evidence must necessarily start from the proposal report sent by the DC, along with the entire administrative file, and from the scope or extent of the infringement attributed to the initiated parties. </w:t>
        <w:br/>
        <w:t xml:space="preserve">In light of this, this Chamber has deemed it appropriate to incorporate into the file all the new documents provided by the parties along with their written allegations to the proposal for resolution, although in general terms these documents do not provide added value regarding the information already contained in the file, and based on which the facts subject to investigation and the attribution made regarding the initiated entities have been considered accredited. The documentary evidence provided by both parties in their written allegations has been admitted and, therefore, taken into account. </w:t>
        <w:br/>
        <w:t xml:space="preserve">On the contrary, the witness evidence requested by the entity XEIXALVO has not been admitted, as this Chamber understands that it would not have provided conclusive information to undermine the assessment regarding the behaviors subject to this Resolution, since, as noted, we are facing an infringement by object, being sufficient to sanction the intentionality of the behaviors without the need for their execution, although - as already mentioned - there is sufficient evidence to conclude that it has also occurred. </w:t>
        <w:br/>
        <w:t xml:space="preserve">5.2. Request for confidentiality </w:t>
        <w:br/>
        <w:t xml:space="preserve">The following entities have expressly requested the confidentiality of part of the information contained in the written allegations to the Proposal for Resolution: </w:t>
        <w:br/>
        <w:t xml:space="preserve">a) PREPHOR requests in its written allegations the confidentiality of the “Commercial details of the agreement between PFSA and PREPHOR”. </w:t>
        <w:br/>
        <w:t xml:space="preserve">- Page 7, last paragraph, folio 8146. </w:t>
        <w:br/>
        <w:t xml:space="preserve">- Page 8, third, fourth, and fifth paragraphs, folio 8147. </w:t>
        <w:br/>
        <w:t xml:space="preserve">b) For its part, XEIXALVO requests that the following data from its written allegations to the Proposal for Resolution be declared confidential: </w:t>
        <w:br/>
        <w:t xml:space="preserve">- Information relating to the identity and description of XEIXALVO's main client, as well as the sales it represents for XEIXALVO in relation to the sale of concrete posts and the level of prices applied compared to other clients (page 5, third paragraph, folio 8026). </w:t>
        <w:br/>
        <w:t xml:space="preserve">- Information relating to the identity, number, and description of the type of clients with whom XEIXALVO has maintained a commercial relationship between the years 2010 and 2013 in relation to the sale of concrete posts (page 5, penultimate paragraph, folio 8026). </w:t>
        <w:br/>
        <w:t xml:space="preserve">- Number of XEIXALVO clients in 2013 in relation to the sale of concrete posts (page 5, last paragraph, folio 8026). </w:t>
        <w:br/>
        <w:t xml:space="preserve">- Identity of the main client and sales volume it represents compared to other clients (page 5, last paragraph, folio 8026). </w:t>
        <w:br/>
        <w:t xml:space="preserve">- Number of XEIXALVO clients in the sale of posts excluding the most important client in 2013 (page 5, last paragraph, folio 8026). </w:t>
        <w:br/>
        <w:t xml:space="preserve">- Information relating to the percentage of business volume that the sale of concrete posts represents for XEIXALVO in relation to total sales in 2013 (page 6, second paragraph, folio 8027). </w:t>
        <w:br/>
        <w:t xml:space="preserve">- Information relating to XEIXALVO's main client and the price difference they pay compared to other clients (page 6, third paragraph, folio 8027). </w:t>
        <w:br/>
        <w:t xml:space="preserve">- Information relating to sales made to XEIXALVO's main client and to its commercial organization that XEIXALVO knows due to its contractual link but that is outside the public domain (page 9, third to last paragraph, folio 8030). </w:t>
        <w:br/>
        <w:t xml:space="preserve">- Information relating to XEIXALVO's situation in the year 2013 (page 12, second paragraph, folio 8033). </w:t>
        <w:br/>
        <w:t xml:space="preserve">- Internal estimate of XEIXALVO of the total market for concrete posts in Spain in 2013 and previous years (page 12, third paragraph, folio 8033). </w:t>
        <w:br/>
        <w:t xml:space="preserve">- Information on the business volume in relation to the sale of concrete posts in 2013 (page 17, last paragraph, folio 8038). </w:t>
        <w:br/>
        <w:t>- Internal estimate of XEIXALVO of its market share in the sale of concrete posts in 2013 (page 17, last paragraph, folio 8038).</w:t>
      </w:r>
    </w:p>
    <w:p>
      <w:r>
        <w:rPr>
          <w:b/>
        </w:rPr>
        <w:t>[Pages 67–69]</w:t>
      </w:r>
    </w:p>
    <w:p>
      <w:r>
        <w:t xml:space="preserve">- Information about the situation of XEIXALVO in 2013 (page 18, first paragraph, folio 8039).  </w:t>
        <w:br/>
        <w:t xml:space="preserve">- Indication of the number of workers at XEIXALVO (page 18, first paragraph, folio 8039).  </w:t>
        <w:br/>
        <w:t xml:space="preserve">- Internal estimate by XEIXALVO of the total market for posts in Spain in 2013 (page 18, penultimate paragraph, folio 8039).  </w:t>
        <w:br/>
        <w:t xml:space="preserve">- Annex 1. Contact details of the clients UDESA and MALGA S.L. (folio 8043).  </w:t>
        <w:br/>
        <w:t>- Annex 2. List of current employees of XEIXALVO (folios 8044-8045).</w:t>
      </w:r>
    </w:p>
    <w:p>
      <w:r>
        <w:t>After analyzing the aforementioned information, this Chamber considers it appropriate to declare the confidentiality of the said information as it is considered to be information protected by trade secret.</w:t>
      </w:r>
    </w:p>
    <w:p>
      <w:r>
        <w:t xml:space="preserve">SIXTH.- ASSESSMENT OF THE COMPETITION CHAMBER OF THE COUNCIL  </w:t>
        <w:br/>
        <w:t xml:space="preserve">In accordance with the above, this Chamber considers that it has been established that the companies referred to in this resolution engaged in a single and continuous infringement of a complex nature, prohibited under Article 1 of the LDC.  </w:t>
        <w:br/>
        <w:t xml:space="preserve">The entities POSTELÉCTRICA FABRICACIÓN, ROMERO HORMELEC, ADHORNA PREFABRICACIÓN, PREPHOR, XEIXALVO, APLIHORSA, RUBIERA, and BUPRE have engaged from 1985 to 2013 in practices contrary to competition rules through various behaviors in the market for the manufacture and sale of prefabricated concrete products, consisting of price-fixing agreements, exchange of sensitive information, allocation of auctions, and customer allocation, in relation to various products in the relevant market (posts, chambers, manholes, and covers). There is a link of complementarity or common plan among the companies concerning the described behaviors, without prejudice to the fact that the participation of some of the companies may have varied regarding the affected product or the period of participation.  </w:t>
        <w:br/>
        <w:t xml:space="preserve">The conjunction of all the aforementioned elements leads us to the conclusion that we are faced with the existence of a cartel, as the necessary prerequisites contained in the Fourth Additional Provision of the LDC86 are met. Thus, regarding the subjective element required, it is evident that the parties in this proceeding are companies competing in the same market for the sale and manufacture of prefabricated concrete products, and that they have engaged in bilateral and multilateral agreements over a period spanning from 1985 to 2013. These agreements, primarily consisting of price-fixing, information exchange, market allocation, and auction allocation, are some of the behaviors that both Article 1 of the LDC and the Fourth Additional Provision of the same Law foresee as prohibited agreements deserving of sanction. Likewise, it has been established that the companies adopted their agreements with manifest concealment and secrecy, as evidenced, for example, by the recommendation not to leave written records of any agreements that could be illicit (folio 854).  </w:t>
        <w:br/>
        <w:t xml:space="preserve">Regarding the exchange of sensitive information, this Chamber considers that we are dealing with information that perfectly fits the characteristics of a collusive agreement restricting competition as described in the Guidelines on the applicability of Article 101 of the Treaty on the Functioning of the European Union to horizontal cooperation agreements.  </w:t>
        <w:br/>
        <w:t xml:space="preserve">The aforementioned Guidelines establish that the exchange of strategic data between competitors, that is, data that reduces strategic uncertainty in the market, is more likely to fall within the scope of Article 101 than exchanges of other types of information. The exchange of strategic data can lead to restrictive effects on competition as it reduces the independence of the parties to make decisions, diminishing their incentives to compete. Strategic information may refer to prices (i.e., actual prices, discounts, increases, reductions, or rebates), customer lists, production costs, quantities, business volumes, sales, capacities, qualities, marketing plans, risks, investments, technologies, as well as R&amp;D programs and their results.  </w:t>
        <w:br/>
        <w:t xml:space="preserve">The information exchange analyzed here, therefore, falls into the category of strategic information likely to produce a clear impact on the relevant market subject to this file.  </w:t>
        <w:br/>
        <w:t xml:space="preserve">From the documentation in the file from which this Resolution arises, it can be easily deduced that the parties engaged in the described behaviors, with the content of the meeting minutes, the emails obtained during inspections, the handwritten notes of the companies, as well as the accreditation of other types of behaviors typically characteristic of habitual cartel conduct87, such as the deliberate concealment of illicit agreements, the regularity with which meetings were held, and the agreed reprisals against companies that violated the collective agreements, serving as unequivocal evidence of this.  </w:t>
        <w:br/>
        <w:t>87 See, the resolution of the CNC S/0185/09 Fluid Pumps and the SAN of February 5, 2013 (appeal 420/2011).</w:t>
      </w:r>
    </w:p>
    <w:p>
      <w:r>
        <w:t xml:space="preserve">But furthermore, as already pointed out in this Resolution, the companies themselves have expressly acknowledged the existence of these anticompetitive behaviors. It is sufficient to substantiate this assertion with the content of the 1985 report, drafted by the entities POSTELÉCTRICA FABRICACIÓN, POSTES NERVIÓN, ROMERO, PREPHOR, and HORMELEC, in which the possibility of establishing a relationship among the different producers of concrete posts is already raised, knowing its illicit nature: "(...) the agreements or pacts made by all members that do not constitute an active defense of the interests of the sector must be considered UNLAWFUL, so that, ultimately, they cannot be written down and reliance must be placed on the gentlemen's agreement" (folio 854)88.  </w:t>
        <w:br/>
        <w:t xml:space="preserve">Although the behaviors have affected various products in the prefabricated concrete market (posts, chambers, manholes, and covers) in different ways, this does not prevent us from considering that we are facing a single and continuous infringement of a complex nature. The plurality of actions carried out by the companies has constituted the materialization of a common plan aimed at tightly controlling the market for prefabricated concrete products. While it is true that the instruments and means used have varied and, to some extent, strengthened over time, it is no less true that the behaviors are carried out with an identical object and substrate, and this has been established in the present file.  </w:t>
        <w:br/>
        <w:t xml:space="preserve">In this regard, the minutes of the meetings and documents describing the functioning of the agreements show that, despite occasional non-compliance and difficulties, there was follow-up on what was agreed, with agreed offers being sent and tenders being awarded in the established order, applying agreed prices and exchanging commercial information that conditioned the independent actions of competing companies.  </w:t>
        <w:br/>
        <w:t>Finally, this Chamber wishes to emphasize that, while it is true that the behaviors constituted restrictions on competition by their object and this would have been sufficient to appreciate the administrative illicit and determine the corresponding responsibilities, it has also been proven that they have caused harmful effects in the market for the manufacture and sale of prefabricated concrete products, which reinforces the consideration of the existence of a single infringement that deserves punishment from the perspective of sanctioning law.</w:t>
      </w:r>
    </w:p>
    <w:p>
      <w:r>
        <w:t xml:space="preserve">SEVENTH.- DETERMINATION OF THE SANCTION  </w:t>
        <w:br/>
        <w:t xml:space="preserve">7.1.- Responsibility of the companies  </w:t>
        <w:br/>
        <w:t xml:space="preserve">88 See page 101, paragraphs 18 and 22, folio 7542 of the PR regarding the acknowledgment of participation by BUPRE and PREPHOR.  </w:t>
        <w:br/>
        <w:t xml:space="preserve">See page 116, paragraph 85, folio 7557 of the PR regarding the acknowledgment of participation by ADHORNA.  </w:t>
        <w:br/>
        <w:t>See page 118, paragraph 92, folio 7559, of the PR, regarding the acknowledgment of the facts by RUBIERA.</w:t>
      </w:r>
    </w:p>
    <w:p>
      <w:r>
        <w:rPr>
          <w:b/>
        </w:rPr>
        <w:t>[Pages 70–72]</w:t>
      </w:r>
    </w:p>
    <w:p>
      <w:r>
        <w:t>The responsibility of the companies referred to in the Third Legal Basis of this Resolution is, in the opinion of this Chamber, unquestionable in light of the proven facts and the evidence and other elements of judgment contained in the file resolved here, which is why this Chamber agrees with the attribution of responsibility made by the Competition Directorate in its Proposal for Resolution.</w:t>
      </w:r>
    </w:p>
    <w:p>
      <w:r>
        <w:t>Likewise, this Chamber agrees with the attribution of responsibility to ROMERO HORMELEC, who is also attributed the responsibility of the companies POSTES ROMERO, S.A. and HOMIGÓN ELECTRICIDAD, S.A., and with the attribution made to ADHORNA, who is also attributed the responsibility of POSTES NERVIÓN, S.A.</w:t>
      </w:r>
    </w:p>
    <w:p>
      <w:r>
        <w:t>In both cases, the necessary prerequisites to apply the principle of economic continuity are present, transferring the responsibility for the infringement to the entity resulting from the corporate restructuring operation.</w:t>
      </w:r>
    </w:p>
    <w:p>
      <w:r>
        <w:t>Finally, this Chamber wishes to express its agreement with the de-imputation of the entity ELEMENTOS DE SUJECIÓN GALVANIZADOS, S.L. as it has been confirmed that there was an error in attributing anticompetitive conduct due to the fact that [XXX] acted simultaneously on behalf of this entity and BUPRE, which did participate in the anticompetitive conduct related to covers and manholes for which it is being charged.</w:t>
      </w:r>
    </w:p>
    <w:p>
      <w:r>
        <w:t>Having noted the above, once the conduct contrary to the LDC has been proven and qualified, Article 63.1 of the LDC conditions the exercise of the sanctioning power regarding fines by the Competition Authority on the presence in the infringing subject of intent or negligence in the commission of the conduct attributed.</w:t>
      </w:r>
    </w:p>
    <w:p>
      <w:r>
        <w:t>Well, the Chamber considers that it has been proven that the companies knew and were aware of the unlawfulness of the conduct carried out.</w:t>
      </w:r>
    </w:p>
    <w:p>
      <w:r>
        <w:t>In this regard, there are several elements that demonstrate this conscious behavior of the parties. Thus, the secret nature of the agreements, the existence of handwritten notes, the use of numerical codes to identify the companies, the refusal of some companies to participate in the conduct, the adoption of measures in case of non-compliance, the use of legal instruments such as the UTE to achieve illicit objectives, as well as the duration of the conduct, are evidence that allows for such an assertion.</w:t>
      </w:r>
    </w:p>
    <w:p>
      <w:r>
        <w:t>Moreover, as we have previously pointed out, the companies themselves have acknowledged their participation in the conduct and their awareness of its unlawfulness, as demonstrated by the content of the aforementioned report from 1985.</w:t>
      </w:r>
    </w:p>
    <w:p>
      <w:r>
        <w:t>All of these are sufficient elements to consider the existence of a conscious and desired action by the parties without any of the companies being able to claim ignorance of the unlawful behavior.</w:t>
      </w:r>
    </w:p>
    <w:p>
      <w:r>
        <w:t>7.2.- Criteria for determining the fine and applicable law</w:t>
      </w:r>
    </w:p>
    <w:p>
      <w:r>
        <w:t>Article 62.4.a) of the LDC establishes that the conduct consisting of cartels or other agreements, decisions, or collective recommendations, concerted practices, or consciously parallel practices among competing companies, whether real or potential, will be classified as very serious infringements.</w:t>
      </w:r>
    </w:p>
    <w:p>
      <w:r>
        <w:t>Article 63.1 of the LDC grants the CNMC the power to sanction companies that, deliberately or through negligence, infringe the prohibition of collusive agreements. According to established jurisprudence, the principle of culpability is inherent to cartel infringements, but in addition to the proven facts of this Resolution, it is established that the companies were aware of the unlawful nature of their anticompetitive conduct.</w:t>
      </w:r>
    </w:p>
    <w:p>
      <w:r>
        <w:t>In this case, we are therefore dealing with a very serious infringement, deserving of an economic sanction. For its determination, Articles 61 to 64 of the LDC must be followed, which establish the fundamental criteria to be taken into account when determining the amount of the fine, criteria that inspire the "CNC Communication on the quantification of sanctions arising from infringements of Articles 1, 2, and 3 of Law 15/2007, of July 3, on the Defense of Competition and Articles 81 and 82 of the Treaty of the European Community (current Articles 101 and 102 of the TFEU)."</w:t>
      </w:r>
    </w:p>
    <w:p>
      <w:r>
        <w:t>Article 63.1.c) of the LDC states that very serious infringements may be punished with a fine of up to 10 percent of the total turnover of the infringing company in the financial year immediately preceding the imposition of the fine, and in cases where it is not possible to delineate the turnover, paragraph 3.c) of the aforementioned article states that the amount of the fine will be more than 10 million euros.</w:t>
      </w:r>
    </w:p>
    <w:p>
      <w:r>
        <w:t>Article 64 of the LDC states that the amount of the sanctions will be set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apply to each of the responsible companies.</w:t>
      </w:r>
    </w:p>
    <w:p>
      <w:r>
        <w:t>The Communication on the imposition of sanctions arising from infringements of Articles 1, 2, and 3 of Law 15/2007, of July 3, on the Defense of Competition and Articles 101 and 102 of the Treaty of the European Community applicable to infringers of competition rules, aims to establish guidelines that, in general, guide the actions of the Competition Authority when applying the criteria set forth in Article 64 of the LDC. This aims to contribute to improving transparency and objectivity in the determination of the sanction, enhancing its deterrent effect, and favoring the legal certainty of economic operators. These guidelines for specifying the application of the criteria of Article 64 of the LDC have been used by the Council to determine the sanction in this Resolution, fully respecting the criteria established by the Supreme Court, which in numerous rulings has maintained that the discretion granted to the Administration must be developed by weighing in all cases the concurrent circumstances in order to achieve the necessary and due proportionality between the facts attributed and the responsibility required, given that every sanction must be determined in accordance with the severity of the infringement committed and according to a criterion of proportionality attentive to the objective circumstances of the fact.</w:t>
      </w:r>
    </w:p>
    <w:p>
      <w:r>
        <w:t>The LDC, therefore, first sets a legal maximum for the sanction (art. 63 LDC), which aims to limit the maximum fine based on the infringer's ability to pay to prevent the payment of the fine from leading to the company's disappearance – hence Article 63 LDC refers to the total turnover figure for the period closest to the sanctioning resolution, regardless of the affected market and when the infringement occurred – and then establishes criteria for the graduation of the sanction along with aggravating and mitigating circumstances (art. 64 LDC). Thus, without prejudice to compliance with this legal maximum (10% of total turnover for the previous financial year), the process of determining the fine follows what is provided in the aforementioned Communication, which serves as a parameter for specifying Article 64 of the LDC and provides objectivity and transparency to the methodology followed for setting sanctions, in line with the application of European Union competition law.</w:t>
      </w:r>
    </w:p>
    <w:p>
      <w:r>
        <w:t>This Chamber understands that this is the legislator's intent when it states, in the Explanatory Memorandum of the LDC, that “(...) Title Five includes the sanctioning regime. In this sense, the Law represents a significant advance in legal certainty as it establishes a gradation of the various infringements provided for therein and clarifies the maximum sanctions for each type, set in terms of a percentage of the total sales of the infringers. Furthermore, the criteria that determine the specific fine in each case are specified, in line with current trends in the European sphere. Additionally, the publicity of all sanctions imposed under the Law is foreseen, which will reinforce the deterrent and exemplary power of the resolutions adopted.”</w:t>
      </w:r>
    </w:p>
    <w:p>
      <w:r>
        <w:rPr>
          <w:b/>
        </w:rPr>
        <w:t>[Pages 73–75]</w:t>
      </w:r>
    </w:p>
    <w:p>
      <w:r>
        <w:t>In its allegations, ADHORNA, citing various rulings from the National Court, argues that the maximum penalty that can be imposed would be 10% of the turnover obtained by the company in the economic activity area in which the infringement occurred, in the fiscal year prior to the imposition of the fine. The Council, as it has already stated on previous occasions91, cannot accept this allegation. The ruling SAN of 12/04/2013 (06/395/2011) refers to the consideration of the maximum limit as a guarantee to safeguard the viability of the company, a limit that is established in relation to the total turnover of the infringing company, and not with the turnover related to the infringement, as is now being claimed: “In this case, it is not established that the fine exceeded 10 percent of the total turnover of the infringing company in the fiscal year immediately prior to the imposition of the fine, a percentage set in Article 63 by the legislator, precisely to ensure that the payment of fines does not lead to the disappearance of the company.” Other rulings also express this same view, such as those cited below: SAN 05/02/2013 (06/420/2011), SAN 13/02/2013 (06/377/2011), SAN 25/02/2013 (06/390/2011), SAN 26/02/2013 (06/646/2011), SAN 05/03/2013 (06/566/2011). See also STS of 29/05/2013 (cassation appeal no. 3/1312/2010). The Council considers that the LDC clearly distinguishes between "affected market" and "total turnover," concepts that, consequently, cannot be used interchangeably. While Article 64.1 of the LDC refers to “the size and characteristics of the market affected by the infringement” as a criterion to be considered for determining the amount of the penalty, Article 63.1 of the LDC expressly refers to “the total turnover of the infringing company in the fiscal year immediately prior to the imposition of the fine,” without making any reference to the market affected by the infringement. Thus, the penalty calculation process designed by the LDC is structured around a two-phase approach: on one hand, the criteria that must be taken into account to determine the penalties listed in Article 64 LDC (developed by the Fine Communication) must be considered; and once the penalties are calculated according to such criteria, it must be verified that the amount of the fine does not exceed the maximum threshold established in Article 63.1 of the LDC (i.e., “10 percent of the total turnover of the infringing company in the fiscal year immediately prior to the imposition of the fine”).</w:t>
      </w:r>
    </w:p>
    <w:p>
      <w:r>
        <w:t>In short, Article 63.1 of the LDC does not set a range of penalties, but rather a limit. And this limit is based on the total turnover of the company, and not on that corresponding to the market affected by the infringement. This provision does not serve as a liquidation or penalty graduation element, but constitutes a maximum threshold beyond which it is not possible to impose sanctions without the payment of the fine posing a risk of the company's disappearance and jeopardizing its future viability (a threshold that is consequently established with regard to the current economic capacity of the company). The wording of Article 63.1.c) of LDC 15/2007 is also analogous to that of Article 23.2 of Regulation EC 1/2003, applicable in infringement proceedings of Articles 101 and 102 TFEU (formerly 81 and 82 TEC), and is a consequence of an equivalent systematic approach in the national and community spheres. Therefore, the Communication on quantification and the Guidelines for calculating fines imposed under Article 23.2.a) of Regulation EC 1/2003 are analogous in terms of the method of calculating the penalty, as in both cases the basic amount results from a percentage of the value of the sales linked to the infringement. And it is only after calculating the penalty according to the previous criteria (i.e., taking as a reference the “affected market”) that it is appropriate to verify that the maximum limit threshold of 10% has not been exceeded. And this is because, as the CJEU ruling of 12/07/2012 in case C 181/11 P, CETARSA/Commission reminds us: “82 Indeed, this upper limit aims to prevent fines from being imposed that companies will certainly be unable to pay, given their size, dimensions that are determined, albeit in an approximate and imperfect manner, by their total turnover (...). 83 Therefore, it is a limit, uniformly applicable to all companies and adjusted to the size of each, which aims to prevent fines whose amount is excessive and disproportionate. This upper limit thus has a distinct and autonomous objective from that pursued by the criteria of severity and duration of the infringement (...).” In this same sense, the following can also be cited: CJEU ruling of 07/06/1983, joined cases C-100/80, 101/80, 102/80, and 103/80 Musique Diffusion française/Commission (par.119); CJEU ruling of 28/06/2005 joined cases C-189/02 P, C-202/02 P, C-205/02 P, C-208/02 P, and C-213/02 P, Dansk Rørindustri and others/Commission (par.279-282); CJEU ruling of 07/06/2007 case C-76/06, Britannia Alloys &amp; Chemicals/Commission (par. 24); and TGE of 16/06/2011, case T-211/08 Putters International/Commission (par. 74 and 75). All of this leads to disregarding the allegation made in this regard by ADHORNA.</w:t>
      </w:r>
    </w:p>
    <w:p>
      <w:r>
        <w:t>7.3. Basic amount of the penalty</w:t>
      </w:r>
    </w:p>
    <w:p>
      <w:r>
        <w:t>According to paragraph 8 of the Communication, the quantification of the penalty is carried out in the following phases: (i) determination of the basic amount of the penalty, (ii) application of an adjustment coefficient to the basic amount based on aggravating and mitigating factors, and (iii) adjustment, if applicable, to the limits established in the Law (10% limit) and to the illicit profit obtained by the infringer. The first phase, therefore, consists of determining the basic amount of the penalty, for which, according to paragraph 9, the criteria set out in letters a) to e) of Article 64.1 of the LDC will apply, “taking into account, therefore, the size and characteristics of the affected market, the market share of the infringer, the scope of the infringement, its duration, and its effects.” In relation to the market affected by the infringement (art. 64.1.a LDC), paragraph 10 of the Communication on the quantification of penalties specifies the following: “The volume of sales affected by the infringement will be the weighted sum of the sales obtained by the infringer in the product or service and geographical markets where the infringement has produced or is likely to produce effects, during the time the infringement has taken place and before the application of VAT and other related taxes. The sales of each period will be weighted according to what is provided in point 15.” In this case, as already noted, the market affected by the infringement has been defined as the market for the manufacture and sale of concrete prefabricated products. In particular, within this market, the products of concrete posts, manholes, covers, and chambers. Anticompetitive behaviors were maintained continuously over time from 1985 to 2013. The penalty for all the accused companies has been calculated based on the required information: turnover corresponding to the affected segments of the market for the manufacture and sale of concrete prefabricated products. Given that the infringement has a duration of more than one year, it is necessary to apply the reduction coefficient based on duration provided in paragraph 15 of the Communication. In this case, a weighting factor equivalent to 1 is applied to the value of the affected market in the last year of the conduct (2013). The volumes corresponding to the successive annual periods prior to the first will receive a decreasing weighting (0.75 for the 2nd period, 0.50 for the 3rd, 0.25 for the 4th, etc.), which implies that for the penalty only a decreasing proportion of the turnover of the affected market is taken into account as the infringement becomes older. The sum of the turnover in the segments of the affected market (VNMA) in which each company has participated (posts, covers, manholes, and chambers) during the period of individual participation accredited, weighted in a decreasing manner according to whether they are older periods (paragraph 15 of the Communication) yields the following result:</w:t>
      </w:r>
    </w:p>
    <w:p>
      <w:r>
        <w:rPr>
          <w:b/>
        </w:rPr>
        <w:t>[Pages 76–78]</w:t>
      </w:r>
    </w:p>
    <w:p>
      <w:r>
        <w:t>affected market volumes (VNMA) in which each company has participated (posts, covers, manholes, and chambers) during the accredited individual participation period, weighted in decreasing order according to whether they are older periods (paragraph 15 of the Communication) yields the following result:</w:t>
      </w:r>
    </w:p>
    <w:p>
      <w:r>
        <w:t>Company VNMA Weighted (€) Folios92</w:t>
        <w:br/>
        <w:t>ROMERO HORMELEC, S.A. 7,327,759 6463 and 8500-8501</w:t>
        <w:br/>
        <w:t>POSTELÉCTRICA FABRICACIÓN, S.A. 2,623,360 6469 and 8493-8494</w:t>
        <w:br/>
        <w:t>ADHORNA PREFABRICACIÓN, S.A. 4,696,819 5710 and 8462-8464</w:t>
        <w:br/>
        <w:t>RUBIERA PREDISA, S.L. 66,679 8414-8415</w:t>
        <w:br/>
        <w:t>POSTES XEIXALVO, S.L. 2,387,317 8424-8426</w:t>
        <w:br/>
        <w:t>BUPRE, S.L. 3,511,097 8451-8452</w:t>
        <w:br/>
        <w:t>APLICACIONES DEL HORMIGÓN, S.A. 3,636,451 5724, 8474, 8488-8492</w:t>
        <w:br/>
        <w:t>PREFABRICADOS Y POSTES DE HORMIGÓN, S.A. 4,418,270 6425 and 8476-8485</w:t>
      </w:r>
    </w:p>
    <w:p>
      <w:r>
        <w:t>Based on this, the basic percentage (%) of the sanction should be applied. According to paragraph 14 of the Communication, the basic amount of the sanction, before considering aggravating or mitigating factors, will be obtained by applying "a percentage that, starting from 10%, may be increased [up to 30%] considering the following criteria" to the sales volume affected by the infringement: severity of the conduct or because it concerns a productive input capable of producing cascading effects in other markets.</w:t>
      </w:r>
    </w:p>
    <w:p>
      <w:r>
        <w:t>In this case, this Chamber considers it appropriate to apply a rate of 10% on the weighted turnover for all companies, except for Rubiera Predisa, S.L., to which a 5% is applied due to the less harmful nature of the conduct and its duration, as it is only charged with an exchange of sensitive commercial information in the year 2012.</w:t>
      </w:r>
    </w:p>
    <w:p>
      <w:r>
        <w:t>Consequently, the basic amount of the sanction is as follows:</w:t>
        <w:br/>
        <w:t>Basic amount of the sanction (euros)</w:t>
        <w:br/>
        <w:t>ROMERO HORMELEC, S.A. 732,775</w:t>
        <w:br/>
        <w:t>POSTELÉCTRICA FABRICACIÓN, S.A. 262,336</w:t>
        <w:br/>
        <w:t>ADHORNA PREFABRICACIÓN, S.A. 469,681</w:t>
        <w:br/>
        <w:t>RUBIERA PREDISA, S.L. 3,334</w:t>
        <w:br/>
        <w:t>POSTES XEIXALVO, S.L. 238,731</w:t>
        <w:br/>
        <w:t>BUPRE, S.L. 351,109</w:t>
        <w:br/>
        <w:t>APLICACIONES DEL HORMIGÓN, S.A. 363,645</w:t>
        <w:br/>
        <w:t>PREFABRICADOS Y POSTES DE HORMIGÓN, S.A. 441,826</w:t>
      </w:r>
    </w:p>
    <w:p>
      <w:r>
        <w:t>As no mitigating or aggravating circumstances have been proven, once the sum corresponding to the basic amount of the sanction has been reached, the correct application of Article 63 LDC requires verifying that the fine thus calculated does not exceed 10% of the total turnover of the company in the year prior to the imposition of the sanction. As stated, this is because the "10% on total turnover in the previous year" is not an element of liquidation or grading of the fine, but a limit, the maximum cap beyond which it is not possible to impose a sanction without the payment of the fine posing a risk of the company's disappearance and compromising its future viability. Thus, the real economic capacity of the company in the market to face the reproach for its unlawful conduct is set at 10%.</w:t>
      </w:r>
    </w:p>
    <w:p>
      <w:r>
        <w:t>Next, the result of applying the 10% limit on the total turnover (VN) of the companies for the year 2013 to the basic amount of the sanction listed in the previous table is presented:</w:t>
      </w:r>
    </w:p>
    <w:p>
      <w:r>
        <w:t>Company Basic Amount VN Total Limit 10% Imposed Sanction</w:t>
        <w:br/>
        <w:t>2013 (in euros) the sanction</w:t>
        <w:br/>
        <w:t>ROMERO HORMELEC, S.A. 732,775 1,606,457 160,645 160,645</w:t>
        <w:br/>
        <w:t>POSTELÉCTRICA FABRICACIÓN, S.A. 262,336 2,030,671 203,067 203,067</w:t>
        <w:br/>
        <w:t>ADHORNA PREFABRICACIÓN, S.A. 469,681 5,195,522 519,552 469,681</w:t>
        <w:br/>
        <w:t>RUBIERA PREDISA, S.L. 3,334 604,601 60,460 3,334</w:t>
        <w:br/>
        <w:t>POSTES XEIXALVO, S.L. 238,731 2,431,978 243,197 238,731</w:t>
        <w:br/>
        <w:t>BUPRE, S.L. 351,109 1,769,847 176,984 176,984</w:t>
        <w:br/>
        <w:t>APLICACIONES DEL HORMIGÓN, S.A. 363,645 1,788,447 178,844 178,844</w:t>
        <w:br/>
        <w:t>PREFABRICADOS Y POSTES DE HORMIGÓN, S.A. 441,826 4,654,346 465,434 441,826</w:t>
      </w:r>
    </w:p>
    <w:p>
      <w:r>
        <w:t>As can be seen from the table above, in the case of the companies ROMERO HORMELEC, S.A., POSTELÉCTRICA FABRICACIÓN, S.A., BUPRE, S.L., and APLICACIONES DEL HORMIGÓN, S.A., the basic amount of the sanction that would correspond to be applied (second column) exceeds the maximum limit provided by Article 63.1 LDC. This limit (fourth column) is the result of applying the 10% percentage to the total turnover of the companies in the year 2013. Therefore, for the four aforementioned companies, the amount of the fine must be reduced so that it does not exceed this limit, in accordance with the criteria indicated above. The final fine imposed on each company is reflected in the last column of the table.</w:t>
      </w:r>
    </w:p>
    <w:p>
      <w:r>
        <w:t>Regarding the situation of bankruptcy in which the entity PREFABRICADOS Y POSTES DE HORMIGÓN, S.A. finds itself, this Chamber considers that in this case the situation of the aforementioned entity, in bankruptcy since September 30, 2014, does not imply the de facto impossibility of facing the fine that may correspond to it, as the company seems to continue developing some economic activity to the extent that it has provided its turnover for all the years of the infringement, and also for the year 2013, although this is significantly lower than in previous years.</w:t>
      </w:r>
    </w:p>
    <w:p>
      <w:r>
        <w:t>In this regard, as the Audiencia Nacional93 has pointed out, the application of this mitigating circumstance requires, in addition to the request of the interested party, the concurrence of the following requirements: 1) existence of a particular economic and social context constituted by the consequences that the payment of the fine could have, particularly regarding an increase in unemployment or a deterioration of the economic sectors to which the affected company sells; 2) that the payment of the fine endangers the economic viability of the company. Therefore, it is necessary to establish a causal relationship between the payment of the fine and its impact on the viability of the company, meaning that the adverse effects will be caused by the payment of the fine and not by other factors; 3) that it entails the loss of asset value, with the existence of a bankruptcy or insolvency situation being insufficient if it does not translate into a loss of asset value. The burden of proof lies with the interested party.</w:t>
      </w:r>
    </w:p>
    <w:p>
      <w:r>
        <w:t>Therefore, as it has not been sufficiently proven that PREFABRICADOS Y POSTES DE HORMIGÓN, S.A. cannot face the fine that corresponds to it for the infringement proven in this file, this Chamber considers it appropriate to apply the sanction that corresponds to it in accordance with the severity and duration of the conduct, and taking into account its turnover in the years in which the company carried it out, also considering that the maximum limit of 10% is already being applied in relation to its</w:t>
      </w:r>
    </w:p>
    <w:p>
      <w:r>
        <w:t>93 Judgment of March 5, 2013 (appeal 566/2011), which resolves the appeal against the resolution of the CNC S/00226/10 road tenders.</w:t>
      </w:r>
    </w:p>
    <w:p>
      <w:r>
        <w:rPr>
          <w:b/>
        </w:rPr>
        <w:t>[Pages 79–81]</w:t>
      </w:r>
    </w:p>
    <w:p>
      <w:r>
        <w:t xml:space="preserve">of 2013, as a co-author of the acts due to the actions of centralization, coordination, and dissemination of information among the other participating companies. </w:t>
        <w:br/>
        <w:t xml:space="preserve">- Agreement for the allocation of auctions of the companies Telefónica, Unión Fenosa, Iberdrola, and Hidroeléctrica del Cantábrico, of the products of concrete posts, covers, and manholes from at least 1993 until July 2013, as a co-author of the acts due to the actions of centralization, coordination, and dissemination of information among the other participating companies. </w:t>
        <w:br/>
        <w:t>- Agreement for the allocation of the market for concrete posts, covers, chambers, and manholes from at least 1985 until July 2013, as a co-author of the acts due to the actions of centralization, coordination, and dissemination of information among the other participating companies.</w:t>
      </w:r>
    </w:p>
    <w:p>
      <w:r>
        <w:t>In virtue of this, having seen the cited articles and the others of general application, the Competition Chamber of the National Commission of Markets and Competition,</w:t>
      </w:r>
    </w:p>
    <w:p>
      <w:r>
        <w:t>HAS RESOLVED</w:t>
      </w:r>
    </w:p>
    <w:p>
      <w:r>
        <w:t>FIRST.- To declare that in the present file an infringement of Article 1 of Law 110/1963, Article 1 of Law 16/1989, and Article 1 of Law 15/2007, of July 3, on the Defense of Competition, has been accredited, in the terms set forth in the Sixth Legal Basis of this Resolution.</w:t>
      </w:r>
    </w:p>
    <w:p>
      <w:r>
        <w:t xml:space="preserve">SECOND.- In accordance with the responsibility attributed in the Seventh Legal Basis, to declare the following companies responsible for the aforementioned infringement: </w:t>
        <w:br/>
        <w:t xml:space="preserve">1. POSTELÉCTRICA FABRICACIÓN, S.A. </w:t>
        <w:br/>
        <w:t xml:space="preserve">For its participation in the practices consisting of: </w:t>
        <w:br/>
        <w:t xml:space="preserve">- Price-fixing agreement for concrete posts, covers, chambers, and manholes, through periodic meetings held from at least 1985 until July 2013, as a co-author of the acts due to the actions of centralization, coordination, and dissemination of information among the other participating companies. </w:t>
        <w:br/>
        <w:t xml:space="preserve">- Agreement for the exchange of sensitive commercial information, and in particular data on customers, manufactured products, and fixed prices, for the products of concrete posts, covers, manholes, and chambers, through periodic meetings held from at least 1985 until July 2013, as a co-author of the acts due to the actions of centralization, coordination, and dissemination of information among the other participating companies. </w:t>
        <w:br/>
        <w:t xml:space="preserve">- Agreement for the allocation of auctions of the companies Telefónica, Unión Fenosa, Iberdrola, and Hidroeléctrica del Cantábrico, of the products of concrete posts, covers, and manholes from at least 1993 until July 2013, as a co-author of the acts due to the actions of centralization, coordination, and dissemination of information among the other participating companies. </w:t>
        <w:br/>
        <w:t>- Agreement for the allocation of the market for concrete posts, covers, chambers, and manholes from at least 1985 until July 2013, as a co-author of the acts due to the actions of centralization, coordination, and dissemination of information among the other participating companies.</w:t>
      </w:r>
    </w:p>
    <w:p>
      <w:r>
        <w:t xml:space="preserve">2. ROMERO HORMELEC, S.A., both for its own actions and for those previously carried out by POSTES ROMERO S.A. and HORMIGÓN Y ELECTRICIDAD S.A., and particularly for the practices consisting of: </w:t>
        <w:br/>
        <w:t xml:space="preserve">- Price-fixing agreement for concrete posts, covers, chambers, and manholes, through periodic meetings held from at least 1985 until July 2013, as a co-author of the acts due to the actions of centralization, coordination, and dissemination of information among the other participating companies. </w:t>
        <w:br/>
        <w:t xml:space="preserve">- Agreement for the exchange of sensitive commercial information, and in particular data on customers, manufactured products, and fixed prices, for the products of concrete posts, covers, manholes, and chambers, through periodic meetings held from at least 1985 until July 2013, as a co-author of the acts due to the actions of centralization, coordination, and dissemination of information among the other participating companies. </w:t>
        <w:br/>
        <w:t xml:space="preserve">- Agreement for the allocation of auctions of the companies Telefónica, Unión Fenosa, Iberdrola, and Hidroeléctrica del Cantábrico, of the products of concrete posts, covers, and manholes from at least 1993 until July 2013, as a co-author of the acts due to the actions of centralization, coordination, and dissemination of information among the other participating companies. </w:t>
        <w:br/>
        <w:t>- Agreement for the allocation of the market for concrete posts, covers, chambers, and manholes from at least 1985 until July 2013, as a co-author of the acts due to the actions of centralization, coordination, and dissemination of information among the other participating companies.</w:t>
      </w:r>
    </w:p>
    <w:p>
      <w:r>
        <w:t xml:space="preserve">3. ADHORNA PREFABRICACIÓN, S.A., both for its own actions and for those previously carried out by POSTES NERVIÓN, and particularly for the practices consisting of: </w:t>
        <w:br/>
        <w:t xml:space="preserve">- Price-fixing agreement for concrete posts, covers, and manholes, through periodic meetings held from at least 1985 until July 2013, as a co-author of the acts due to the actions of centralization, coordination, and dissemination of information among the other participating companies. </w:t>
        <w:br/>
        <w:t xml:space="preserve">- Agreement for the exchange of sensitive commercial information, and in particular data on customers, manufactured products, and fixed prices, for the products of concrete posts, covers, and manholes, through periodic meetings held from at least 1985 until July 2013, as a co-author of the acts due to the actions of centralization, coordination, and dissemination of information among the other participating companies. </w:t>
        <w:br/>
        <w:t xml:space="preserve">- Agreement for the allocation of auctions of the companies Telefónica, Unión Fenosa, Iberdrola, and Hidroeléctrica del Cantábrico, of the products of concrete posts, covers, and manholes from at least 1993 until July 2013, as a co-author of the acts due to the actions of centralization, coordination, and dissemination of information among the other participating companies. </w:t>
        <w:br/>
        <w:t>- Agreement for the allocation of the market for concrete posts, covers, chambers, and manholes from at least 1985 until July 2013, as a co-author of the acts due to the actions of centralization, coordination, and dissemination of information among the other participating companies.</w:t>
      </w:r>
    </w:p>
    <w:p>
      <w:r>
        <w:t xml:space="preserve">4. PREFABRICADOS Y POSTES DE HORMIGÓN S.A. </w:t>
        <w:br/>
        <w:t xml:space="preserve">For its participation in the practices consisting of: </w:t>
        <w:br/>
        <w:t xml:space="preserve">- Price-fixing agreement for concrete posts, covers, chambers, and manholes, through periodic meetings held from at least 1985 until July 2013, as a co-author of the acts due to the actions of centralization, coordination, and dissemination of information among the other participating companies. </w:t>
        <w:br/>
        <w:t>- Agreement for the exchange of sensitive commercial information, and in particular data on customers, manufactured products, and fixed prices, for the products of concrete posts, covers, manholes, and chambers, through periodic meetings held from at least 1985 until July 2013, as a co-author of the acts due to the actions of centralization, coordination, and dissemination of information among the other participating companies.</w:t>
      </w:r>
    </w:p>
    <w:p>
      <w:r>
        <w:rPr>
          <w:b/>
        </w:rPr>
        <w:t>[Pages 82–84]</w:t>
      </w:r>
    </w:p>
    <w:p>
      <w:r>
        <w:t xml:space="preserve">of 2013, as a co-author of the acts due to the actions of centralization, coordination, and dissemination of information among the other participating companies. </w:t>
        <w:br/>
        <w:t xml:space="preserve">- Agreement for the allocation of auctions of the companies Telefónica, Unión Fenosa, Iberdrola, and Hidroeléctrica del Cantábrico, of concrete posts, covers, and manholes products from at least 1993 until July 2013, as a co-author of the acts due to the actions of centralization, coordination, and dissemination of information among the other participating companies. </w:t>
        <w:br/>
        <w:t xml:space="preserve">- Agreement for the market allocation of concrete posts, covers, and manholes from at least 1985 until July 2013, as a co-author of the acts due to the actions of centralization, coordination, and dissemination of information among the other participating companies. </w:t>
        <w:br/>
        <w:t xml:space="preserve">5. POSTES XEIXALVO S.L. </w:t>
        <w:br/>
        <w:t xml:space="preserve">For its participation in the practices consisting of: </w:t>
        <w:br/>
        <w:t xml:space="preserve">- Price-fixing agreement for concrete posts, through periodic meetings held from at least 1988 until 2011, as a co-author of the acts due to the actions of centralization, coordination, and dissemination of information among the other participating companies. </w:t>
        <w:br/>
        <w:t xml:space="preserve">- Agreement for the exchange of sensitive commercial information, particularly data on customers, manufactured products, and set prices, for concrete posts products, through periodic meetings held from at least 1988 until 2011, as a co-author of the acts due to the actions of centralization, coordination, and dissemination of information among the other participating companies. </w:t>
        <w:br/>
        <w:t xml:space="preserve">- Agreement for the allocation of auctions of the companies Telefónica, Unión Fenosa, Iberdrola, and Hidroeléctrica del Cantábrico, of concrete posts products from at least 1993 until 2011, as a co-author of the acts due to the actions of centralization, coordination, and dissemination of information among the other participating companies. </w:t>
        <w:br/>
        <w:t xml:space="preserve">- Agreement for the market allocation of concrete posts from at least 1988 until 2011, as a co-author of the acts due to the actions of centralization, coordination, and dissemination of information among the other participating companies. </w:t>
        <w:br/>
        <w:t xml:space="preserve">6. APLICACIONES DEL HORMIGÓN S.A. </w:t>
        <w:br/>
        <w:t xml:space="preserve">For its participation in the practices consisting of: </w:t>
        <w:br/>
        <w:t xml:space="preserve">- Price-fixing agreement for concrete posts, through periodic meetings held from at least 2009 until 2011, as a co-author of the acts due to the actions of centralization, coordination, and dissemination of information among the other participating companies. </w:t>
        <w:br/>
        <w:t xml:space="preserve">- Agreement for the exchange of sensitive commercial information, particularly data on customers, manufactured products, and set prices, for concrete posts products, through periodic meetings held from at least 2009 until 2011, as a co-author of the acts due to the actions of centralization, coordination, and dissemination of information among the other participating companies. </w:t>
        <w:br/>
        <w:t xml:space="preserve">- Agreement for the allocation of auctions of Telefónica, of concrete posts products from at least 2009 until 2011, as a co-author of the acts due to the actions of centralization, coordination, and dissemination of information among the other participating companies. </w:t>
        <w:br/>
        <w:t xml:space="preserve">- Agreement for the market allocation of concrete posts from at least 2009 until 2011, as a co-author of the acts due to the actions of centralization, coordination, and dissemination of information among the other participating companies. </w:t>
        <w:br/>
        <w:t xml:space="preserve">7. RUBIERA PREDISA S.L., for its participation in the practices consisting of the exchange of sensitive commercial information in the year 2012. </w:t>
        <w:br/>
        <w:t xml:space="preserve">8. BUPRE, S.L. </w:t>
        <w:br/>
        <w:t xml:space="preserve">For its participation consisting of the practices consisting of: </w:t>
        <w:br/>
        <w:t xml:space="preserve">- Price-fixing agreement for covers and manholes through periodic meetings held during at least 2011 and 2012, as a co-author of the acts due to the actions of centralization, coordination, and dissemination of information among the other participating companies. </w:t>
        <w:br/>
        <w:t xml:space="preserve">- Agreement for the exchange of sensitive commercial information, for concrete covers and manholes, through periodic meetings held during at least 2011 and 2012, as a co-author of the acts due to the actions of centralization, coordination, and dissemination of information among the other participating companies. </w:t>
        <w:br/>
        <w:t xml:space="preserve">- Agreement for the allocation of auctions, of concrete covers and manholes products during at least 2011 and 2012, as a co-author of the acts due to the actions of centralization, coordination, and dissemination of information among the other participating companies. </w:t>
        <w:br/>
        <w:t xml:space="preserve">THIRD.- Impose on the authors responsible for the infringing conduct the following fines. </w:t>
        <w:br/>
        <w:t xml:space="preserve">1. POSTELÉCTRICA FABRICACIÓN, S.A.: 203,067 euros </w:t>
        <w:br/>
        <w:t xml:space="preserve">2. ROMERO HORMELEC, S.A.: 160,645 euros </w:t>
        <w:br/>
        <w:t xml:space="preserve">3. ADHORNA PREFABRICACIÓN, S.A.: 469,681 euros </w:t>
        <w:br/>
        <w:t xml:space="preserve">4. PREFABRICADOS Y POSTES DE HORMIGÓN S.A.: 441,826 euros </w:t>
        <w:br/>
        <w:t xml:space="preserve">5. POSTES XEIXALVO S.L.: 238,731 euros </w:t>
        <w:br/>
        <w:t xml:space="preserve">6. APLICACIONES DEL HORMIGÓN S.A.: 178,844 euros </w:t>
        <w:br/>
        <w:t xml:space="preserve">7. RUBIERA PREDISA S.L.: 3,334 euros </w:t>
        <w:br/>
        <w:t xml:space="preserve">8. BUPRE, S.L.: 176,984 euros </w:t>
        <w:br/>
        <w:t xml:space="preserve">FOURTH.- Urge the Competition Directorate of this National Commission of Markets and Competition to monitor and ensure the full compliance of this Resolution. </w:t>
        <w:br/>
        <w:t xml:space="preserve">FIFTH.- Resolve on the confidentiality regarding the documentation provided by the companies in accordance with what is stated in the Fifth Legal Basis. </w:t>
        <w:br/>
        <w:t xml:space="preserve">Communicate this Resolution to the Competition Directorate of the National Commission of Markets and Competition and notify the interested parties, informing them that there is no administrative appeal against it, being able to file a contentious-administrative appeal in the National Court, within two months from the day following its notification. </w:t>
        <w:br/>
        <w:t>PARTICULAR VOTES</w:t>
      </w:r>
    </w:p>
    <w:p>
      <w:r>
        <w:rPr>
          <w:b/>
        </w:rPr>
        <w:t>[Pages 85–87]</w:t>
      </w:r>
    </w:p>
    <w:p>
      <w:r>
        <w:t>DISSENTING OPINION formulated by Councillors D. Fernando Torremocha and García-Sáenz and D. Benigno Valdés Díaz to the present Resolution, approved in the Plenary Session of the COMPETITION CHAMBER of the CNMC on January 15, 2015, within the framework of File S/0473/13 CONCRETE POSTS.</w:t>
      </w:r>
    </w:p>
    <w:p>
      <w:r>
        <w:t>Our disagreement is expressed as follows:</w:t>
      </w:r>
    </w:p>
    <w:p>
      <w:r>
        <w:t xml:space="preserve">PREAMBLE. </w:t>
        <w:br/>
        <w:t>For the determination of the sanction, the Resolution applies the Communication on Sanctions approved by the Council of the defunct CNC on February 6, 2009. For the reasons set forth in this PREAMBLE, we consider that this method of determining sanctions is inappropriate as it does not conform to what is established in Law 15/2007, of July 3, on the Defense of Competition.</w:t>
      </w:r>
    </w:p>
    <w:p>
      <w:r>
        <w:t xml:space="preserve">ON THE SANCTIONING REGIME PROVIDED IN THE CURRENT LEGISLATION ON DEFENSE OF COMPETITION </w:t>
        <w:br/>
        <w:t xml:space="preserve">(I) “Sales volume” vs. “total business volume” of the infringing company </w:t>
        <w:br/>
        <w:t xml:space="preserve">Article 10 of Law 16/1989, of July 17, on the Defense of Competition, states: </w:t>
        <w:br/>
        <w:t>“[...] fines of up to 150,000,000 pesetas, an amount that may be increased up to 10% of the sales volume corresponding to the economic year immediately preceding the resolution of the Tribunal.”</w:t>
      </w:r>
    </w:p>
    <w:p>
      <w:r>
        <w:t xml:space="preserve">And Article 63.1 (a), (b), and (c) of Law 15/2007, of July 3, on the Defense of Competition, states: </w:t>
        <w:br/>
        <w:t>“The competent authorities may impose […] the following sanctions: Minor infringements […] with a fine of up to 1% […], serious infringements with a fine of up to 5% […], [and] very serious infringements with a fine of up to 10% of the total business volume of the infringing company in the year immediately preceding the imposition of the fine.”</w:t>
      </w:r>
    </w:p>
    <w:p>
      <w:r>
        <w:t>What difference exists between “sales volume” and “total business volume” of a company? In our opinion, from a linguistic point of view, none: the sales volume of a company is its business volume and the term “total” adds nothing to that concept, it merely makes its name a pleonasm (“I have seen it.” “I have seen it with my own eyes”). However, the matter is of enormous importance in the application of the sanctioning regime provided in Law 15/2007: What should we understand by the total business volume of the infringing company, the billing of the company in all the markets in which it operates or only in the market in which it commits the infringement?</w:t>
      </w:r>
    </w:p>
    <w:p>
      <w:r>
        <w:t>There are those who believe that the incorporation of the term “total” in Law 15/2007 makes it much more precise than its predecessor, Law 16/1989, which does not incorporate that term. The argument is that the word “total” implies that the concept “sales volume” or “business volume” refers to the entirety of the income obtained by the company, regardless of the number of goods it produces and the markets affected by the infringement. That the same question could have been raised in relation to Law 16/1989 (See STS, Administrative Chamber, November 11, 2009, in cassation appeal number 1246/2006), which does not incorporate that term, demonstrates that the real problem (should an infringing company be sanctioned based on the income obtained in the market in which it has committed the infringement, or based on the income obtained in all the markets in which it operates, including those in which it has not committed any infringement?) does not have a semantic solution. We must address the issue with instruments other than merely linguistic; and, as we will see, those instruments exist.</w:t>
      </w:r>
    </w:p>
    <w:p>
      <w:r>
        <w:t>Our starting point is, first, Article 3 of the Civil Code, which establishes: “1. The norms shall be interpreted […] fundamentally taking into account [their] spirit and purpose”; and second, the Preamble of Law 15/2007, of July 3, on the Defense of Competition, which summarizes “the spirit and purpose” of the Law itself: to provide a well-articulated system that, “without unnecessarily intervening in the free decision-making of businesses, [allows us] to have the appropriate instruments to ensure the proper functioning of the market.”</w:t>
      </w:r>
    </w:p>
    <w:p>
      <w:r>
        <w:t>In order to apply those principles to the present case, let us classify companies into two groups: those that produce a good and operate in a single market, and those that produce several goods and operate in several different markets. (Other classifications are possible; for example, companies that produce a single good and only operate in regional market X vs. companies that produce that good but operate throughout the national territory, etc. As the analysis is analogous in all cases, we will stick to the proposed one).</w:t>
      </w:r>
    </w:p>
    <w:p>
      <w:r>
        <w:t>Well then, let us consider a company that produces three goods: B1, B2, and B3 and operates in the corresponding markets: MB1, MB2, and MB3. Let us imagine that it commits an infringement that disrupts the proper functioning of market MB1, but without affecting the markets MB2 and MB3, in which the company behaves exemplary. To determine the sanction, should we use the “business volume” in market MB1 (whose “proper functioning” the company has distorted), or the “business volume” in all the markets in which it operates, including MB2 and MB3, whose “proper functioning” it has not distorted at all?</w:t>
      </w:r>
    </w:p>
    <w:p>
      <w:r>
        <w:t>If the answer is the total consolidated business volume, then the Law becomes absurd. Indeed: as we have pointed out, its purpose is to provide a well-articulated system that, “without unnecessarily intervening in the free decision-making of businesses, [allows us] to have the appropriate instruments to ensure the proper functioning of the market.” On that basis, what logic is there in sanctioning the company for not distorting the proper functioning of markets MB2 and MB3? On the other hand, if this is done, the Law is discriminatory against multi-product companies in relation to single-product companies; and it is of little use to argue that the multi-product company can avoid this discrimination by organizing itself into as many single-product companies as goods and services it produces, because in that case the Law is pushing the company to organize itself in a sub-optimal manner (otherwise it would not have chosen the multi-product form in the first place). In other words, the Law “defeats itself” because, even without intending to, it is intervening “unnecessarily in the free decision-making of businesses.”</w:t>
      </w:r>
    </w:p>
    <w:p>
      <w:r>
        <w:t>In summary, if, as Article 3 of the Civil Code states, norms must be interpreted “fundamentally taking into account [their] spirit and purpose,” then by “total business volume of the infringing company” it must be understood, exclusively, “the income obtained by the company in the market affected by the infringement.”</w:t>
      </w:r>
    </w:p>
    <w:p>
      <w:r>
        <w:t>(II) Process of determining the sanctions</w:t>
      </w:r>
    </w:p>
    <w:p>
      <w:r>
        <w:rPr>
          <w:b/>
        </w:rPr>
        <w:t>[Pages 88–90]</w:t>
      </w:r>
    </w:p>
    <w:p>
      <w:r>
        <w:t>The Law 15/2007, on the Defense of Competition, establishes the mathematical intervals within which the sanctions must be situated in terms of the % of the turnover of the infringing company in the market [affected by the infringement] in the fiscal year immediately preceding the imposition of the fine, and taking into account the elements considered in its Article 64.</w:t>
      </w:r>
    </w:p>
    <w:p>
      <w:r>
        <w:t>Indeed, said Law, and its interpretation by the National Court (among others, SAN 4598/2012, Appeal 188/2012, of December 23, 2013), establish that, based on Articles 62, 63, and 64, the sanctioning body determines a specific percentage within the interval (0%, 1%) when the infringement is minor, (0%, 5%) when it is serious, and (0%, 10%) when it is very serious, a percentage that, when applied to the "turnover of the infringing company [in the affected market] in the fiscal year immediately preceding the imposition of the fine," results in the amount of the fine. In other words, the Law operates in the sense of "% of turnover in the fiscal year…→amount of the fine."</w:t>
      </w:r>
    </w:p>
    <w:p>
      <w:r>
        <w:t>It is not provided in it that the sanctioning body endows itself with a method for determining the fine that operates in the opposite direction, that is, to first determine the amount of the fine and then, as a residue, the percentage it represents over the "turnover of the infringing company in the fiscal year immediately preceding the imposition of the sanction": "amount of the fine→ % of turnover in the fiscal year…"</w:t>
      </w:r>
    </w:p>
    <w:p>
      <w:r>
        <w:t>Setting aside whether this way of proceeding is in accordance with the Law or not, the truth is that, when it operates in this way, the sanctioning body exposes itself to facing certain "anomalies"; for example, that the percentage thus obtained is higher than the 1%, 5%, or 10% that the Law establishes as a ceiling for, respectively, minor, serious, and very serious infringements.</w:t>
      </w:r>
    </w:p>
    <w:p>
      <w:r>
        <w:t>An example of the above is the method for determining fines present in the Communication on Sanctions approved by the Council of the now-defunct CNC dated February 6, 2009, and to which we will address the analysis below.</w:t>
      </w:r>
    </w:p>
    <w:p>
      <w:r>
        <w:t>(III) "Communication" of the now-defunct CNC on the quantification of sanctions.</w:t>
      </w:r>
    </w:p>
    <w:p>
      <w:r>
        <w:t>(1) The method used by the now-defunct CNC consists of obtaining what the Communication calls the "basic amount" of the sanction, as follows:</w:t>
      </w:r>
    </w:p>
    <w:p>
      <w:r>
        <w:t>𝑇</w:t>
        <w:br/>
        <w:t>𝐼𝐼 = 𝑝�𝛼𝑖𝑉𝑉𝑉𝑖, [1]</w:t>
        <w:br/>
        <w:t>𝑖=1</w:t>
        <w:br/>
        <w:t>where, depending on the severity of the infringement and whether the good or service in question is an input likely to produce cascading effects in the production of other goods or services; i=1, the last year in which we know the infringement was committed, so that i=2 is the penultimate, i=3 the antepenultimate,..., i=T the first; is the value of the sales of the infringing company in the affected market in year i; and is a weighting factor 𝑉𝑉𝑉𝑖 that takes the value 1 when i=1, 0.75 when i=2, 0.50 when i=3, 0.25 when i=4, etc.; that is: represents the value of the sales of the infringing company in the affected market the last year in which it committed the infringement, 𝛼1𝑉𝑉𝑉1 the 75% of the value of the sales in the penultimate year of the infringement, etc.</w:t>
      </w:r>
    </w:p>
    <w:p>
      <w:r>
        <w:t>Once IB is obtained, the effective sanction, S, is obtained by multiplying IB by a correction factor, C, which takes values C &gt;1 when the weight of the aggravating factors is greater than that of the mitigating factors, C &lt;1 when the opposite occurs, and C =1 when both weigh equally or simply do not exist. That is,</w:t>
      </w:r>
    </w:p>
    <w:p>
      <w:r>
        <w:t>If S is within the intervals 𝑆𝑡𝑎𝑐𝑖𝑜𝑛𝑎𝑑𝑜[r𝑒2s] established by the law, S becomes the effective sanction; but if it is greater than the maximum contemplated in the Law, then that maximum will be applied.</w:t>
      </w:r>
    </w:p>
    <w:p>
      <w:r>
        <w:t>(2) Given that by "total turnover of the infringing company" we have resolved that it must be understood exclusively as the income obtained in the market affected by the infringement, we start from that principle. We can distinguish two cases: (a) the last year in which the company committed the infringement is the year prior to the one in which the sanction is imposed; and (b) it is several years prior. In the first case:</w:t>
      </w:r>
    </w:p>
    <w:p>
      <w:r>
        <w:t>Thus, the sanction = e𝑝𝑓𝑒[𝑉𝑉𝑡−1 + 0.75 𝑉𝑉𝑡−2 + 0.50 𝑉𝑉𝑡−3 + ⋯]</w:t>
      </w:r>
    </w:p>
    <w:p>
      <w:r>
        <w:t>Consequently: 𝐼𝐼𝑡 = 𝐶𝑎𝑝[𝑉𝑉𝑡−1 + 0.75 𝑉𝑉𝑡−2 + 0.50 𝑉𝑉𝑡−3 + ⋯]</w:t>
      </w:r>
    </w:p>
    <w:p>
      <w:r>
        <w:t>(a.1) If there are no aggravating or mitigating factors, or if both weigh equally, then C =1 and it is much greater than the maximum sanction contemplated in Law 15/2007 for very serious infringements, 10% of , because (10%, 30%):</w:t>
      </w:r>
    </w:p>
    <w:p>
      <w:r>
        <w:t>𝑆𝑡 &gt;0.1. With even more reason, it thus exceeds the ceiling for serious and minor infringements, 5% of and 1% of , respectively.</w:t>
      </w:r>
    </w:p>
    <w:p>
      <w:r>
        <w:t>𝑆𝑡 𝑉𝑉𝑉𝑡−1 𝑝 ∈</w:t>
      </w:r>
    </w:p>
    <w:p>
      <w:r>
        <w:t>(𝑉a𝑉.2𝑉) 𝑡S−i1 the aggravating factors sum more than the mitigating factors, C &gt;1 and we are in the same situation, although more exaggerated: 0.1.</w:t>
      </w:r>
    </w:p>
    <w:p>
      <w:r>
        <w:t>(a.3) If the aggravating factors sum less than the mitigating factors, C &lt;1 and, although it is not imaginable a C &lt;1 sufficiently small to make &lt;0.1 (and not to mention to make it less than 0.05 or 0.1).</w:t>
      </w:r>
    </w:p>
    <w:p>
      <w:r>
        <w:t>𝑆𝑡 𝑉𝑉𝑉𝑡−1 𝑉𝑉𝑉𝑡−1</w:t>
      </w:r>
    </w:p>
    <w:p>
      <w:r>
        <w:t>0.01. That is to say, when the last year in which the company committed the infringement is the year prior to the one in which the sanction is imposed, the system [1]-[2] generates, by construction, fines that are always the maximum contemplated in the law. In other words: For minor infringements, always 1%; for serious ones, always 5%; and for very serious ones, always 10%. Thus, the intervals contemplated by the legislator (minor infringements, up to 1%; serious ones, up to 5%; and very serious ones, up to 10%) become irrelevant (whatever the intention with which they were foreseen by the legislator).</w:t>
      </w:r>
    </w:p>
    <w:p>
      <w:r>
        <w:t>Now let us consider situation (b), that is, when the last year in which we know the infringement occurred is not the previous year to year t in which the sanction is imposed, but one year prior to it. First of all, that "last year in which the infringement occurred" must be much earlier than year t in which the sanction is imposed; otherwise, we would find ourselves in the same situation as in (a). This is because the sales of a company rarely experience large changes between two consecutive years; in practice, it is almost always close to and this, in turn, to , etc. Therefore, unless the last year in which the infringement took place is far removed from the year t in which the fine is imposed, the situation regarding IB, and therefore S, will be the same as in (a).</w:t>
      </w:r>
    </w:p>
    <w:p>
      <w:r>
        <w:t>But if the last year in which the infringement took place is far removed from the year t in which the fine is imposed, we may find that the Commercial Code, Article 30.1, provides the infringing company with an escape route: "[...] the turnover corresponding to the fiscal years [...], [...] and [...] cannot be provided by the company, since, in accordance with what Article 30.1 of the Commercial Code allows it, it is not preserved.</w:t>
      </w:r>
    </w:p>
    <w:p>
      <w:r>
        <w:rPr>
          <w:b/>
        </w:rPr>
        <w:t>[Pages 91–93]</w:t>
      </w:r>
    </w:p>
    <w:p>
      <w:r>
        <w:t>the documentation and supporting documents concerning its business and related to those fiscal years," which forces the sanctioning body to "invent" the business volume for each of those years.</w:t>
      </w:r>
    </w:p>
    <w:p>
      <w:r>
        <w:t>The Communication proposes to do this as follows: "When it is not possible to calculate the sales volume affected by the infringement for one or more of the years of the infringement period, the sales volume affected by the infringement of the last year in which it is known that the infringement occurred will be attributed to those years [...]. In cases where it is not even possible to calculate the sales volume affected by the infringement during the last year of the same, the sales volume from the annual accounts approved in the last fiscal year will be taken instead." With this, the likelihood of generating the same situation as in (a) increases.</w:t>
      </w:r>
    </w:p>
    <w:p>
      <w:r>
        <w:t>(IV) Consequences of applying the "COMMUNICATION"</w:t>
      </w:r>
    </w:p>
    <w:p>
      <w:r>
        <w:t>The immediate consequence of applying the method for determining fines contemplated in the Communication is that they tend to be much higher than those that, when strictly applied, Law 15/2007 produces. This occurs because, as already indicated, this "method" presents, by construction, a mathematical bias that makes the qualification "up to" disappear from Article 63.1, being replaced by "always": For minor infringements, always 1%; for serious infringements, always 5%; and for very serious infringements, always 10%.</w:t>
      </w:r>
    </w:p>
    <w:p>
      <w:r>
        <w:t>There is only one way to avoid this bias, and even then only in the case of multi-product and/or multi-market companies, and not always. It consists of interpreting the concept "total business volume of the infringing company in the fiscal year immediately preceding the imposition of the fine" as the consolidated income of the company. In that case, it may sometimes result in &lt;0.1 (but it is more difficult for it to result in &lt;0.05 or &lt;0.01). However, as we have pointed out (See Section [I] above), that interpretation of the concept "total business volume [...]" is unacceptable.</w:t>
      </w:r>
    </w:p>
    <w:p>
      <w:r>
        <w:t>The second consequence, probably derived from the above, is that the AN is not in favor of such a "method" and, as a result, systematically annuls at that point (the determination of the amount of the fines) any Resolutions of the former CNC that pass through its jurisdiction as a result of the contentious-administrative appeals filed by the sanctioned companies.</w:t>
      </w:r>
    </w:p>
    <w:p>
      <w:r>
        <w:t>It also happens that, as &gt;0.1, the sanctioning body is forced to consider that the true picture of sanctions is not Article 63.1, but that which results from the algorithm; so that the intervals (0%,1%), (0%,5%) and (0%,10%) of Article 63.1 (with their respective high, medium, and minimum degrees, as required by Spanish law) are not true sanctioning intervals, but mere indicators of the maximum fine that can be imposed when they exceed it. In other words, the 1%, 5%, and 10% of Article 63.1 are not the upper limit of their respective sanctioning intervals but mere "leveling thresholds" of the sanctions obtained with the algorithm; and thus, the sanctioning framework of Law 15/2007 is hijacked by the sanction calculation method of the Communication and replaced by the one resulting from it, which is completely different – something that the CNMC is not authorized to do. The National Court has repeatedly rejected this hijacking of the sanctioning framework of Law 15/2007.</w:t>
      </w:r>
    </w:p>
    <w:p>
      <w:r>
        <w:t>Based on all of the above, we will substantiate some of our disagreements with the "Resolution"</w:t>
      </w:r>
    </w:p>
    <w:p>
      <w:r>
        <w:t>FIRST.- The Resolution states the following (p. 74): "[...] the process of determining the fine follows what is provided in the Communication [on the quantification of sanctions adopted by the former CNC]."</w:t>
      </w:r>
    </w:p>
    <w:p>
      <w:r>
        <w:t>In light of what has been previously stated, it is clear that in our opinion this is inappropriate. But regardless of that, we note that if the Communication is chosen to be applied, it must at least be done correctly; and the present Resolution does not do so. In this regard, we highlight the following (pp. 78-79): "According to paragraph 14 of the Communication [...] this Chamber considers applying a rate of 10% [referring to the parameter of expression (1) in Section III of the PREAMBLE] on the weighted business volume for all companies, except for Rubiera Predisa, S.L, to which a 5% is applied due to the less harmful nature of the conduct and its duration [...]."</w:t>
      </w:r>
    </w:p>
    <w:p>
      <w:r>
        <w:t>Well, that cannot be done. There is no loophole in the Communication that allows for such a thing. None. Point (14) of the Communication establishes – without any possible interpretative doubt – that it has a lower limit of 10%, with no reduction within the framework of the Communication itself. On the contrary, the same Point (14) also establishes that, "starting from 10%, it may be increased [up to 30%] considering the following criteria [...]." And to top it off: "Therefore, [the parameter] will be between 10% and 30%."</w:t>
      </w:r>
    </w:p>
    <w:p>
      <w:r>
        <w:t>Despite the above, the Resolution assigns to, for the case considered, the value 5%. It is also interesting how it justifies this: "[...] due to the less harmful nature of the conduct [of the company in question] and its duration [...]." But those two elements have already been taken into account to calculate the value of in the application of the Communication. Therefore, if they could be used to reduce then they would be computed twice! Of course, as we have demonstrated in the previous paragraph, they cannot be used to reduce – nothing can be used to reduce ; it cannot be reduced under any circumstances. However, that is what the Resolution does – which, therefore, computes the "less harmful nature of the conduct [of the company in question]" and "its duration" twice!</w:t>
      </w:r>
    </w:p>
    <w:p>
      <w:r>
        <w:t>The Communication cannot be applied at the discretion of the judge. If it is applied, it cannot be reduced below 10%. Section I-(4) of the Communication itself allows for it not to be applied when – for specific reasons that do not occur in the File we are dealing with – the sanctioning body finds no way to do so, in which case it allows it to be replaced, exceptionally, by some other mechanism. Now, if what is intended is to use that Section to apply it but changing its parameters at the discretion of the sanctioning body, then what remains of Section I-(3) of the Communication itself?</w:t>
      </w:r>
    </w:p>
    <w:p>
      <w:r>
        <w:t>To put it more explicitly: If the sanctioning body can change the parameter downwards to whatever level it pleases, then it can also change the parameters – in fact, from a mathematical point of view, it makes no difference to reduce the – etc. But in that case, it is the sanctioning body itself that delves even further than the Communication already does into the forbidden territory of "formulations so open due to their breadth, vagueness, or indefiniteness" that the sanction "depends on a practically free and arbitrary decision of the interpreter and judge" (STC 34/1996, of March 11, FJ 5).</w:t>
      </w:r>
    </w:p>
    <w:p>
      <w:r>
        <w:t>SECOND.- Once the sanctioning criterion of the Communication (the algorithm [1] in Section III of the PREAMBLE) is applied, the Resolution obtains the framework of</w:t>
      </w:r>
    </w:p>
    <w:p>
      <w:r>
        <w:rPr>
          <w:b/>
        </w:rPr>
        <w:t>[Pages 94–96]</w:t>
      </w:r>
    </w:p>
    <w:p>
      <w:r>
        <w:t>sanctions reflected on page 79, to immediately affirm that it is now appropriate (page 79), "to verify that the fine thus calculated does not exceed 10% of the total turnover of the company in the year prior to the imposition of the fine." That is to say, as indicated in Section II of the PREAMBLE, the Communication puts the cart before the horses: amount of the fine → % of turnover in the year... And it continues (page 80): "[...] in the case of the companies ROMERO HORMELEC, S.A., POSTELÉCTRICA FABRICACIÓN, S.A., BUPRE, S.L. and APLICACIONES DEL HORMIGÓN, S.A., the basic amount of the fine [...] is above the maximum limit provided by art. 63.1 LDC [...] Therefore, for the four aforementioned companies, the amount of the fine must be reduced so that it does not exceed that limit."</w:t>
      </w:r>
    </w:p>
    <w:p>
      <w:r>
        <w:t>Well, this occurs because the turnover of the year immediately prior to the imposition of the fine considered by the Resolution is the consolidated turnover of the respective companies. We have argued in Section I of the PREAMBLE why we believe this is inadequate. If the Resolution had considered the turnover in the activity affected by the infringement, all the imposed fines would have exceeded the 10% limit (for the fine corresponding to RUBIERA PREDISA, S.L. we have incorporated):</w:t>
      </w:r>
    </w:p>
    <w:p>
      <w:r>
        <w:t>𝒑 = 𝟏𝟏% Fine resulting from % that it represents on the Turnover (during the application of the algorithm of the Communication (Column 2 of the table on page 80 of the Resolution) in the activity affected by the infringement</w:t>
      </w:r>
    </w:p>
    <w:p>
      <w:r>
        <w:t xml:space="preserve">POSTELÉCTRICA FABRICACIÓN […] 262,336 58.88% </w:t>
        <w:br/>
        <w:t xml:space="preserve">ROMERO HORMELEC […] 732,775 50.87% </w:t>
        <w:br/>
        <w:t xml:space="preserve">PREPHOR […] 441,826 100.46% </w:t>
        <w:br/>
        <w:t xml:space="preserve">ADHORNA PREFABRICACIÓN […] 469,681 82.05% </w:t>
        <w:br/>
        <w:t xml:space="preserve">XEIXALVO […] 238,731 45.72% </w:t>
        <w:br/>
        <w:t xml:space="preserve">BUPRE […] 351,109 48.72% </w:t>
        <w:br/>
        <w:t xml:space="preserve">APLIHORSA […] 363,645 63.12% </w:t>
        <w:br/>
        <w:t>RUBIERA PREDISA […] 3,334 10.02%</w:t>
      </w:r>
    </w:p>
    <w:p>
      <w:r>
        <w:t>NOTE: In each case, the turnover during the year 2013 in the activity affected by the infringement is recorded in the File. Here they are omitted to respect the confidentiality of the companies. It is of some interest to observe that in the case of RUBIERA PREDISA, S.L., the fine resulting from the application of the Communication represents 10% of the affected turnover: logical, since the infringement lasted only one year we have</w:t>
      </w:r>
    </w:p>
    <w:p>
      <w:r>
        <w:t xml:space="preserve">= . </w:t>
        <w:br/>
        <w:t>𝐼𝐼𝑡 =𝑝�𝑉𝑉𝑉𝑡−1+0.75 𝑉𝑉𝑉𝑡−2+0.50 𝑉𝑉𝑉𝑡−3+</w:t>
        <w:br/>
        <w:t>⋯� 𝑝[𝑉𝑉𝑉𝑡−1]</w:t>
      </w:r>
    </w:p>
    <w:p>
      <w:r>
        <w:t>THIRD.- The Resolution states the following (page 76): "[...] article 63.1 of the LDC does not set a sanctioning range, but a limit." In our opinion, Article 63.1 does much more than set "a limit." In particular, it does set a sanctioning range, with sub-ranges for each type of infringement considered: minor, serious, or very serious, each of which has, by application of Spanish Law, its corresponding division into minimum, medium, and high degrees. Ultimately, and in accordance with our Constitution, Law 15/2007 establishes a complete sanctioning framework, of which the "10%" is a part just like all the points of the interval (0%, 10%), depending on the type of infringement with which they are associated.</w:t>
      </w:r>
    </w:p>
    <w:p>
      <w:r>
        <w:t>What is different is that, as we have pointed out in the PREAMBLE –and demonstrated by what has been stated in the previous sections– "this sanctioning framework of Law 15/2007 is hijacked by the sanction calculation method of the Communication and replaced by the result of it, which is completely different –something that the COMPETITION CHAMBER of the CNMC is not authorized to do–."</w:t>
      </w:r>
    </w:p>
    <w:p>
      <w:r>
        <w:t>FOURTH.- If the previous argumentative development questions the Communication –and therefore the sanctioning procedure of the Resolution– as an appropriate mathematical construction to determine the amount of the sanctions provided in Articles 63 and 64 of Law 15/2007, of July 3, on the Defense of Competition, the substantive issue lies in the violation of the principle of legality and, consequently, of legal certainty, which leads to the violation of effective judicial protection, ex Articles 9 and 24 of the Spanish Constitution.</w:t>
      </w:r>
    </w:p>
    <w:p>
      <w:r>
        <w:t>The Communication clashes with the principle of legality by attempting to give greater applicative weight to a provision with a lower normative rank than a Law than to specific legal precepts that do have that rank: Articles 62 and following of Law 15/2007, of July 3, on the Defense of Competition, precepts that have had constitutional and jurisprudential doctrinal development.</w:t>
      </w:r>
    </w:p>
    <w:p>
      <w:r>
        <w:t>As a simple mention, we can cite, among others, STC 100/2003, of June 2, which regarding the reservation of Law in the determination of administrative sanctions establishes the following:</w:t>
      </w:r>
    </w:p>
    <w:p>
      <w:r>
        <w:t>"This opens up the possibility for laws to refer to regulatory norms in this area, with the unbreachable limit, in any case, that such referral does not facilitate 'an independent regulation not clearly subordinate to the Law' (SSTC 42/1987, of April 7, FJ 2; 101/1988, of June 8, FJ 3; 61/1990, of March 29, FJ 8; 341/1993, of November 18, FJ 10; and 25/2002, of February 11, FJ 4). Ultimately, as highlighted in STC 113/2002, of May 9, FJ 3, reiterating what has already been said in legal foundation 3 of STC 305/1993, of October 25, 'art. 25 of the Constitution obliges the legislator to regulate by himself the types of administrative infringement and the sanctions applicable to them, without it being possible that, from the Constitution, new sanctions can be introduced or the framework of existing ones altered by a regulatory norm whose content is not sufficiently predetermined or delimited by another with the rank of Law.'"</w:t>
      </w:r>
    </w:p>
    <w:p>
      <w:r>
        <w:t>It previously recalls what was said in the doctrine expressed by STC 42/1987, of April 7:</w:t>
      </w:r>
    </w:p>
    <w:p>
      <w:r>
        <w:t>"The fundamental right thus stated incorporates the rule 'nullum crimen nulla poena sine [praevia] lege', extending it even to the administrative sanctioning system, and includes a double guarantee. The first, of a material nature and absolute scope, both regarding the strictly penal sphere and that of administrative sanctions, reflects the special significance of the principle of security in those limiting areas of individual freedom and translates into the imperative requirement of normative predetermination of unlawful conduct and the corresponding sanctions. The second, of a formal nature, refers to the necessary rank of the norms typifying those conducts and regulating these sanctions, since, as this Court has repeatedly pointed out, the term 'current legislation' contained in that art. 25.1 is expressive of a reservation of Law in sanctioning matters" (loc. cit., FJ 2). [...] we have emphasized this double guarantee in SSTC 133/1999, of July 15, FJ 2; 276/2000, of November 16, FJ 6; 25/2002, of February 11, FJ 4; 75/2002, of April 8, FJ 4; and 113/2002, of May 9, FJ 3 [...]</w:t>
      </w:r>
    </w:p>
    <w:p>
      <w:r>
        <w:t>[...] In what is now strictly relevant, we must point out that, assuming the linkage of the material guarantee with the principle of legal certainty, this Court has specified that it incorporates the mandate of taxativity or lex certa, "which translates into the requirement of normative predetermination of punishable conduct and their corresponding sanctions" (among others, SSTC 142/1999, of July 22, FJ 3, and 123/2001, of June 4, FJ 11)."</w:t>
      </w:r>
    </w:p>
    <w:p>
      <w:r>
        <w:t>Certainty implies, as the AN has also pointed out (among others, SAN of December 23, 2013, Appeal No. 188/2012) "a clear determination regarding the applicable sanction, establishing at least a minimum and a maximum, which allows for the grading of the administrative sanction [...]."</w:t>
      </w:r>
    </w:p>
    <w:p>
      <w:r>
        <w:t>IN CONCLUSION: Our disagreement is based on two fundamental considerations: The first, because a norm of lower rank cannot challenge what is established by a norm with the rank of Law. The second, because the Communication is an ad hoc creation and its application leads to an arithmetic result exceeding the sanctioning ceiling, which is then corrected at will, representing a procedure for determining fines that operates in the opposite direction to that contemplated in Law 15/2007, of July 3, on the Defense of Competition, with the consequences outlined in this Particular Vote.</w:t>
      </w:r>
    </w:p>
    <w:p>
      <w:r>
        <w:rPr>
          <w:b/>
        </w:rPr>
        <w:t>[Pages 97–99]</w:t>
      </w:r>
    </w:p>
    <w:p>
      <w:r>
        <w:t xml:space="preserve">FIFTH.- In our opinion, the method of determining sanctions present in the Communication is not only a source of problems but also completely unnecessary. Law 15/2007, of July 3, on the Defense of Competition, provides all the necessary elements to determine the amount of fines. As an example, we can use the file that is currently before us. The initial report was originally assigned, by strict rotation, to the Councillors signing this Particular Vote. It was deliberated in 2014 and, as the Communication was not applied to determine the amount of the fine, it was rejected by the other three members of the CHAMBER. Indeed, we did not apply the Communication. Instead, the approach taken was as follows: </w:t>
        <w:br/>
        <w:t xml:space="preserve">“[…] SEVENTH.- Regarding the legislation to be applied for estimating a sanction, it should be noted that the infringement began when Law 110/1963, of July 20, on the Suppression of Restrictive Practices of Competition was in force; it continued during the validity of Law 16/1989, of July 17, on the Defense of Competition; and it ended under the current Law 15/2007 on the Defense of Competition. Therefore, it must be determined which of them should be applied. Article 128 of Law 30/1992, of November 26, on the Legal Regime of Public Administrations and Common Administrative Procedure, orders that the most favorable for the infringer be applied. </w:t>
        <w:br/>
        <w:t xml:space="preserve">This COMPETITION CHAMBER of the CNMC could not resolve the File based on Law 110/1963, since, in order to do so, it would first have to complete the procedure provided for in its Article 12-1, which stipulates the following: “The Competition Defense Tribunal, upon receiving the file instructed by the Service, will mandatorily request a report from the National Union […]”. </w:t>
        <w:br/>
        <w:t xml:space="preserve">In any case, and according to Articles 15-1-b), 15-3, and 28-1-2-3, it could not be stated that this Law was more favorable to the accused than the aforementioned Law 16/1989 and Law 15/2007. </w:t>
        <w:br/>
        <w:t xml:space="preserve">Regarding these last two, the COMPETITION CHAMBER understands that, since this is a significant cartel in terms of its impact on the competitive development of the relevant market, (1) both allow for a sanction of up to 10% of the sales volume in the fiscal year immediately preceding the imposition of the fine, so in this respect neither presents an advantage over the other; but (2) Law 15/2007 offers all participants in the cartel the opportunity to avail themselves of the CNMC's Leniency Program, as established in Articles 65 (Exemption from the payment of the fine) and 66 (Reduction of the amount of the fine) of that Law, and that is an option, advantageous for the accused, which is not contemplated by Law 16/1989. Therefore, this CHAMBER concludes that, in this case, the applicable Law is 15/2007, of July 3, on the Defense of Competition. </w:t>
        <w:br/>
        <w:t>EIGHTH.- Having established the above, the following provisions apply for the determination of the sanction:</w:t>
      </w:r>
    </w:p>
    <w:p>
      <w:r>
        <w:t xml:space="preserve">(1) The behaviors examined are prohibited by Article 1 of said Law, which in its first paragraph provides the following: “Any agreement, decision or collective recommendation or concerted or consciously parallel practice that has the object, produces or may produce the effect of preventing, restricting or distorting competition in whole or in part of the national market is prohibited, and in particular those that consist of: a) The direct or indirect fixing of prices […] c) The allocation of the market […]”. </w:t>
        <w:br/>
        <w:t xml:space="preserve">(2) The same Law, in its Article 62-4.a), classifies the behaviors examined here as very serious infringement. In its Article 63.1.c), it stipulates that such infringements may be sanctioned “with a fine of up to 10% of the total turnover of the infringing company in the fiscal year immediately preceding the imposition of the fine”; and in its Article 64.1 establishes —in an inclusive but not limited manner— the criteria that the sanctioning body must consider to determine, within the mentioned interval, the specific percentage of the sanction. </w:t>
        <w:br/>
        <w:t xml:space="preserve">NINTH.- Within the classification of the examined conduct as very serious, this COMPETITION CHAMBER of the CNMC considers that in light of the PROVEN FACTS contained in the File, the cartel analyzed here has had a particularly harmful character, especially because it extended over 29 years, under three different Laws regarding the Defense of Competition. Therefore, it deserves the maximum reproach. </w:t>
        <w:br/>
        <w:t xml:space="preserve">However, it is not possible to sanction the cartel as such, but rather each of its members individually. Therefore, in accordance with Spanish and community jurisprudence, we must graduate the sanction considering the severity and duration of the infringement (appreciating in each case the modifying circumstances of individual responsibility), and the principles of proportionality and equality of treatment. Thus, not all members of the cartel remained in it for the same time, and not all of them have had the same capacity to cause harm to non-cartelized competitors, consumers, and users. In summary, not all have equally affected social welfare. </w:t>
        <w:br/>
        <w:t xml:space="preserve">The following tables show these differences in terms of (i) the scope of the infringement in terms of the number of affected products; (ii) its duration, expressed in years; and (iii) the market share. In each case, the duration of the infringement and the number of products affected by it are contained in the File. As the market share of the entire cartel for each of the affected products is not recorded in it, it is not possible to determine the respective individual absolute shares; but it is possible to establish an ordinal scale of the share of each accused relative to the entire cartel, as we develop below. </w:t>
        <w:br/>
        <w:t>As an ordinal indicator of the respective shares, the relative sales volume in 2012 is used, as this is a year in which all the accused were present in the cartel. (The case of RUBIERA PREDISA, S.L., which was only present that year, deserves a later comment). With this data, and in combination with the duration of the infringement, we can obtain –for the purposes of grading the sanction– an idea of the relative damage inflicted by each of the accused companies to non-cartelized competitors, and to consumers and users, during the entire period of belonging to the cartel, regardless of the absolute damage caused by it (which is indexed here to 1).</w:t>
      </w:r>
    </w:p>
    <w:p>
      <w:r>
        <w:t xml:space="preserve">EXTENT OF THE DURATION OF RANKING by </w:t>
        <w:br/>
        <w:t xml:space="preserve">COMPANY INFRINGEMENT: THE INFRINGEMENT: Extent and Duration of </w:t>
        <w:br/>
        <w:t xml:space="preserve">Affected Products Years the infringement </w:t>
        <w:br/>
        <w:t xml:space="preserve">POSTELÉCTRICA FABRICACIÓN 4 29 1st </w:t>
        <w:br/>
        <w:t xml:space="preserve">ROMERO HORMELEC 4 29 1st </w:t>
        <w:br/>
        <w:t xml:space="preserve">PREPHOR 4 29 1st </w:t>
        <w:br/>
        <w:t xml:space="preserve">ADHORNA PREFABRICACIÓN 4 29 1st </w:t>
        <w:br/>
        <w:t xml:space="preserve">XEIXALVO 1 14 2nd [far from 1st] </w:t>
        <w:br/>
        <w:t xml:space="preserve">BUPRE 2 2 3rd [distant from 2nd] </w:t>
        <w:br/>
        <w:t xml:space="preserve">APLIHORSA 1 3 4th [equal position to 3rd] </w:t>
        <w:br/>
        <w:t xml:space="preserve">RUBIERA PREDISA 1 1 5th [distant from 4th] </w:t>
        <w:br/>
        <w:t xml:space="preserve">Share of </w:t>
        <w:br/>
        <w:t xml:space="preserve">Ranking of Share of </w:t>
        <w:br/>
        <w:t xml:space="preserve">Turnover Market </w:t>
        <w:br/>
        <w:t xml:space="preserve">COMPANY Market Relative to </w:t>
        <w:br/>
        <w:t xml:space="preserve">(€) affected in 2012 Relative to the Cartel </w:t>
        <w:br/>
        <w:t xml:space="preserve">Cartel </w:t>
        <w:br/>
        <w:t xml:space="preserve">(Vi/ V) </w:t>
        <w:br/>
        <w:t xml:space="preserve">POSTELÉCTRICA FABRICACIÓN […] 7.70% 7th </w:t>
        <w:br/>
        <w:t xml:space="preserve">ROMERO HORMELEC […] 24.65% 1st </w:t>
        <w:br/>
        <w:t xml:space="preserve">PREPHOR […] 13.66% 3rd [close to 2nd] </w:t>
        <w:br/>
        <w:t xml:space="preserve">ADHORNA PREFABRICACIÓN […] 13.26% 4th [≈3rd] </w:t>
        <w:br/>
        <w:t xml:space="preserve">XEIXALVO […] 10.39% 6th </w:t>
        <w:br/>
        <w:t xml:space="preserve">BUPRE […] 17.72% 2nd [far from 1st] </w:t>
        <w:br/>
        <w:t xml:space="preserve">APLIHORSA […] 11.82% 5th </w:t>
        <w:br/>
        <w:t xml:space="preserve">RUBIERA PREDISA […] 0.82% 8th [very distant from all] </w:t>
        <w:br/>
        <w:t xml:space="preserve">1.00 </w:t>
        <w:br/>
        <w:t xml:space="preserve">The sales volume affected by the infringement of each accused in the year 2012 is contained in the File. It has been removed from the Table for confidentiality reasons. </w:t>
        <w:br/>
        <w:t>Based on the two previous Tables, this COMPETITION CHAMBER considers that the following sanction, expressed in each case as a % of the total turnover affected by the infringement in the year 2013, is appropriate:</w:t>
      </w:r>
    </w:p>
    <w:p>
      <w:r>
        <w:rPr>
          <w:b/>
        </w:rPr>
        <w:t>[Pages 100–101]</w:t>
      </w:r>
    </w:p>
    <w:p>
      <w:r>
        <w:t xml:space="preserve">Sanction Law  </w:t>
        <w:br/>
        <w:t xml:space="preserve">RANKING by  </w:t>
        <w:br/>
        <w:t xml:space="preserve">15/2007 as % of  </w:t>
        <w:br/>
        <w:t xml:space="preserve">Market Share  </w:t>
        <w:br/>
        <w:t xml:space="preserve">Extent and Duration  </w:t>
        <w:br/>
        <w:t xml:space="preserve">Affected by the  </w:t>
        <w:br/>
        <w:t xml:space="preserve">Cartel  </w:t>
        <w:br/>
        <w:t xml:space="preserve">of the infringement in 2013  </w:t>
        <w:br/>
        <w:t xml:space="preserve">POSTELÉCTRICA FABRICACIÓN 1st 7th 9.0%  </w:t>
        <w:br/>
        <w:t xml:space="preserve">ROMERO HORMELEC 1st 1st 10.0%  </w:t>
        <w:br/>
        <w:t xml:space="preserve">PREPHOR 1st 3rd [close to 2nd] 9.5%  </w:t>
        <w:br/>
        <w:t xml:space="preserve">ADHORNA PREFABRICACIÓN 1st 4th [≈3rd] 9.5%  </w:t>
        <w:br/>
        <w:t xml:space="preserve">XEIXALVO 2nd [far from 1st] 6th 7.5%  </w:t>
        <w:br/>
        <w:t xml:space="preserve">BUPRE 3rd [far from 2nd] 2nd [far from 1st] 8.0%  </w:t>
        <w:br/>
        <w:t xml:space="preserve">APLIHORSA 4th [same position as 3rd] 5th 7.0%  </w:t>
        <w:br/>
        <w:t xml:space="preserve">RUBIERA PREDISA 8th [far from all] 5.0%  </w:t>
        <w:br/>
        <w:t xml:space="preserve">Consequently, the following fines result (the business volumes in 2013 to which the respective percentages apply are contained in the File. For reasons of confidentiality, they are omitted from this Table):  </w:t>
        <w:br/>
        <w:t xml:space="preserve">Sanction Law  </w:t>
        <w:br/>
        <w:t xml:space="preserve">15/2007 as %  </w:t>
        <w:br/>
        <w:t xml:space="preserve">of the Business  </w:t>
        <w:br/>
        <w:t xml:space="preserve">Company Business Volume Amount of the sanction  </w:t>
        <w:br/>
        <w:t xml:space="preserve">Affected by the infringement  </w:t>
        <w:br/>
        <w:t xml:space="preserve">(in 2013)  </w:t>
        <w:br/>
        <w:t xml:space="preserve">POSTELÉCTRICA FABRICACIÓN […] 9.0% 40,100.79  </w:t>
        <w:br/>
        <w:t xml:space="preserve">ROMERO HORMELEC […] 10.0% 144,049.78  </w:t>
        <w:br/>
        <w:t xml:space="preserve">PREPHOR […] 9.5% 41,779.53  </w:t>
        <w:br/>
        <w:t xml:space="preserve">ADHORNA PREFABRICACIÓN […] 9.5% 54,379.33  </w:t>
        <w:br/>
        <w:t xml:space="preserve">XEIXALVO […] 7.5% 39,160.50  </w:t>
        <w:br/>
        <w:t xml:space="preserve">BUPRE […] 8.0% 57,658.10  </w:t>
        <w:br/>
        <w:t xml:space="preserve">APLIHORSA […] 7.0% 40,330.72  </w:t>
        <w:br/>
        <w:t xml:space="preserve">RUBIERA PREDISA […] 5.0% 1,663.49  </w:t>
        <w:br/>
        <w:t xml:space="preserve">As already noted, the case of RUBIERA PREDISA, S.L. deserves additional commentary. In the Proposal Report submitted to this COMPETITION CHAMBER by the Competition Directorate, and therefore in the File, RUBIERA PREDISA is charged with providing its competitor ROMERO HORMELEC with information on prices applicable to the concrete pole product in 2012. That is to say, solely for sending sensitive information about a single product and referring to only one year. Among the allegations presented by the company, responded to satisfactorily by the Competition Directorate to this COMPETITION CHAMBER, are the following: (1) That, given the small size of the company, its conduct could do little harm to social welfare; and (2) that, in fact, it caused none, since the prices made known to ROMERO HORMELEC, S.L. were ultimately not the ones actually applied by the company in that year.  </w:t>
        <w:br/>
        <w:t xml:space="preserve">This COMPETITION CHAMBER is aware of the first point, and it has been taken into account when determining the sanction (market share of the company relative to the cartel as a whole and years of duration of the infringement). Regarding the second point, we wish to establish the following principle: the exchange of sensitive information between competing companies is in itself an infringement classified as very serious by the current legislation on Competition Defense because it is "capable of producing the effect of preventing, restricting, or distorting competition," regardless of whether such information is or is not used to carry out other infringing practices of said legislation.  </w:t>
        <w:br/>
        <w:t xml:space="preserve">TENTH.- From the facts contained in the File, this COMPETITION CHAMBER does not perceive the existence of factors that could be considered mitigating or aggravating under Article 64-2-3 of Law 15/2007, of July 3, on Competition Defense.  </w:t>
        <w:br/>
        <w:t xml:space="preserve">By virtue of all the above, having regard to the cited legal provisions and others of general application, this COMPETITION CHAMBER of the National Commission of Markets and Competition, in the Plenary Session of XX October 2014, HAS RESOLVED […]”  </w:t>
        <w:br/>
        <w:t>Thus, by this our Dissenting Particular Vote, we pronounce, order, and sign in Madrid, on January 15,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