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https://www.cnmc.es/expedientes/s047413</w:t>
      </w:r>
    </w:p>
    <w:p>
      <w:r>
        <w:t>Pages translated : 10</w:t>
      </w:r>
    </w:p>
    <w:p/>
    <w:p>
      <w:r>
        <w:rPr>
          <w:b/>
        </w:rPr>
        <w:t>[Pages 1–3]</w:t>
      </w:r>
    </w:p>
    <w:p>
      <w:r>
        <w:t>JURISPRUDENCE</w:t>
        <w:br/>
        <w:t>Ruling: STS 2729/2022 - ECLI:ES:TS:2022:2729</w:t>
        <w:br/>
        <w:t>Cendoj ID: 28079130032022100130</w:t>
        <w:br/>
        <w:t>Body: Supreme Court. Administrative Litigation Chamber</w:t>
        <w:br/>
        <w:t>Location: Madrid</w:t>
        <w:br/>
        <w:t>Section: 3</w:t>
        <w:br/>
        <w:t>Date: 07/05/2022</w:t>
        <w:br/>
        <w:t>Appeal Number: 2028/2021</w:t>
        <w:br/>
        <w:t>Resolution Number: 915/2022</w:t>
        <w:br/>
        <w:t>Procedure: Administrative Litigation Cassation Appeal (L.O. 7/2015)</w:t>
        <w:br/>
        <w:t>Reporting Judge: DIEGO CORDOBA CASTROVERDE</w:t>
        <w:br/>
        <w:t>Type of Resolution: Judgment</w:t>
        <w:br/>
        <w:t>Case Resolutions: SAN 4202/2020,</w:t>
        <w:br/>
        <w:t>ATS 12703/2021,</w:t>
        <w:br/>
        <w:t>STS 2729/2022</w:t>
        <w:br/>
        <w:t>S U P R E M E C O U R T</w:t>
        <w:br/>
        <w:t>Administrative Litigation Chamber</w:t>
        <w:br/>
        <w:t>Third Section</w:t>
        <w:br/>
        <w:t>Judgment No. 915/2022</w:t>
        <w:br/>
        <w:t>Date of Judgment: 07/05/2022</w:t>
        <w:br/>
        <w:t>Type of Procedure: CASSATION</w:t>
        <w:br/>
        <w:t>Procedure Number: 2028/2021</w:t>
        <w:br/>
        <w:t>Ruling/Agreement:</w:t>
        <w:br/>
        <w:t>Date of Hearing: 06/21/2022</w:t>
        <w:br/>
        <w:t>Reporting Judge: Hon. Mr. Diego Córdoba Castroverde</w:t>
        <w:br/>
        <w:t>Origin: NATIONAL COURT ADMINISTRATIVE LITIGATION CHAMBER, SECTION 6</w:t>
        <w:br/>
        <w:t>Justice Administration Lawyer: Illustrious Mr. Luis Martín Contreras</w:t>
        <w:br/>
        <w:t>Transcribed by: AVJ</w:t>
        <w:br/>
        <w:t>Note:</w:t>
        <w:br/>
        <w:t>CASSATION No.: 2028/2021</w:t>
        <w:br/>
        <w:t>Reporting Judge: Hon. Mr. Diego Córdoba Castroverde</w:t>
        <w:br/>
        <w:t>Justice Administration Lawyer: Illustrious Mr. Luis Martín Contreras</w:t>
        <w:br/>
        <w:t>SUPREME COURT</w:t>
        <w:br/>
        <w:t>Administrative Litigation Chamber</w:t>
        <w:br/>
        <w:t>Third Section</w:t>
        <w:br/>
        <w:t>Judgment No. 915/2022</w:t>
        <w:br/>
        <w:t>Honorable Sirs:</w:t>
        <w:br/>
        <w:t>Mr. Eduardo Espín Templado, President</w:t>
        <w:br/>
        <w:t>Mr. José Manuel Bandrés Sánchez-Cruzat</w:t>
        <w:br/>
        <w:t>1</w:t>
      </w:r>
    </w:p>
    <w:p>
      <w:r>
        <w:t>JURISPRUDENCE</w:t>
        <w:br/>
        <w:t>Mr. Eduardo Calvo Rojas</w:t>
        <w:br/>
        <w:t>Mr. José María del Riego Valledor</w:t>
        <w:br/>
        <w:t>Mr. Diego Córdoba Castroverde</w:t>
        <w:br/>
        <w:t>In Madrid, on July 5, 2022.</w:t>
        <w:br/>
        <w:t>This Chamber, composed of the magistrates indicated in the margin, has reviewed the cassation appeal number 2028/2021 filed by the court attorney Ms. Gloria Teresa Robledo Machuca on behalf and representation of REPSOL, S.A., with the assistance of the lawyer Mr. Alberto Rueda García, against the judgment of November 12, 2020, issued by the Sixth Section of the Administrative Litigation Chamber of the National Court, in the administrative litigation appeal no. 222/2015.</w:t>
        <w:br/>
        <w:t>The State Attorney has appeared as the opposing party, in the representation held.</w:t>
        <w:br/>
        <w:t>The reporting judge has been the Hon. Mr. Diego Córdoba Castroverde.</w:t>
        <w:br/>
        <w:t>FACTUAL BACKGROUND</w:t>
        <w:br/>
        <w:t>FIRST. The court attorney Ms. Gloria Teresa Robledo Machuca, acting on behalf and representation of REPSOL, S.A. (hereinafter "REPSOL"), files a cassation appeal against the judgment of the Sixth Section of the Administrative Litigation Chamber of the National Court of November 12, 2020 (rec. 222/2015) by which the appeal filed by REPSOL against the resolution of the Council of the National Commission on Markets and Competition of February 19, 2015 (file S/474/13 "automotive fuel prices") was partially upheld, imposing a fine of €20,000,000 on said company.</w:t>
        <w:br/>
        <w:t>The judgment partially upheld the appeal regarding the quantification of the imposed sanction, agreeing to annul it and ordering the CNMC to recalculate the imposed sanction within the limits of reformatio in peius.</w:t>
        <w:br/>
        <w:t>SECOND. By Order of October 6, 2021, the cassation appeal was admitted, declaring that the issue presenting objective cassational interest for the formation of jurisprudence consists of completing, reinforcing, clarifying, and, if necessary, correcting the existing jurisprudence in order to determine whether, in cases of suspension of the sanctioning procedure due to the referral of information to the European Commission, the suspension period begins from the date of the suspension agreement or from the date of the referral of information to the European Commission; as well as to clarify, in light of the provisions of Article 101 TFEU, the notion of affecting the internal market when the behaviors considered as infringements have a marked local character, and the impact this may have on determining the competent regulatory authority for processing the procedure.</w:t>
        <w:br/>
        <w:t>THIRD. The appellant formalized the cassation appeal.</w:t>
        <w:br/>
        <w:t>Several infringements are attributed to the challenged judgment:</w:t>
        <w:br/>
        <w:t>1st Violation of Articles 36, 37, and 38 LDC and Article 12 RDC, concerning the computation of the maximum period of procedures in cases of suspension to inform the European Commission.</w:t>
        <w:br/>
        <w:t>Article 36.1 LDC provides that "The maximum period for issuing and notifying the resolution that concludes the sanctioning procedure for restrictive competition behaviors shall be eighteen months from the date of the initiation agreement, and its distribution between the phases of instruction and resolution shall be established by regulation."</w:t>
        <w:br/>
        <w:t>File S/474/13, "Automotive Fuel Prices," was initiated on July 29, 2013; therefore, the maximum period for issuing and notifying the resolution expired on January 29, 2015. According to Article 38.1 LDC, the passage of this maximum period determines the expiration of the sanctioning file.</w:t>
        <w:br/>
        <w:t>On the other hand, Article 37.2.c) LDC establishes that the maximum period shall be suspended "When information is provided to the European Commission within the framework provided in Article 11.4 of Regulation (EC) No. 1/2003 of the Council, of December 16, 2002, concerning the application of the competition rules provided in Articles 81 and 82 of the Treaty regarding a proposed resolution applying Articles 81 and 82 of the Treaty of the European Community."</w:t>
        <w:br/>
        <w:t>For its part, Article 12.1.f) of Royal Decree 261/2008, of February 22, which approves the Competition Defense Regulation ("RDC") establishes that in the case of Article 37.2.c) LDC "the computation of the period shall be understood as suspended from the date of the suspension agreement, which must be notified to the interested parties."</w:t>
        <w:br/>
        <w:t>2</w:t>
      </w:r>
    </w:p>
    <w:p>
      <w:r>
        <w:t>JURISPRUDENCE</w:t>
        <w:br/>
        <w:t>It argues that despite the clarity of this provision, in the suspension agreement dated December 23, 2014, it was decided that the suspension was effective as of November 19, 2014 (later corrected to December 19, 2014). It considers that the Agreement of December 23 did not agree to inform the parties about the decision of suspension, but rather agreed to suspend the procedure. This is evident from the literal wording of the Agreement:</w:t>
        <w:br/>
        <w:t>"On December 18, 2014, the Council of the National Commission on Markets and Competition agreed to refer information to the European Commission (...), which took place on December 19, 2014.</w:t>
        <w:br/>
        <w:t>It was also agreed to suspend the resolution of the procedure imposed by Article 37.2 c) of the LDC.</w:t>
        <w:br/>
        <w:t>The Council, in light of the above, AGREES:</w:t>
        <w:br/>
        <w:t>To suspend as of November 19, 2014, the maximum period for resolving this file until a response is given by the European Commission to the information referred or the term referred to in Article 11.4 of Regulation (EC) No. 1/2003 elapses."</w:t>
        <w:br/>
        <w:t>On January 18, 2015, the suspension was lifted, and the resolution was notified on February 25, 2015.</w:t>
        <w:br/>
        <w:t>It argues that the judgment contains no reasoning regarding the denial of expiration, as it refers to the criterion established by a Supreme Court ruling that is unrelated to the case at hand.</w:t>
        <w:br/>
        <w:t>In its view, it is absolutely inexplicable that said judgment decides to disregard the rule that clearly establishes Article 12.1.f) RDC and, against the principle of legality and legal certainty, invents a new computation rule in cases of suspension to inform the Commission based on an arbitrary reading of a provision - Article 37.2 LDC - that regulates a different matter.</w:t>
        <w:br/>
        <w:t>Article 37.2 LDC regulates the cases in which the suspension of the maximum period for resolution must be agreed upon. And Article 12 RDC regulates the computation of periods in cases of suspension.</w:t>
        <w:br/>
        <w:t>The challenged Judgment leaves unresolved another issue: whether it is lawful to suspend the resolution period to inform the European Commission in cases where Article 11.4 of Regulation 1/2003 does not apply and how courts should assess the appropriateness of the suspension agreed for this reason.</w:t>
        <w:br/>
        <w:t>The behaviors attributed to REPSOL could not, by their very nature, have any effect on intra-community trade, which is the basic prerequisite for informing the European Commission within the framework provided in Article 11.4 of Regulation 1/2003 and for agreeing to the suspension of Article 37.2.c) LDC.</w:t>
        <w:br/>
        <w:t>In short, in its view: (i) it was not appropriate to suspend the procedure to inform the European Commission, as the prerequisite of Article 11.4 of Regulation 1/2003 was not met, so the period for notifying the resolution expired on January 29, 2015; and (ii) subsidiarily, the agreed suspension, if valid, produced effects from December 23, 2014 (date of the suspension agreement) until January 18, 2015 (lifting of the suspension), so the period expired on February 24, 2015. Consequently, in both cases, when the Resolution was notified on February 25, 2015, the file was expired.</w:t>
        <w:br/>
        <w:t>2nd Secondly, it is argued that the challenged judgment violates Article 101 TFEU concerning the effect on intra-community trade of the sanctioned behaviors.</w:t>
        <w:br/>
        <w:t>The three infringements attributed to it are independent behaviors that occur in local geographical environments and different temporal moments.</w:t>
        <w:br/>
        <w:t>It argues that given the local nature of the three infringements, the absence of effects on intra-community trade was evident, which was also expressly confirmed in the dissenting opinions of the challenged administrative resolution. And it could not be understood in any case that the effect on trade was automatic when dealing with infringements classified by object.</w:t>
        <w:br/>
        <w:t>The challenged judgment understands "that the prohibition of agreements between companies and concerted practices can not only affect trade between Member States, but also those "[q]ue have as their object or effect to prevent, restrict or distort competition within the internal market," as established in Article 101.1", for which it refers to the concept of the internal market derived from Article 3 of the Treaty on European Union. And adds that "REPSOL does not take into account that the sanctioning agreement is not only linked to Article 101 TFEU but also to Article 1 LDC 15/2007, of July 3, on Competition Defense, which confines the anticompetitive prohibition to "all or part of the national market."</w:t>
      </w:r>
    </w:p>
    <w:p>
      <w:r>
        <w:rPr>
          <w:b/>
        </w:rPr>
        <w:t>[Pages 4–6]</w:t>
      </w:r>
    </w:p>
    <w:p>
      <w:r>
        <w:t>JURISPRUDENCE</w:t>
        <w:br/>
        <w:t>The criterion of the effect on trade is an autonomous criterion of European Union law that must be specifically assessed in each case. It is a jurisdictional criterion: Article 101 TFEU is not applicable to agreements and practices that cannot appreciably affect trade between Member States. As the Court of Justice of the European Union ("CJEU") has repeatedly noted, notably in the well-known Manfredi judgment of July 13, 2006, "For a decision, agreement, or practice to affect trade between Member States, it must be presumed with a sufficient degree of probability, based on a series of objective elements of fact or law, that they can exert a direct or indirect, actual or potential influence on the flows of trade between Member States, in such a way as to raise fears that they could hinder the establishment of a single market among Member States (see the judgments of July 11, 1985, Remia and others/Commission, 42/84, Rec. p. 2545, paragraph 22, and Ambulanz Glöckner, previously cited, paragraph 48). It is also necessary that such influence is not insignificant (judgment of April 28, 1998, Javico, C-306/96, Rec. p. I-1983, paragraph 16)."</w:t>
        <w:br/>
        <w:t>It was up to the CNMC to justify that the behaviors attributed to Repsol had an effect on trade between Member States.</w:t>
        <w:br/>
        <w:t>The European Commission adopted a Communication approving Guidelines regarding the concept of effect on trade (DOCE C 101/81 27.4.2004) whose purpose is precisely to guide national authorities and judicial bodies of Member States on the concept of effect on trade and its specific application in certain categories of cases, thus its relevance for interpretative purposes is undeniable. The Communication states in its paragraph 77 "that regarding agreements or practices covering the territory of a single Member State, it may be necessary to conduct a more detailed investigation," and addresses them specifically in its paragraph 3.2.4. In this context, the Commission specifically points out that a relevant factor is the volume of sales of products at the national level that is affected by that agreement. And in paragraph 91 it indicates the following:</w:t>
        <w:br/>
        <w:t>"Local agreements cannot, in themselves, appreciably affect trade between Member States. This is the case even when the local market is located in a border region. Conversely, if the excluded national market share is significant, it is possible that trade may be affected even if the market in question is not located in a border region."</w:t>
        <w:br/>
        <w:t>Therefore, an agreement taking place in a local market cannot have an appreciable effect on intra-community trade. In the aforementioned guidelines, the Commission elaborates a series of rebuttable presumptions of appreciability taking into account the market share and turnover of the companies that are parties to the agreement. However, the Commission expressly states (paragraph 53 of the Communication) that these presumptions do not apply when the agreement only covers a part of a Member State. Therefore, in these cases, there are no presumptions of appreciability, and this criterion must be examined on a case-by-case basis.</w:t>
        <w:br/>
        <w:t>In summary, local agreements cannot, by themselves, have an appreciable effect on intra-community trade. Only when such agreements (whether at the local or regional level) include a significant share of the national market (in terms of volume of affected product) is it possible that such an effect may be appreciated.</w:t>
        <w:br/>
        <w:t>Thus, the sanctioned behaviors refer to the following cases:</w:t>
        <w:br/>
        <w:t>- Alleged price coordination between two service stations in the municipalities of Brea de Aragón and Illueca in the province of Zaragoza, which is claimed to have occurred in July 2013. These are two municipalities with a combined population of about 5,000 inhabitants, located 266 kilometers from the nearest French border, and in their vicinity, there were two more service stations. The service station in Brea de Aragón represents only 0.0078% of the sales of the REPSOL network and therefore a negligible part of the sales volume of these products at the national level.</w:t>
        <w:br/>
        <w:t>- Behaviors related to cross-flagging (which refer to alleged non-aggression pacts and exchanges of strategic information) in the Levante area. Without prejudice to the fact that the CNMC does not define what it understands by the Levante area for these purposes, the truth is that these behaviors refer to only 2 REPSOL service stations, located in the province of Valencia, with revenues of 389,322 euros in 2013 as evidenced in the file.</w:t>
        <w:br/>
        <w:t>It is evident that none of these behaviors, local and insignificant in the overall national market, have or can have, according to the criteria previously exposed, an effect on intra-community trade. The CNMC did not even bother to attempt to prove such an effect. Each of the three infringements is independent of one another, so the effect on intra-community trade must be assessed regarding each of them separately, which makes this qualification even more absurd. Thus, the consideration of any of the infringements as not capable of producing an intra-community effect should automatically determine its annulment.</w:t>
        <w:br/>
        <w:t>The inapplicability of Article 101 TFEU produces extraordinarily relevant legal effects on: (i) the duration of the procedure, as the suspension to inform the Commission would not produce effects as detailed in the previous foundation; (ii) the competence of the CNMC, as these are behaviors with exclusively local effects, as we will address in the next foundation; and (iii) the grading of the sanction.</w:t>
        <w:br/>
        <w:t>3rd The challenged Judgment violates Article 1 of Law 1/2002, of February 21, on the Coordination of the Competences of the State and the Autonomous Communities in matters of Competition Defense, regarding the competence of the CNMC to exercise the powers provided for in the LDC.</w:t>
        <w:br/>
        <w:t>None of the three independent infringements for which REPSOL is sanctioned, individually considered, produced any supra-autonomous effect and therefore, their investigation did not correspond to the CNMC, but to the respective autonomous competition authorities. The incompetence of the CNMC was admitted in the first of the dissenting opinions of the resolution.</w:t>
        <w:br/>
        <w:t>The challenged Judgment dismisses this allegation on the grounds that the CNMC has defined the retail market for automotive fuel distribution as of national dimension -although characterized by a significant local element- and states that "None of these reasons have been contested by the claim, which seems to confuse the location of the anticompetitive behavior with the market in which it takes place." However, the definition of a particular geographical market as local, regional, or national is irrelevant for these purposes. The only relevant aspect, as derived from Article 1 of Law 1/2002, is to assess whether the behavior, even if it occurs in a local scope, can alter free competition in a supra-autonomous scope or in the overall national market. This effects analysis was not carried out either in the resolution or in the challenged Judgment (and this without prejudice to the fact that in our claim we proved its non-existence concerning each of the attributed behaviors).</w:t>
        <w:br/>
        <w:t>In short, according to Article 1 of Law 1/2002, the CNMC lacked competence to sanction any of the alleged infringements. Therefore, the Resolution is null and void ex article 62.1.b) of Law 30/1992 (applicable for temporal reasons), having been issued by an organ manifestly incompetent due to the subject matter or territory.</w:t>
        <w:br/>
        <w:t>4th The challenged Judgment violates the principle of the presumption of innocence enshrined in Article 24.2 of the Constitution regarding the infringements consisting of the agreement for coordination at the Service Stations of Brea de Aragón and Illueca and the non-aggression pact between CEPSA and REPSOL.</w:t>
        <w:br/>
        <w:t>In the preparation document, we identified as an infringement the violation of the principle of the presumption of innocence concerning these two infringements, since the Resolution and the challenged Judgment had established the commission of the same solely based on testimonial evidence of reference that, not only was it not confirmed by any direct evidence but, on the contrary, was refuted by documentary evidence in the file and by the proven facts of the Judgment of December 17, 2020.</w:t>
        <w:br/>
        <w:t>However, the Admission Order does not include this issue among those presenting cassational interest.</w:t>
        <w:br/>
        <w:t>The challenged Judgment establishes that REPSOL committed the infringement consisting of the alleged agreement for coordination at the service stations of Brea de Aragón and Illueca during July 2013, based solely on four emails described in paragraph one of FJ 7. These are, in all cases, emails between CEPSA personnel, one of which reports a supposed conversation with the manager of the service station flagged by REPSOL. Beyond the fact that this email does not prove any restrictive behavior, there is no email to REPSOL nor, of course, any email from REPSOL personnel.</w:t>
        <w:br/>
        <w:t>The same happens with the alleged non-aggression pact between CEPSA and REPSOL. Here the only incriminating evidence consists of the two emails described in paragraph two of FJ 7. These are, again, emails between CEPSA personnel, some of which report supposed statements from REPSOL personnel. Here too, REPSOL was neither the recipient nor the author of the emails.</w:t>
        <w:br/>
        <w:t>And not only is there no document from REPSOL supporting the alleged infringing behaviors, but, furthermore, there is direct evidence that demonstrates the non-existence of the agreement sanctioning the first infringement, which the challenged Judgment has omitted. Let us recall at this point that according to Article 93.3 LJCA, the Supreme Court may integrate the proven facts omitted that are sufficiently justified according to the proceedings and whose consideration is necessary to appreciate the alleged infringement.</w:t>
        <w:br/>
        <w:t>Ultimately, it is a matter of an irrational and illogical assessment of the evidence, which allows this Honorable Chamber to review it and remedy this clear violation of this party's constitutional right to the presumption of innocence.</w:t>
        <w:br/>
        <w:t>5th The challenged Judgment violates Article 1 LDC and the principle of legality and culpability regarding the infringement consisting of the exchange of strategic information in cross-flagging.</w:t>
        <w:br/>
        <w:t>As was the case in the previous section, this infringement was identified in the preparation document, but it is not included in the Admission Order as an issue that presents cassational interest.</w:t>
        <w:br/>
        <w:t>It is an undisputed matter that these communications occurred within the framework of the cross-flagging between both companies, which the CNMC itself considers lawful, and which are merely pro-competitive situations of a necessarily transitory nature in which an operator acquires from a third party and proceeds to manage a sales point flagged by another operator and which will be flagged by it upon the expiration of the current supply and flagging relationship with the third party from whom it acquires the facility.</w:t>
        <w:br/>
        <w:t>The resolution also acknowledges that the emails it considers exchanges of information are justified precisely by the contractual obligations assumed in the context of the contracts in force. That is to say, what is punishable is not the exchanges of information nor the contractual context in which these occurred, but the breach of the duty of confidentiality regarding this information within one of the operators, CEPSA.</w:t>
        <w:br/>
        <w:t>The challenged Judgment does not reproach the existence of these cross-flagging arrangements but the exchange of strategic information between both companies, specifically the failure to adopt measures that ensured that the information lawfully received from this party did not extend within the scope of the company itself (CEPSA), due to the risk that such information could produce anticompetitive effects.</w:t>
        <w:br/>
        <w:t>Here, the conduct of a single company (CEPSA) is sanctioned. One might ask to what extent REPSOL can influence this organizational issue of CEPSA and how an internal practice of a single company can constitute a "collective agreement, decision or recommendation, or concerted or consciously parallel practice," which are the behaviors prohibited by Article 1 LDC. That is to say, a conduct has been sanctioned that, by its very nature, cannot fit into the infringing type, which constitutes a radical violation of the principle of legality enshrined in Article 25 of the Constitution. And as the Court of Justice stated in its judgment of January 6, 2004 (C-2/2001P and C-3/2001P), for the application of Article 101 TFEU to proceed, there must be bilateral conduct.</w:t>
        <w:br/>
        <w:t>There is no reference (nor evidence) that CAMPSARED (a subsidiary of REPSOL dedicated to the management of service stations) received information from CEPSA and communicated it internally within REPSOL. From the challenged Judgment, it only results that the information that REPSOL lawfully sent for the management of a service station belonging to its network was transmitted internally within CEPSA. It is difficult to understand what responsibility can be attributed to REPSOL -which acted in the legitimate exercise of a right- for a matter solely attributable to CEPSA and how this qualification can be compatible with the principle of culpability.</w:t>
        <w:br/>
        <w:t>FOURTH. The State Attorney opposes the cassation appeal.</w:t>
        <w:br/>
        <w:t>He states that on December 18, 2014, the Competition Chamber of the CNMC agreed to send information to the European Commission, as provided by Article 11.4 of Regulation (EC) 1/2003, and on the same date, it was agreed to suspend the procedure as of December 19, 2014.</w:t>
        <w:br/>
        <w:t>Repsol insists on the local nature of the infringements attributed to it, the limited spatial scope of the behaviors, and their almost negligible impact on the affected market. The reality is that what is attributed to the appellant exceeds that limited scope and although the market is characterized by a significant local element (to the extent that retail demand is located near its center of activity and the substitutability between stations is geographically limited), the numerous relevant parameters of supply, such as the range of products offered, the quality of the products, the level of service (opening hours, etc.), indirect taxes, etc., are decided from a national perspective and, moreover, there is a clear overlap between the local areas of influence of the service stations, which not only determines competitive interactions between neighboring stations but also causes a chaining with areas of influence of more distant gas stations. Additionally, the main operators act at the national level following a national commercial strategy.</w:t>
        <w:br/>
        <w:t>And addressing the different infringement motives:</w:t>
        <w:br/>
        <w:t>A) Regarding the expiration of the sanctioning procedure.</w:t>
      </w:r>
    </w:p>
    <w:p>
      <w:r>
        <w:rPr>
          <w:b/>
        </w:rPr>
        <w:t>[Pages 7–9]</w:t>
      </w:r>
    </w:p>
    <w:p>
      <w:r>
        <w:t>JURISPRUDENCE</w:t>
        <w:br/>
        <w:t>Since the directly applicable community regulations say nothing about it, we must turn to national regulations.</w:t>
        <w:br/>
        <w:t>For the purposes of calculating the dies a quo, the date of the Agreement to suspend the procedure is detached from its notification to the interested parties, according to Article 12.f) of RD 261/2008, of February 22. Therefore, excluding the date of notification to the interested parties, the doubt arises between the date on which the suspension agreement is adopted and the date on which this Agreement is notified to the Commission, and according to Article 12.f) of RD 261/2008, we must refer to the date of the suspension agreement.</w:t>
        <w:br/>
        <w:t>The State Attorney states that the documentation in the case file also shows that on the same day, December 18, the Competition Chamber of the CNMC also agreed to suspend the deadline for resolving and notifying the procedure in accordance with the provisions of Article 37.2.c). Thus, by virtue of the provisions of Article 12.f) of the Royal Decree, the deadline was suspended on December 18, 2014, although with effect from December 19, so it was suspended for 30 calendar days (until January 17, 2015, because on January 18 the lifting of the suspension took effect). Therefore, adding the 30 days to January 29, 2015 (the date on which the initial deadline expired), the new deadline expired on February 28, 2015, so that the resolution was issued on February 20 and notified on February 25, the resolution was issued and notified within the deadline.</w:t>
        <w:br/>
        <w:t>B) Qualification of the infringement.</w:t>
        <w:br/>
        <w:t>The plaintiff considers that Article 101 of the TFEU is not applicable as it has a local scope that has not affected the Community market, but for these purposes, it should not be forgotten that, as reflected in the explanatory memorandum of Regulation (EC) No. 1/2003 of the Council, of December 16, 2002, regarding the application of the competition rules provided for in Articles 81 and 82 of the Treaty, there is no problem in reconciling national and community regulations.</w:t>
        <w:br/>
        <w:t>C) Competent authority.</w:t>
        <w:br/>
        <w:t>Regarding the competent authority, there should be no doubt about the competence of the National Commission of Markets and Competition:</w:t>
        <w:br/>
        <w:t>- The CNMC has intervened due to an infringement of Article 101 of the TFEU and by virtue of Article 1.5 d) of Law 1/2002, of February 21, on the Coordination of the Competences of the State and the Autonomous Communities in the field of Competition Defense, the competence corresponds in any case to the CNMC, since according to the same "It shall correspond in any case to the State: [...] d) The application in Spain of Articles 81 and 82 of the Treaty of the European Community and its derived law, in accordance with the provisions in this regard in Article 25 c) of Law 16/1989, of July 17, on Competition Defense."</w:t>
        <w:br/>
        <w:t>- The sanctioned behaviors have an unquestionable supra-autonomous effect since, aside from the agreements "for coordination in the Service Stations of Brea de Aragón and Illueca in July 2013 between CEPSA and REPSOL, they encompass non-aggression pacts between CEPSA and REPSOL in July-August 2011 regarding each of their interference actions in the stations flagged by the other and exchanges of strategic information between CEPSA and REPSOL during 2011, 2012, and 2013 regarding those service stations managed by one of them and exclusively flagged and supplied by the other operator."</w:t>
        <w:br/>
        <w:t>However, as the sanctioning resolution points out, although the geographical market has a significant local element, there are relevant supply parameters that are decided from a national perspective.</w:t>
        <w:br/>
        <w:t>FIFTH. The proceedings were pending scheduling for voting and ruling, agreeing to hold a public hearing, which took place on June 21, 2022, and whose content was documented in the corresponding minutes and in the digital support (CD) attached to the proceedings, proceeding in the Chamber to deliberation and voting.</w:t>
        <w:br/>
        <w:t>LEGAL GROUNDS</w:t>
        <w:br/>
        <w:t>FIRST. The present cassation appeal challenges the judgment of the Sixth Section of the Administrative Litigation Chamber of the National Court of November 12, 2020 (rec. 222/2015) by which the appeal filed by REPSOL against the resolution of the Council of the National Competition Commission of February 19, 2015 (file S/474/13 "automotive fuel prices") was partially upheld, imposing a fine of €20,000,000 on said company.</w:t>
        <w:br/>
        <w:t>The administrative resolution imposed a fine of €20,000,000 for the commission of three infringements of Article 1 of the LDC and Article 101 of the TFEU:</w:t>
        <w:br/>
        <w:t>(i) Agreement for coordination in the Service Stations of Brea de Aragón and Illueca in July 2013 between CEPSA and REPSOL.</w:t>
        <w:br/>
        <w:t>(ii) Non-aggression pact between CEPSA and REPSOL in July-August 2011 regarding each of their interference actions in the stations flagged by the other.</w:t>
        <w:br/>
        <w:t>(iii) Exchanges of strategic information between CEPSA and REPSOL during 2011, 2012, and 2013 regarding those service stations managed by one of them and exclusively flagged and supplied by the other operator.</w:t>
        <w:br/>
        <w:t>SECOND. The present controversy focuses, as stated in the Admission Order, on determining whether, for the purposes of establishing the possible expiration of the sanctioning procedure, the calculation of suspension in cases of suspension due to the referral of information to the European Commission begins from the date of the suspension agreement or from the date of the referral of the information to the European Commission.</w:t>
        <w:br/>
        <w:t>Other issues are also raised regarding clarifying whether, in light of the provisions of Article 101 TFEU, the notion of affecting the internal market when the behaviors considered as infringements have a marked local character, and the impact this may have on determining the competent regulatory authority for processing the procedure.</w:t>
        <w:br/>
        <w:t>We will preferentially analyze the interpretation of Articles 37.2.c) LDC and Article 12.1.f) of Royal Decree 261/2008, of February 22, which approves the Competition Defense Regulation ("RDC") and whether, according to it, the expiration of the sanctioning procedure has occurred, as this would render the analysis of the remaining grounds meaningless.</w:t>
        <w:br/>
        <w:t>THIRD. Suspension of the procedure when informing the Commission under Article 11.4 of Council Regulation (EC) No. 1/2003, of December 16, 2002. Dies a quo for calculating the suspension period.</w:t>
        <w:br/>
        <w:t>Article 36.1 of Law 15/2007, of July 3, on Competition Defense provides that "The maximum period for issuing and notifying the resolution that ends the sanctioning procedure for restrictive competition behaviors shall be eighteen months from the date of the initiation agreement, and its distribution between the phases of instruction and resolution shall be established by regulation."</w:t>
        <w:br/>
        <w:t>For its part, Article 37 of said regulation governs the cases of extension of deadlines and suspension of their calculation, stating in its second section:</w:t>
        <w:br/>
        <w:t>"[...] the maximum period for resolving procedures shall be suspended:</w:t>
        <w:br/>
        <w:t>[...] c) When the European Commission is informed within the framework provided for in Article 11.4 of Council Regulation (EC) No. 1/2003, of December 16, 2002, regarding the application of the competition rules provided for in Articles 81 and 82 of the Treaty concerning a proposed resolution applying Articles 81 and 82 of the Treaty of the European Community."</w:t>
        <w:br/>
        <w:t>In the opinion of this Court, Article 37 of the LDC establishes the cases in which it is appropriate to agree to suspend the procedures followed before the CNMC. While differentiating those cases in which the maximum deadlines for issuing a resolution "may be suspended by reasoned resolution," provided for in the first section; from those in which "the suspension shall be agreed," cases in the second section. The regulation, in both cases, merely states the cases in which the suspension of the procedure may or must be agreed.</w:t>
        <w:br/>
        <w:t>Article 11.4 of Regulation 1/2003, which establishes the obligation to inform the Commission in certain procedures for infringements in competition defense, does not provide any indication regarding the suspension of the national procedure deadline, nor does it state that this suspension is automatic in such cases, omitting the regulation regarding the dies a quo for calculating the suspension period, so that any provision regarding the suspension of the deadline and its calculation is governed by national regulations by virtue of the principle of national procedural autonomy.</w:t>
        <w:br/>
        <w:t>Thus, to determine the beginning of the suspension period, we must refer to Article 12 of Royal Decree 261/2008, of February 22, which approves the Competition Defense Regulation, which provides regarding the calculation of the maximum periods of procedures in cases of suspension, the following:</w:t>
        <w:br/>
        <w:t>"1. In the event of suspension of the maximum period, the competent body of the National Competition Commission must adopt an agreement indicating the cause of the suspension, in accordance with the provisions of Article 37 of Law 15/2007, of July 3, understanding that the calculation of the period is suspended:</w:t>
        <w:br/>
        <w:t>a) In the cases provided for in Article 37.1.a) and b) of Law 15/2007, of July 3, for the time that elapses between the notification of the requirement and its effective compliance by the addressee, or, failing that, during the granted period;</w:t>
        <w:br/>
        <w:t>b) in the case provided for in Article 37.1.e) of Law 15/2007, of July 3, for the time necessary to incorporate the results of the tests or complementary actions into the file;</w:t>
        <w:br/>
        <w:t>c) in the case provided for in Article 37.1.g) of Law 15/2007, of July 3, when negotiations are initiated with a view to concluding a conventional termination agreement, from the agreement to initiate the proceedings until the conclusion, if applicable, of the aforementioned negotiations;</w:t>
        <w:br/>
        <w:t>d) in the case provided for in Article 37.2.b) of Law 15/2007, of July 3, for the time that elapses between the notification of the requirement and its effective compliance by the addressee, without prejudice to the provisions of sections 4 and 5 of Article 55 of Law 15/2007, of July 3;</w:t>
        <w:br/>
        <w:t>e) in the case of Article 37.2.d) of Law 15/2007, of July 3, for the time that elapses between the request for a report, which must be notified to the interested parties, and the receipt of the report, which must also be communicated to them;</w:t>
        <w:br/>
        <w:t>f) in the other cases of Article 37 of Law 15/2007, the calculation of the period shall be understood to be suspended from the date of the suspension agreement, which must be notified to the interested parties."</w:t>
        <w:br/>
        <w:t>From the reading of these provisions, it follows that, in cases where the maximum period for resolving the procedure is suspended, the CNMC must adopt a suspension agreement indicating the reason for its adoption. Likewise, the aforementioned provision establishes provisions regarding the beginning of the calculation of the suspension period that, in the case at hand, are specified in the provisions of section f) of that provision: "the calculation of the period shall be understood to be suspended from the date of the suspension agreement, which must be notified to the interested parties." Ultimately, it reinforces the idea that an express suspension agreement is necessary, the calculation of which begins from the date of its adoption.</w:t>
        <w:br/>
        <w:t>In the case at hand, the court of first instance, regarding the invoked expiration of the procedure, states that it does not perceive the expiration following the criteria established by the Supreme Court judgment of July 26, 2016 (rec. 3811/2015) and subsequent pronouncements.</w:t>
        <w:br/>
        <w:t>This argument cannot be accepted. In the cited judgment, the contentious issue was reduced to determining the legal criteria for calculating and determining the final deadline or term ("dies ad quem") of the sanctioning procedure when one or more suspensions of the procedure have occurred, debating whether the final day of the deadline should be determined by adding or summing the suspension time from the day initially indicated as the end date or from the date on which the lifting of the suspension agreement was adopted. A question that is completely unrelated to the case now presented.</w:t>
        <w:br/>
        <w:t>On the other hand, the State Attorney in cassation, while agreeing that the period is calculated from the suspension agreement, and not from the date it is notified to the Commission, considers that said agreement was adopted on December 18, 2014, with effects from the following day (December 19, 2014).</w:t>
        <w:br/>
        <w:t>The truth is that the procedure was initiated on July 29, 2013, and the Competition Chamber of the CNMC agreed on December 18, 2014, to refer information to the European Commission without it being recorded that on that date any suspension agreement of the sanctioning procedure was adopted. It was on December 23, 2014, that an Agreement was adopted agreeing to suspend the maximum period for resolving the file until the European Commission responds to the information sent or the term referred to in Article 11.4 of Regulation (EC) No. 1/2003 elapses. This resolution was notified to the interested parties.</w:t>
        <w:br/>
        <w:t>In short, the suspension agreement was adopted on December 23, 2014, without it being possible to grant it retroactive effects (Article 57.3 Law 30/1992 and Article 39.1 and 3 Law 39/2015), so that when the suspension was lifted again with effects from January 18, 2015, 26 calendar days had elapsed.</w:t>
        <w:br/>
        <w:t>This suspension time must be added to the dies a quo initially set to conclude the procedure (January 29, 2015), which meant that the maximum date for concluding the procedure became February 24, 2015. Thus, although the sanctioning resolution was issued on February 20, 2015, it was notified to the parties on February 25, 2015 (this last date must be taken into account for the purposes of calculating the expiration period as provided in Article 21.2 of Law 39/2015), so it is appropriate to declare the expiration of the procedure (Article 38.1 of the LDC).</w:t>
        <w:br/>
        <w:t>Having established the expiration, any other pronouncement on the other issues raised in the Admission Order is unnecessary.</w:t>
      </w:r>
    </w:p>
    <w:p>
      <w:r>
        <w:rPr>
          <w:b/>
        </w:rPr>
        <w:t>[Pages 10–10]</w:t>
      </w:r>
    </w:p>
    <w:p>
      <w:r>
        <w:t>JURISPRUDENCE</w:t>
        <w:br/>
        <w:t>Consequently, it is appropriate to uphold the cassation appeal, annul the challenged judgment, and uphold the administrative litigation appeal annulling the resolution issued by the Council of the National Competition Commission on February 19, 2015 (file S/474/13 "automotive fuel prices") by which a fine of €20,000,000 was imposed on said company.</w:t>
        <w:br/>
        <w:t>FOURTH. In response to the issues that presented cassational interest, it must be stated that, in cases of suspension of the sanctioning procedure due to the referral of information to the European Commission, under the provisions of Article 11.4 of Regulation 1/2003, the computation of the term begins from the date of the suspension agreement and concludes when the suspension is lifted.</w:t>
        <w:br/>
        <w:t>The elapsed time is added to the initially set term for the purposes of establishing the maximum period to resolve the procedure and avoid expiration.</w:t>
        <w:br/>
        <w:t>FIFTH. Costs.</w:t>
        <w:br/>
        <w:t>In accordance with the provisions of Article 93.4 of the LJ, each party shall bear the costs incurred at their request and the common costs shall be shared equally, without any reasons of recklessness or bad faith being appreciated in the present litigation that justify the imposition of costs on any of the intervening parties.</w:t>
        <w:br/>
        <w:t>It is appropriate to uphold the administrative litigation appeal in the instance and consequently impose the costs of the instance on the defendant Administration, as there are no serious doubts of fact or law that justify their non-imposition, pursuant to the provisions of Article 139 of the LJ, although limiting the amount to €3,000.</w:t>
        <w:br/>
        <w:t>R U L I N G</w:t>
        <w:br/>
        <w:t>For all the above reasons, in the name of the King and by the authority conferred by the Constitution, this Chamber has decided in accordance with the interpretation of the rules established in legal grounds three and four:</w:t>
        <w:br/>
        <w:t>1st To uphold the cassation appeal filed by REPSOL, S.A. against the judgment of the Sixth Section of the Administrative Litigation Chamber of the National Court of November 12, 2020 (rec. 222/2015) which is hereby cassated and annulled.</w:t>
        <w:br/>
        <w:t>2nd To uphold the administrative litigation appeal filed by REPSOL, S.A. against the resolution of the Council of the National Competition Commission of February 19, 2015 (file S/474/13 "automotive fuel prices") by which a fine of €20,000,000 was imposed on said company, which is hereby annulled.</w:t>
        <w:br/>
        <w:t>3rd It is not appropriate to impose the costs of cassation on any of the parties. It is appropriate to impose the costs of the instance on the defendant Administration with the limit set in the last legal ground of this judgment.</w:t>
        <w:br/>
        <w:t>Notify this resolution to the parties and insert it into the legislative collection.</w:t>
        <w:br/>
        <w:t>Thus it is agreed and signed.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