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https://www.cnmc.es/expedientes/s047713</w:t>
      </w:r>
    </w:p>
    <w:p>
      <w:r>
        <w:t>Pages translated : 36</w:t>
      </w:r>
    </w:p>
    <w:p/>
    <w:p>
      <w:r>
        <w:rPr>
          <w:b/>
        </w:rPr>
        <w:t>[Pages 1–3]</w:t>
      </w:r>
    </w:p>
    <w:p>
      <w:r>
        <w:t xml:space="preserve">RESOLUTION  </w:t>
        <w:br/>
        <w:t xml:space="preserve">(Exp. S/0477/13 OFFICIAL COLLEGE OF INDUSTRIAL PROPERTY AGENTS - COAPI)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In Madrid, on December 11, 2014</w:t>
      </w:r>
    </w:p>
    <w:p>
      <w:r>
        <w:t>The Competition Chamber of the National Commission of Markets and Competition (CNMC) has issued this Resolution in file S/0477/13 COAPI, initiated by the now-defunct Directorate of Investigation (DI) of the National Competition Commission (CNC), against the OFFICIAL COLLEGE OF INDUSTRIAL PROPERTY AGENTS (COAPI), for alleged restrictive competition practices typified in Article 1.1 of Law 15/2007, of July 3, on the Defense of Competition (hereinafter LDC).</w:t>
      </w:r>
    </w:p>
    <w:p>
      <w:r>
        <w:t xml:space="preserve">FACTUAL BACKGROUND  </w:t>
        <w:br/>
        <w:t xml:space="preserve">1. On March 11, 2013, a complaint was filed with the CNC by Mr. [XXX] (pages 2 to 33), an Industrial Property Agent, against COAPI, for possible restrictive competition behaviors prohibited by the LDC, consisting of establishing mandatory membership for the exercise of the profession of Industrial Property Agent (API), charging variable ordinary fees based on the professional work of the members, and requiring the acquisition and payment of 100 college stamps for access to the list of judicial experts of the professional college.  </w:t>
        <w:br/>
        <w:t xml:space="preserve">2. On April 19, 2013, the now-defunct DI, in order to determine the existence of indications of infringement that justified the initiation of a sanctioning file, in accordance with the provisions of Article 49.2 of the LDC, agreed to carry out a reserved information gathering (under reference DP/11/2013), within which it made an information request to COAPI on the same date (pages 34 to 40), to which a response was received by the CNC on May 3, 2013 (pages 125 to 182). However, on April 22, 2013, COAPI sent a letter to the CNC that it had prepared since it was provided with a copy of the individual's complaint (pages 41 to 118).  </w:t>
        <w:br/>
        <w:t xml:space="preserve">3. On May 30, 2013, the DI agreed to initiate an investigation to be carried out under reference S/0477/13 and to incorporate the documentation from the preliminary proceedings (DP/11/2013) into it. Additionally, on June 14 and 18, 2013, certain documentation was incorporated ex officio by the Instructor of the file into this investigation (pages 191 to 200 and pages 202 to 213, respectively).  </w:t>
        <w:br/>
        <w:t xml:space="preserve">4. On June 19, 2013, the then DI, considering the existence of rational indications of conduct prohibited by the LDC, agreed, in accordance with Article 49.1 of the LDC, to initiate sanctioning file S/0477/13 for restrictive competition practices prohibited in Article 1 of the LDC, consisting of (i) the adoption of criteria for access to the lists of judicial experts based on seniority and actions before the Spanish Patent and Trademark Office (OEPM), (ii) the adoption of scales or indicative norms to determine the collection of fees, and (iii) the collection of variable ordinary fees based on the professional activity that each API carries out before the OEPM, which could restrict competition among APIs (pages 214 to 215).  </w:t>
        <w:br/>
        <w:t xml:space="preserve">5. On June 28, 2013, the DI sent an information request to COAPI (pages 232 to 235) in which it requested information on (i) data on the indicative scales established by COAPI from 2009 to that date, (ii) the indicative norms for determining the fees accrued by the professional intervention of APIs, (iii) the origin of the variable ordinary fees, services provided by COAPI to the members covered by these fees, and the reason why COAPI refers to the Official Bulletin of Industrial Property (BOPI) to know the professional activity of its members, and (iv) the possible differences between the expert lists requested by judges or individuals and whether specific lists of experts were prepared. On July 16, 2013, after the extension of the deadline granted by the DI on July 9, 2013 (pages 239 to 240), COAPI submitted its response to the information request (pages 242 to 286).  </w:t>
        <w:br/>
        <w:t xml:space="preserve">6. On October 9, 2013, a letter from the President of COAPI proposing the conventional termination of the procedure (pages 298 to 356) was received by the Directorate of Competition (DC) of the CNMC, which was denied by the DC on October 21, 2013 (pages 363 to 365) considering that, from a substantive perspective, the investigated behaviors had had irreversible effects on competition for a significant period of time and that, furthermore, the non-continuation of the sanctioning procedure posed a risk to the effectiveness and deterrent nature of competition regulations, given that COAPI had already been warned by the now-defunct DI that it should adapt to the current regulations and promote effective competition in its various areas of action.  </w:t>
        <w:br/>
        <w:t xml:space="preserve">7. On November 8, 2013, several information requests were sent by the DC. Specifically, the OEPM was requested information related to the management of industrial property applications through the electronic headquarters of its website and about any possible agreements they had signed with COAPI (pages 381 to 382). Mr. [XXX] was requested additional information on some points of his complaint against COAPI, particularly regarding the management procedure of applications before the OEPM (pages 398 to 398) and, finally, COAPI was required to clarify the reasons why the variable ordinary fee was linked to the number of actions of the members before the OEPM, as well as to specify which college services it provided linked to the collection of the variable ordinary fee, what agreements it had signed with the OEPM related to the electronic headquarters that this Office launched in 2009, and finally, in what situations it acted as a necessary channel or intermediary before the OEPM (pages 388 to 390). The responses to these requests took place on November 19, 20, and 21, 2013, respectively (pages 402 to 404, pages 405 to 412, and pages 413 to 429).  </w:t>
        <w:br/>
        <w:t xml:space="preserve">8. On January 21, 2014, the DC, in accordance with the provisions of Article 50.3 of the LDC, formulated a Statement of Specific Facts (hereinafter PCH) (pages 493 to 520) which was notified to both parties the following day. On February 5, 2014, a letter of allegations to the PCH from Mr. [XXX] was received by the CNMC (page 590) and, on February 7, 2014, that of COAPI (pages 592 to 782).  </w:t>
        <w:br/>
        <w:t xml:space="preserve">9. On February 20, 2014, the DC requested information from the OEPM regarding the practical management of notifications and communications to APIs of the administrative acts that occur during the processing of each file (pages 783 to 784). The response letter from the OEPM was registered with the CNMC on March 11, 2014 (pages 790 and 791).  </w:t>
        <w:br/>
        <w:t xml:space="preserve">10. In accordance with the provisions of Article 33.1 of the Competition Defense Regulation approved by Royal Decree 261/2008, of February 22 (RDC), on March 18, 2014, the DC agreed to close the instruction phase (page 792), and on May 27, 2014, in accordance with the provisions of Article 50.4 of the LDC, issued a Proposal for Resolution (PR) (pages 803 to 847).  </w:t>
        <w:br/>
        <w:t>11. On May 30, 2014, a letter of allegations to the Proposal for Resolution from Mr. [XXX] was received by the CNMC (page 949) and on June 13, 2014, that of COAPI (pages 950 to 1018).</w:t>
      </w:r>
    </w:p>
    <w:p>
      <w:r>
        <w:rPr>
          <w:b/>
        </w:rPr>
        <w:t>[Pages 4–6]</w:t>
      </w:r>
    </w:p>
    <w:p>
      <w:r>
        <w:t>la Ley 2/1974, de 13 de febrero, de Colegios Profesionales. Esta reforma ha</w:t>
        <w:br/>
        <w:t>introducido cambios significativos en la regulación de los Colegios Profesionales,</w:t>
        <w:br/>
        <w:t>incluyendo la eliminación de ciertas restricciones a la libre competencia y la</w:t>
        <w:br/>
        <w:t>promoción de la transparencia en la gestión de los mismos.</w:t>
      </w:r>
    </w:p>
    <w:p>
      <w:r>
        <w:t>III. ANÁLISIS JURÍDICO</w:t>
        <w:br/>
        <w:t>1. La conducta imputada al COAPI</w:t>
        <w:br/>
        <w:t>La conducta que se imputa al COAPI en el presente expediente se refiere a la</w:t>
        <w:br/>
        <w:t>adopción de criterios restrictivos para el acceso a las listas de peritos judiciales,</w:t>
        <w:br/>
        <w:t>así como a la recomendación de baremos orientativos para la fijación de honorarios,</w:t>
        <w:br/>
        <w:t>lo que podría constituir una infracción de la normativa de competencia.</w:t>
        <w:br/>
        <w:t>2. La defensa del COAPI</w:t>
        <w:br/>
        <w:t>El COAPI, en su escrito de alegaciones, argumenta que las prácticas</w:t>
        <w:br/>
        <w:t>denunciadas no constituyen una infracción de la normativa de competencia, ya que</w:t>
        <w:br/>
        <w:t>se basan en criterios objetivos y no discriminatorios, y que su finalidad es</w:t>
        <w:br/>
        <w:t>proteger la calidad de los servicios prestados por los API.</w:t>
        <w:br/>
        <w:t>3. Valoración de la prueba</w:t>
        <w:br/>
        <w:t>La valoración de la prueba presentada por el COAPI y la DC es fundamental para</w:t>
        <w:br/>
        <w:t>determinar si efectivamente se ha producido una infracción de la normativa de</w:t>
        <w:br/>
        <w:t>competencia. En este sentido, es necesario analizar si los criterios adoptados por</w:t>
        <w:br/>
        <w:t>el COAPI para el acceso a las listas de peritos judiciales y la recomendación de</w:t>
        <w:br/>
        <w:t>baremos orientativos han tenido un efecto restrictivo sobre la competencia en el</w:t>
        <w:br/>
        <w:t>mercado de servicios de propiedad industrial.</w:t>
      </w:r>
    </w:p>
    <w:p>
      <w:r>
        <w:t>IV. CONCLUSIONES</w:t>
        <w:br/>
        <w:t>A la luz de lo expuesto, se concluye que la conducta del COAPI debe ser</w:t>
        <w:br/>
        <w:t>analizada en el contexto de la normativa de competencia vigente, teniendo en</w:t>
        <w:br/>
        <w:t>cuenta tanto los argumentos presentados por el COAPI como la prueba</w:t>
        <w:br/>
        <w:t>documental admitida. La resolución final deberá determinar si se ha producido</w:t>
        <w:br/>
        <w:t>una infracción y, en su caso, las sanciones correspondientes.</w:t>
      </w:r>
    </w:p>
    <w:p>
      <w:r>
        <w:rPr>
          <w:b/>
        </w:rPr>
        <w:t>[Pages 7–9]</w:t>
      </w:r>
    </w:p>
    <w:p>
      <w:r>
        <w:t>regulatory framework, it had decided to suspend the application of the provisions of the Statutes and the Internal Regulations that were contrary to the LCP and the LDC, and that it would proceed to update them in accordance with the current legal framework.</w:t>
      </w:r>
    </w:p>
    <w:p>
      <w:r>
        <w:t>On August 1, 2013, the COAPI published a new version of its Statutes and Internal Regulations, which included the necessary modifications to comply with the LCP and the LDC. This new version was sent to all members, and the COAPI emphasized that it had taken the necessary steps to ensure compliance with the legal requirements.</w:t>
      </w:r>
    </w:p>
    <w:p>
      <w:r>
        <w:t>The COAPI also highlighted that it had organized training sessions for its members to inform them about the changes in the legal framework and the implications for their professional practice. These sessions aimed to promote understanding of the new regulations and to ensure that all members were aware of their rights and obligations under the updated Statutes and Internal Regulations.</w:t>
      </w:r>
    </w:p>
    <w:p>
      <w:r>
        <w:t>In conclusion, the COAPI has made significant efforts to adapt its internal regulations to the current legal framework, ensuring compliance with the LCP and the LDC, and promoting transparency and effective competition within the profession.</w:t>
      </w:r>
    </w:p>
    <w:p>
      <w:r>
        <w:rPr>
          <w:b/>
        </w:rPr>
        <w:t>[Pages 10–12]</w:t>
      </w:r>
    </w:p>
    <w:p>
      <w:r>
        <w:t>regulations of the College that may have been repealed or affected by the revision of the LCP, it proceeded to publish the revised texts of the Statutes and Internal Regulations.</w:t>
      </w:r>
    </w:p>
    <w:p>
      <w:r>
        <w:t>Specifically, regarding the fees, lists of experts, and indicative scales, it can be stated that:</w:t>
        <w:br/>
        <w:t>The fees of the COAPI are of three types: entry fees, ordinary fees (which are further divided into fixed annual fees and variable fees based on the professional activity carried out by the members before the OEPM, where those who perform a greater professional activity pay more), and extraordinary fees. The implementation of the variable ordinary fee of 1 euro per application has been a payment obligation imposed since January 25, 2001, on APIs for charging for each procedure they carry out before the OEPM. On January 28, 2009, following a decrease in the collection of these variable fees, it was mandated that the General Assembly of COAPI obtain from the OEPM the publication of the agent related to the entry published by the Office, and that a software program be contracted to detect, in the publications of the BOPI (Official Bulletin of Industrial Property), the agent responsible for each action, and to prepare and issue direct debit receipts to each agent. Additionally, a protocol was signed between COAPI and the OEPM for resolutions of general incidents whereby interruptions in the telematic service could be reported.</w:t>
      </w:r>
    </w:p>
    <w:p>
      <w:r>
        <w:t>In the draft of the new Statutes, modifications regarding the fees are established, although the existence of variable fees within the ordinary fees is still contemplated, which are established based on the professional activity that the members carry out before the OEPM, presumably for a more equitable distribution of the burden that the payment of these fees represents for each member.</w:t>
      </w:r>
    </w:p>
    <w:p>
      <w:r>
        <w:t>As for the general criteria for access to the list of experts (five years of experience in the profession, being up to date with the payment of all fees, and a minimum number of 100 interventions before the OEPM), they were adopted in 2001 according to circular no. 14 dated June 28, 2001, and have been in effect until circular no. 15 of July 25, 2013, admitting that COAPI prepared a single list of registered APIs who could act as experts in judicial proceedings or before individuals, without making distinctions between the two or applying particular criteria based on geographical availability or specialty for its preparation. At a later date (October 9, 2013), a new list was provided in which it was specified that it remained open to new incorporations and that it was only sent to the judicial bodies at the request of the parties. In the aforementioned circular no. 15, it was informed that the list of judicial experts would only be applicable and used for judicial designation, and that when Public Administrations, companies, or any other natural or legal person requested experts of any kind, the general list of members would be sent.</w:t>
      </w:r>
    </w:p>
    <w:p>
      <w:r>
        <w:t>Regarding the indicative scales, their existence was clear as established, for example, in Article 40 of the current Statutes of COAPI or in Article 20 of the Internal Regulations. Although it is true that since 2009 COAPI has not developed or approved scales or guidelines for determining the fees earned by APIs, and that the draft of the new Statutes establishes the freedom of APIs to set them in accordance with the regulations on free competition and unfair competition, it was not until the initiation of the sanctioning file that COAPI included in its website the annotation that the conflicting articles were understood to be tacitly repealed. Meanwhile, the DC has been aware (June 2013) that these scales would have continued to apply according to the data retrieved from the Internet and the constant inquiries that COAPI received by email and by phone.</w:t>
      </w:r>
    </w:p>
    <w:p>
      <w:r>
        <w:t>Finally, regarding the [confidential] file initiated by COAPI [confidential] dated February 27, 2013 [confidential], on September 17, 2013, the Board of Directors of COAPI communicated the suspension of the same until the conclusion of the proceedings opened by the defunct CNC and as a result of them.</w:t>
      </w:r>
    </w:p>
    <w:p>
      <w:r>
        <w:t>LEGAL GROUNDS</w:t>
        <w:br/>
        <w:t>FIRST.- Competency empowerment and applicable regulations.</w:t>
        <w:br/>
        <w:t>In accordance with the provisions of the first additional provision of Law 3/2013, of June 4, creating the National Commission of Markets and Competition (hereinafter, Law 3/2013), by Order ECC/1796/2013, of October 4, October 7, 2013, was determined as the date for the operation of the CNMC.</w:t>
      </w:r>
    </w:p>
    <w:p>
      <w:r>
        <w:t>According to the second additional provision of the same Law, "the references that the current legislation contains to the National Commission of Competition [...] shall be understood as made to the National Commission of Markets and Competition [...]" and "the references that Law 15/2007, of July 3, contains to the Investigation Directorate of the National Commission of Competition shall be understood as made to the Competition Directorate of the National Commission of Markets and Competition."</w:t>
      </w:r>
    </w:p>
    <w:p>
      <w:r>
        <w:t>On the other hand, according to Article 5.1.c) of Law 3/2013,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procedure corresponds to the Competition Chamber of the Council of the CNMC.</w:t>
      </w:r>
    </w:p>
    <w:p>
      <w:r>
        <w:t>Regarding the applicable regulations, this file concerns practices carried out during the validity of Law 16/1989 and the LDC, and both laws prohibit any agreement, decision, or collective recommendation, or concerted or consciously parallel practice, that has the object, produces, or may produce the effect of preventing, restricting, or distorting competition in all or part of the national market.</w:t>
      </w:r>
    </w:p>
    <w:p>
      <w:r>
        <w:t>Thus, as has been pointed out on previous occasions, it would be indifferent to apply one or the other legal provision, opting for one of the two laws, although, in accordance with the provisions of Article 128 of Law 30/1992, of November 26, on the Legal Regime of Public Administrations and Common Administrative Procedure, it must be the one that is more beneficial for the infringer in the specific case, in accordance with the principles of non-retroactivity of the more unfavorable sanctioning norm and retroactivity of the more favorable one.</w:t>
      </w:r>
    </w:p>
    <w:p>
      <w:r>
        <w:t>In this regard, Law 15/2007 is, in general terms, the applicable norm to the present sanctioning procedure, without prejudice to the application to COAPI of Law 16/1989 solely for the calculation of the fine, as detailed in the Sixth Legal Ground, and this is due to the fact that to the extent that the College is an economic operator without turnover, Law 16/1989 is more favorable for the purposes of determining the amount of the fine.</w:t>
      </w:r>
    </w:p>
    <w:p>
      <w:r>
        <w:t>SECOND.- Object of the Resolution and proposal of the instructing body.</w:t>
        <w:br/>
        <w:t>Based on the instruction carried out by the DC as reflected in the Report and Proposal for Resolution, and the allegations made by the interested parties, the Competition Chamber of the Council of the CNMC must pronounce in this resolution on whether COAPI has committed and is responsible for an infringement of Article 1 of the LDC, as indicated by the DC.</w:t>
      </w:r>
    </w:p>
    <w:p>
      <w:r>
        <w:t>The allegedly restrictive practices of competition prohibited by Article 1 of the LDC for which the individual, Mr. [XXX], reported COAPI, consisted of (i) establishing mandatory membership for the exercise of the profession of Industrial Property Agent, (ii) the collection of variable ordinary fees on professional work of the members, and (iii) the requirement to obtain and pay for 100 fixed amount membership stamps,</w:t>
      </w:r>
    </w:p>
    <w:p>
      <w:r>
        <w:rPr>
          <w:b/>
        </w:rPr>
        <w:t>[Pages 13–15]</w:t>
      </w:r>
    </w:p>
    <w:p>
      <w:r>
        <w:t>establish mandatory membership for the practice of the profession of Industrial Property Agent, (ii) the collection of variable ordinary fees based on the professional work of the members, and (iii) the requirement to obtain and pay for 100 fixed-value professional stamps,</w:t>
      </w:r>
    </w:p>
    <w:p>
      <w:r>
        <w:t>corresponding to variable ordinary fees based on the professional work of the members, for access to the list of judicial experts of the professional College. However, regarding the requirement of mandatory membership for APIs, the DC considered that the complaint was unfounded since until a state law was approved determining which professions required mandatory membership, the existing membership obligations were maintained temporarily (Transitional Provision 4 of the Omnibus Law). Thus, since the approval of said state law was still pending, this practice could not be considered as restricting competition.</w:t>
      </w:r>
    </w:p>
    <w:p>
      <w:r>
        <w:t>In contrast, after the investigation of the file, the DC did consider that the behaviors detailed below constituted an infringement classified under Article 1.1 of the LDC. First, the existence of certain criteria for the preparation of the list of experts in judicial proceedings. In this regard, the COAPI established in its circular No. 14 of June 28, 2001, the obligation to prove professional experience for access to the list of experts through the triple concept of a) at least five years of experience in the profession, b) being up to date with the payment of all College fees, and c) the annual payment of 100 requests of any kind before the OEPM. Furthermore, the COAPI confirmed that it prepared a unique list of registered APIs, both for cases of expert actions in judicial proceedings and before private individuals (understood as such to include Public Administrations, companies, or other natural or legal persons, public or private). The DC argued that these criteria, in addition to exceeding what is established in the LEC, represented an unjustified barrier to access to the practice of the profession for new APIs or those with less experience, and a discrimination among competitors with sufficient technical capacity for the free exercise of expert work, thus limiting effective competition among APIs.</w:t>
      </w:r>
    </w:p>
    <w:p>
      <w:r>
        <w:t>Secondly, the conduct consisting of the collection of variable ordinary fees for work before the OEPM, which according to the DC constituted an unjustified charge, because these fees did not correspond to services provided by the COAPI (in this regard, it recalls that the COAPI does not intervene in the management of industrial property applications processed before the OEPM), and that these fees also generated discriminatory treatment among the members since it harmed those who worked more, as they had to pay more.</w:t>
      </w:r>
    </w:p>
    <w:p>
      <w:r>
        <w:t>Finally, the conduct consisting of the recommendation of indicative scales regarding the fees for the services of APIs, in relation to which the DC considered that although the COAPI had not developed indicative scales since the Omnibus Law prohibited them in 2009, it did incur a lack of diligence in informing about the relevant changes in the LCP regarding the prohibition of such scales (it recalls that it maintained on its website for four and a half years texts that were expressly prohibited without indicating said circumstance), which had the capacity to distort competition by affecting the freedom to set prices for APIs.</w:t>
      </w:r>
    </w:p>
    <w:p>
      <w:r>
        <w:t>Specifically, and once the investigation of the file was completed, based on Article 50.4 of the LDC, the DC proposed to the Council the following declaration of infringement:</w:t>
      </w:r>
    </w:p>
    <w:p>
      <w:r>
        <w:t>"First. That the existence of conduct prohibited by Article 1.1 of Law 15/2007 be declared, consisting of the adoption of criteria for access to the lists of judicial experts based on seniority and actions before the OEPM, in the recommendation of indicative scales to determine the collection of fees, and in the collection of variable ordinary fees based on the professional activity that each API carries out before the OEPM.</w:t>
      </w:r>
    </w:p>
    <w:p>
      <w:r>
        <w:t>Second. That the Official College of Industrial Property Agents (COAPI) be declared responsible for said infringement.</w:t>
      </w:r>
    </w:p>
    <w:p>
      <w:r>
        <w:t>Third. That the prohibited conduct be classified, for the purposes of determining the sanction to be imposed, as a very serious infringement under Article 62.4.a) of the LDC."</w:t>
      </w:r>
    </w:p>
    <w:p>
      <w:r>
        <w:t>THIRD.- COAPI's allegations to the PR and proposal for the practice of evidence.</w:t>
      </w:r>
    </w:p>
    <w:p>
      <w:r>
        <w:t>In the allegations to the PR submitted on June 13, 2014, the COAPI basically reiterates what it had already stated in its written allegations to the PCH of February 7, 2014 (except for the one regarding the requirement of mandatory membership since, as the DC pointed out, this requirement remains in force for APIs until the future Professional Services Law is approved), although it uses additional arguments to attempt to refute the DC's assessment. Specifically, the COAPI divides its allegations based on the three behaviors attributed to it and concludes its writing with common allegations to them. It also proposes the practice, before the Council of the CNMC, of certain evidence that we will analyze in this foundation.</w:t>
      </w:r>
    </w:p>
    <w:p>
      <w:r>
        <w:t>3.1. Regarding the criteria used for the preparation of the list of experts in judicial proceedings.</w:t>
      </w:r>
    </w:p>
    <w:p>
      <w:r>
        <w:t>In relation to this fact, the COAPI considers that (i) the list of experts prepared by the COAPI has not had the capacity to significantly restrict competition, so Article 1 of the LDC would not be applicable, by virtue of what is established in Articles 5 of the LDC and 3.1 of the RDC; (ii) subsidiarily, the effects in the market of the criteria used for the preparation of the lists of experts have been practically negligible, and (iii) the inadmissibility of the documentary evidence proposed in its writing of December 13, 2013, and reiterated in its allegations to the PCH of February 7, 2014, causes it defenselessness.</w:t>
      </w:r>
    </w:p>
    <w:p>
      <w:r>
        <w:t>(i) Regarding the first of these arguments, the COAPI considers that, given the heterogeneity of the professional qualifications of APIs, derived from the fact that any university graduate with precise knowledge of Spanish positive law, in accordance with the provisions of Article 22.3 of Royal Decree 1837/2008, can access this profession, it is quite unlikely that an API expert would be appointed in a judicial proceeding, as it is more common to turn to an expert in the subject. This is because if an API were appointed by drawing lots from the list of judicial experts, as provided in Article 341.1 of the LEC, they could have any type of university training and lack the necessary knowledge for the specific case at hand, which, in their opinion, makes no sense. Furthermore, they argue that the new list of API experts, prepared after the elimination of the requirements of seniority and experience, also does not allow knowing the specific training of each API, so it does not seem likely that a need would arise in a judicial proceeding to turn to an API expert, understanding it more reasonable to turn to an expert in the specific subject to which the protection modality object of the judicial proceeding refers.</w:t>
      </w:r>
    </w:p>
    <w:p>
      <w:r>
        <w:t>Thus, the list of experts would only be used, as indicated by Articles 335 and following of the LEC, when any of the parties or the judge themselves requested the judicial appointment of an API expert (which, the COAPI understands, does not seem very likely for the reasons stated). However, the COAPI differentiates this type of appointment from that made to a specific API as an expert in a judicial proceeding based on their training, in which case it would indeed make sense to appoint them through the list of APIs available on the COAPI website, which allows contacting the API with the required training in advance.</w:t>
      </w:r>
    </w:p>
    <w:p>
      <w:r>
        <w:t>On the other hand, the COAPI points out that although the PR highlights that the list of judicial experts was also aimed at private individuals, there is only one request for it from a private individual in the file, in which the specific training that the expert should have was specifically indicated. In response, the prepared list of experts was sent (pages 267-275) in which only geographical availability and professional availability (marks, inventions, and/or creations) were listed, so it would not have been useful to satisfy their request. Furthermore, the COAPI emphasizes that this list has never been accessible from the COAPI website, unlike the complete list of members, but has only been sent upon request.</w:t>
      </w:r>
    </w:p>
    <w:p>
      <w:r>
        <w:rPr>
          <w:b/>
        </w:rPr>
        <w:t>[Pages 16–18]</w:t>
      </w:r>
    </w:p>
    <w:p>
      <w:r>
        <w:t>Finally, the COAPI finds it striking that the PR did not take into account the survey provided along with the COAPI's written allegations to the PCH, from which it was evident that none of the members included in the list of experts who responded in writing to the survey had participated as experts in any judicial proceedings, thus again highlighting the negligible use in practice of the list of judicial experts.</w:t>
      </w:r>
    </w:p>
    <w:p>
      <w:r>
        <w:t>In short, the COAPI considers that this completely residual activity, if not nonexistent, of the API experts can only lead to the conclusion that the list of experts prepared by the COAPI has not had the capacity to significantly affect competition, so Articles 5 of the LDC and 3 of the RDC would apply, and therefore Article 1 of the LDC would not be applicable.</w:t>
      </w:r>
    </w:p>
    <w:p>
      <w:r>
        <w:t>(ii) Without prejudice to this first argument, the COAPI refers to the absence of effects in the market of the requirement on its part of certain seniority and experience requirements to access the lists of API experts. The DC considered that the COAPI did not globally assess the data of its allegation, although it states that it only provided data relating to 2013, as reproached by the DC, since it would not be possible to determine how many of the APIs that did not meet the requirements to access the list would have wished to do so since 2001, the date when the requirements began to be demanded, and this precisely due to the null activity of the APIs as experts. Regarding the second deficiency pointed out by the DC, the COAPI understands that although it is true that they have 320 members, only 74 expressed their intention to be included in the lists of experts, so it would not make sense to take into account the APIs who did not wish to be included in this list.</w:t>
      </w:r>
    </w:p>
    <w:p>
      <w:r>
        <w:t>In summary, the COAPI highlights both the lack of interest of the members in being part of these lists, motivated by the practically nonexistent activity of the APIs as experts, as we have cited, and the limited restrictive scope that the requirements imposed for access to said list would have entailed.</w:t>
      </w:r>
    </w:p>
    <w:p>
      <w:r>
        <w:t>(iii) Finally, regarding the documentary evidence proposed by the COAPI in its letter of December 13, 2013, and in its allegations to the PCH, it was denied by the DC on the grounds that it was not capable of undermining the PCH's assessment of the anticompetitive nature of the access criteria to the list of experts, and that it only focused on minimizing the effects of the application of said criteria. However, the COAPI did not share this reason for denial and considered that both to prove the lack of capacity of the conduct to significantly restrict competition, and to prove the lack of effects in the market of the same, the proposed evidence was pertinent and, therefore, its denial infringed the right of defense. Furthermore, supporting its reasoning with reference to the STS of December 10, 2009, it understood that if it were allowed to prove that there had been no designations of experts from the list of experts prepared with the requirement of seniority and experience, or that they had been completely residual, it would be possible to defend the application of Articles 5 LDC and 3.1 RDC or, failing that, the absence of effects of the conduct and, therefore, the relevance of a lower quantification of the eventual sanction. For all these reasons, the COAPI, under Article 34.1 of the RDC, again requested the practice of this same documentary evidence, that is, that the Courts and Tribunals to which the list of experts was sent in the years 2011, 2012, and 2013 be requested to inform about the number of proceedings in which API experts had been designated; and, subsidiarily, if this evidence was not accepted, that a direct request be made to the professionals listed as judicial experts, to inform whether they had acted on any occasion as judicial experts.</w:t>
      </w:r>
    </w:p>
    <w:p>
      <w:r>
        <w:t>Response from the Competition Chamber</w:t>
      </w:r>
    </w:p>
    <w:p>
      <w:r>
        <w:t>First of all, it should be noted that the restriction of access to the list of experts imposed by the COAPI on its members is an infringement by object with a clear potential to distort competition, so all allegations made by the COAPI regarding the possible limited effects that the practice may have had, as well as the intended consideration of the conduct as de minimis, are irrelevant as they do not affect the assessment of said conduct as anticompetitive.</w:t>
      </w:r>
    </w:p>
    <w:p>
      <w:r>
        <w:t>Regarding the COAPI's allegations (i) that we are dealing with a conduct of lesser importance, either by application of Article 5 of the LDC or Article 3.1 of the RDC, they cannot be accepted, since we recall that, pursuant to the provisions of Article 2 RDC, restrictions by object will not be understood as of lesser importance if it is established that the conduct has as its object or effect to appreciably restrict competition.</w:t>
      </w:r>
    </w:p>
    <w:p>
      <w:r>
        <w:t>The essential legal criterion for determining whether the conduct of COAPI entails such a restriction of competition "by object" consists of establishing that these practices have a sufficient degree of harmfulness to competition in themselves. This Competition Chamber considers this to be the case, given that these are conduct that, by their very nature, distort the proper functioning of the normal play of competition, since they are specifically apt, taking into account who has carried them out, and the legal and economic content in which they are inscribed, to prevent, restrict, or distort the play of competition among APIs.</w:t>
      </w:r>
    </w:p>
    <w:p>
      <w:r>
        <w:t>Likewise, it should be noted that market share is one of the elements referred to in Article 5 LDC to determine conduct of lesser importance, and in this case, the strategic position of COAPI in the market for professional judicial and API expert services also demonstrates the impropriety of attempting to qualify it as conduct of lesser importance.</w:t>
      </w:r>
    </w:p>
    <w:p>
      <w:r>
        <w:t>To this, it should be added the consideration of the very broad geographical scope of the market, since the COAPI brings together all Industrial Property Agents in Spain, as well as the extensive duration of the conduct, which extends thirteen years regarding the collection of the variable ordinary fee, twelve years regarding the application of restrictive access criteria to the list of experts, and three years regarding the recommendation of scales on fees.</w:t>
      </w:r>
    </w:p>
    <w:p>
      <w:r>
        <w:t>(ii) Regarding the alleged absence of effects in the market of the requirement on its part of certain seniority and experience requirements to access the lists of API experts, it should be noted that COAPI largely reproduces arguments already raised in its allegations to the PCH and that were responded to by the DC in the PR, whose considerations are fully endorsed by this Chamber. However, it is worth insisting that all allegations made by the COAPI regarding the possible effects that the practice may have had are irrelevant, as will be explained in relation to the denied evidence, and do not affect the consideration of said conduct as anticompetitive, so they cannot be assessed by this Competition Chamber in this regard. This is so because the use of the triple criterion for the preparation of the list of API experts (that is, seniority of at least five years, experience before the OEPM, and payment of fees) constitutes an unlawful conduct provided for in Article 1 of the LDC, with the capacity or aptitude to produce appreciable effects, even if these do not manifest themselves explicitly.</w:t>
      </w:r>
    </w:p>
    <w:p>
      <w:r>
        <w:t>In relation to the alleged defenselessness referred to in third place (iii), as we have cited in the Background of Fact (AH) 13, by Council Agreement of October 30, 2014, the practice of said evidence was denied on the grounds that it was aimed, as the COAPI stated in its allegations of June 13, 2014, at proving the minimal effects of the conduct, and since Article 1 of the LDC does not require the production of effects in the affected market to establish the existence of unlawful conduct, it could only deduce the unnecessary nature of the practice of the requested evidence.</w:t>
      </w:r>
    </w:p>
    <w:p>
      <w:r>
        <w:t>In this sense, and sharing the criterion expressed by the DC in its PR, this Chamber understood that, since the practice of said evidence was not susceptible to</w:t>
      </w:r>
    </w:p>
    <w:p>
      <w:r>
        <w:rPr>
          <w:b/>
        </w:rPr>
        <w:t>[Pages 19–21]</w:t>
      </w:r>
    </w:p>
    <w:p>
      <w:r>
        <w:t>to distort the assessment of the PCH regarding the anticompetitive nature of the conduct attributed, it could not be claimed by the COAPI that its right to defense was violated due to the denial of the same. All of this, moreover, in accordance with the arguments presented previously.</w:t>
      </w:r>
    </w:p>
    <w:p>
      <w:r>
        <w:t>Finally, this Competition Chamber noted in its Agreement of October 30, 2014, that in the event that the conduct of the COAPI could have had certain real and irreversible effects on competition among APIs, this would be assessed in the present Resolution, which will be analyzed in the Legal Basis related to the determination of the fine.</w:t>
      </w:r>
    </w:p>
    <w:p>
      <w:r>
        <w:t>For all the above, in the opinion of this Chamber, the conduct described above must be classified in accordance with the accusation contained in the PCH and reproduced in the PR, as an infringement of Article 1 of the LDC consisting of the adoption of criteria for access to the lists of judicial experts based on seniority and the actions carried out before the OEPM.</w:t>
      </w:r>
    </w:p>
    <w:p>
      <w:r>
        <w:t>3.2. On the collection of variable ordinary fees.</w:t>
      </w:r>
    </w:p>
    <w:p>
      <w:r>
        <w:t>The COAPI considers that the collection of variable ordinary fees is not an unlawful conduct, as it does not infringe Article 1 of the LDC. Unlike the DC, the COAPI understands that the variable ordinary fee (which is currently paid through a "file stamp" for which the COAPI charges one euro for each application for registration of industrial property rights submitted) is neither unjustified nor discriminatory, for the following reasons.</w:t>
      </w:r>
    </w:p>
    <w:p>
      <w:r>
        <w:t>Regarding the unjustified nature of the charge that the DC reproaches, the COAPI considers that it is indeed linked to the services effectively provided by the COAPI in relation to each of the files that originate before the OEPM. In this sense, it states that these administrative files consist of a good number of actions, in addition to any incidents that may arise or modifications to the application initially submitted, which would generate even more procedures for the API before the OEPM, so that, the greater the volume of applications submitted by an API, the greater the use of the services provided by the COAPI. Therefore, it is not possible, in its opinion, to effectively link the payment of the variable fee with the specific services provided (it would not be feasible to determine, for each of the approximately 3,000 monthly files, what specific services the COAPI provides and, consequently, charge for them).</w:t>
      </w:r>
    </w:p>
    <w:p>
      <w:r>
        <w:t>Furthermore, the COAPI adds in its argumentation that although applications are submitted electronically, this does not mean that the COAPI does not intervene, as it is common for incidents to arise that require its mediation. As proof that the COAPI carries out many actions with the OEPM aimed at improving the deficiencies detected by the APIs in the processing of files through the electronic headquarters, it submitted three documents incorporated into the File by Agreement of October 30, 2014 (AH 13) (document No. 1, consisting of an exchange of emails between the President of the COAPI and the Director of the OEPM; document No. 2, consisting of several communications between the OEPM and the COAPI regarding the implementation of electronic services and the incidents therein; and document No. 3, which includes emails from members reporting incidents in the use of the OEPM's electronic office), which it considers demonstrate that, regardless of the notification method chosen by the API in a specific file, numerous incidents arise in the processing of files before the OEPM that require the intervention of the COAPI, making individual quantification very difficult. Therefore, it is presumed that, the greater the volume of files processed, the greater the use of the services of the COAPI, so the variable fee could not be considered unjustified in any case.</w:t>
      </w:r>
    </w:p>
    <w:p>
      <w:r>
        <w:t>Regarding whether this variable ordinary fee constitutes a discriminatory measure, the COAPI considers, on the contrary, that it allows for the adaptation of the participation of members in the operating expenses of the COAPI, based on the services they actually receive, linked to the work they carry out before the OEPM and, in this way, it prevents the payment of the fee from being a barrier to entry for APIs with lower activity volumes. It also adds that the requirement of this fee - which generates 50% of the total income of the COAPI - has never been reported by any API, except for the complainant in the current procedure, [confidential], which cannot be considered discrimination against APIs with a higher volume of work but, on the contrary, what it aims for is a fairer and more equitable distribution of the expenses of the COAPI.</w:t>
      </w:r>
    </w:p>
    <w:p>
      <w:r>
        <w:t>Response from the Competition Chamber</w:t>
      </w:r>
    </w:p>
    <w:p>
      <w:r>
        <w:t>In relation to these considerations, which were largely already highlighted by the COAPI in its allegations to the PCH, this Competition Chamber shares the arguments presented by the DC and reflected in sections (27) to (34) of the PR, without the allegations of the COAPI having managed to distort them. Thus, this Chamber considers that the COAPI has not demonstrated that the collection of this variable fee - a mandatory payment concept to be able to exercise the profession, with the negative effects for competition that such concepts may entail if they are, as in this case, excessive or discriminatory - is not applied equally to all APIs, without differentiating those who actually request and use the services of the COAPI from those who do not, so there can be no doubt about its unjustified and discriminatory nature.</w:t>
      </w:r>
    </w:p>
    <w:p>
      <w:r>
        <w:t>It is striking to this Chamber that the COAPI considers that this fee provides a fairer and more equitable distribution of the expenses of the COAPI when it can precisely lead, as the DC states in its PR, to certain APIs that carry out many actions before the OEPM, but do not require any intervention from the COAPI in the procedural incidents that arise, paying the COAPI for actions that do not generate any workload for the College. Similarly, an API with few actions before the OEPM in the processing of its files but with many procedural incidents could require the frequent intervention of the COAPI using its services and resources, funded by the mandatory payment of the file stamp by all other APIs. Data mentioned in the file - such as the existence of emails from APIs requesting the action of the COAPI, for example - demonstrate that it is possible to structure the membership fees according to objective criteria that measure the use made by the members and the workload generated by them.</w:t>
      </w:r>
    </w:p>
    <w:p>
      <w:r>
        <w:t>3.3 On the recommendation of indicative scales regarding the fees for the services of APIs.</w:t>
      </w:r>
    </w:p>
    <w:p>
      <w:r>
        <w:t>Regarding this conduct attributed to it, the COAPI considers that it is neither unlawful, as it does not infringe Article 1 of the LDC, nor can any fault be appreciated in it, not even in terms of mere negligence.</w:t>
      </w:r>
    </w:p>
    <w:p>
      <w:r>
        <w:t>The COAPI understands that from the description of the facts that constitute its conduct, it only follows that all they did was maintain on their website four obsolete references to indicative scales, nonexistent since 2008 and not accessible on their website since that year, without having expressly informed about their tacit repeal by the Omnibus Law, which demonstrates that its conduct is not unlawful, as in no case can it be equated to an active attitude of recommending indicative fees "that has the object, produces or may produce the effect of preventing, restricting or distorting competition in all or part of the national market (...)," as required by Article 1.1 LDC.</w:t>
      </w:r>
    </w:p>
    <w:p>
      <w:r>
        <w:t>The COAPI does not deny that until July 2013 it was not indicated that those references were repealed by the wording of the Professional Colleges Law introduced by the Omnibus Law, but it is also true that there was no indicative fee scale accessible on the COAPI's website. In this sense, it indicates that the DC did not consider in its PR that the last indicative fee scale approved by the COAPI was from the year 2007, and it substantiated this with document No. 4 (certification from the Secretary of the Board of Directors of the COAPI stating that the COAPI has not developed any scale or guideline for fees since 2008 and that since that date they are not</w:t>
      </w:r>
    </w:p>
    <w:p>
      <w:r>
        <w:rPr>
          <w:b/>
        </w:rPr>
        <w:t>[Pages 22–24]</w:t>
      </w:r>
    </w:p>
    <w:p>
      <w:r>
        <w:t>available on its website for the year 2007) which was presented as documentary evidence admitted by the Council Agreement of October 30, 2014. Likewise, the COAPI highlights that in the Extraordinary General Meeting of March 17, 2010, it approved the amendment of its Statutes to adapt them to the Omnibus Law, and that it sent them to all members, which is evidence that it gave sufficient publicity to the repeal of the possibility of establishing scales. The fact that these Statutes are currently not approved by the Government is due to reasons attributable exclusively to it, and it seems curious that, precisely, COAPI is required to exercise additional and extraordinary diligence to inform about said repeal. Lastly, it also notes that it responded to all inquiries regarding fee scales informing that, by legal imperative, they no longer existed and that if it did not modify the rest of its regulatory norms - Internal Regime Regulations and Code of Conduct - it was because the decision was made not to do so until the final approval of the new Statutes. As an indication that the conduct attributed to COAPI has neither been apt to restrict competition nor, evidently, has had any effect in an increasingly competitive market, the College cites different offers from websites of alternative operators in the industrial property agency market where only the fees of the OEPM are charged or a small amount in terms of fees, within the trademark registration market. Regarding the two industrial property agencies ([confidential]) cited by the DC, which referred to the indicative scales, COAPI argues that, on the one hand, they refer to the applicable VAT being 16%, which demonstrates that these documents are prior to the entry into force of the Omnibus Law (since this rate was only in effect until July 1, 2010, when it was increased to 18%), in addition to the fact that only two agencies were found among all the members. But, on the other hand, COAPI cannot be held responsible for the actions of those agencies that, had they continued to apply the indicative scales, would have done so by individual commercial decision, but never by recommendation from COAPI. Finally, to support its arguments, COAPI refers to the Resolution of the CNMC of March 27, 2014, by which the proceedings instructed and investigated by the Competition Defense Service of the Community of Madrid against the College of Property Administrators of Madrid were archived, considering that they did not infringe Article 1 of the LDC, and this despite the fact that, in that case, the indicative fees were indeed accessible, and to the ruling of the TS of December 13, 2012, which confirmed the resolution of the Competition Defense Tribunal (TDC) of September 27, 2007, by which a fine was imposed on the Illustrious College of Dentists and Stomatologists of Las Palmas de Gran Canaria for setting minimum fees for its members, consisting also in this case of the sanctioned conduct of allowing access through the website to the document of recommended minimum fees, in addition to other actions aimed at communicating said fees to the members. COAPI considers that it has more than fulfilled its obligation not to establish indicative scales (it amended its Statutes, informed about the repeal of the fee recommendation both to the members through the circular of July 25, 2013, as well as in all inquiries raised to it, and did not establish any scale nor facilitated access to the last one since 2008), therefore it understands that there is no culpability in its conduct, not even in terms of mere negligence, and reasons that it seems rather that what the DC is demanding from it is an excellence in its conduct, which goes far beyond the due diligence, and as proof of this refers to the three observations in paragraph (35) of the PR, from which it is inferred that certain measures could have been taken by COAPI, but that neither were they mandatory nor could their lack of inclusion suggest an infringement of Article 1 of the LDC. Response from the Competition Chamber In relation to all these issues, which were largely already highlighted by COAPI in its allegations to the PCH, this Competition Chamber shares the arguments put forward by the DC and reflected in the PR. From the established facts, it can only be concluded that COAPI was in the obligated position, due to its knowledge about the impropriety of the scales and the continuous inquiries received in recent years regarding this, to act clearly, immediately, and effectively, regarding the due information about the freedom to set fees and the non-existence and impropriety of indicative scales or any other orientation, recommendation, guideline, norm, or rule regarding professional fees for the services of APIs. COAPI's allegations do not succeed in justifying why easily realizable and immediately executable measures without any cost were not adopted by COAPI, for example through the COAPI website, a general reference for any user, whether a member or not, who needs information about the College and its functions, to expressly make public the clarifications regarding the recommendation of indicative scales concerning the fees for the services of APIs that were repealed by application of the LCP and for contravening the LDC, as well as to clearly specify the freedom to set fees for professional services. 3.4 Common allegations regarding the three conducts. i) Absence of effects in the market: In the market for the registration of industrial property rights, APIs compete with any other person who has the capacity to act according to Law 30/1992, of November 26, on the Legal Regime of Public Administrations and the Common Administrative Procedure, being common to find professionals who offer to register trademarks for free or with reduced fees, which shows that competition in this market is broad (according to the report from the OEPM, APIs represent approximately 60% of the administrative procedures before the OEPM, which demonstrates that they have strong competition from other professionals who do not hold the status of API or from interested parties who act directly before the OEPM). Therefore, none of the three conducts subject to the file would have had effects in the market for advisory and representation services for third parties for obtaining the various modalities of industrial property protection. Subsequently, COAPI analyzes each conduct attributed to it individually, to argue that none of them has produced effects in the market, although it basically cites the same arguments it already employed throughout its allegations. ii) Determination of the amount of the fine: COAPI refers in this allegation to the principle of legitimate expectation that Public Administrations must respect in their actions. In this sense, COAPI considers that the actions carried out by the Ministry of Economy and Finance (which, with its comments on the draft Statutes drafted by COAPI, conducted a first legality control of them) as well as by the now-defunct CNC (which maintained contacts with COAPI in order to adapt the Statutes to the provisions of the Omnibus Law, and which, on the other hand, had access to all the regulatory norms of COAPI following the sanctioning file S/0203/09 COAPI, which ended conventionally for COAPI with the date of the CNC Resolution (RCNC) of December 22, 2010, without accounting for the existence of other restrictions on competition that should be investigated), led it to conclude that its regulatory norms complied with the provisions of the applicable regulations. On the other hand, COAPI highlights the difference in criteria that seems to exist between the DC and the Council of the CNMC regarding whether the sanctioning regime designed by the LDC or by the former Law 16/1989 is more favorable (for this it cites the recent Resolution of the CNMC of January 2, 2014 in the AENA Commercial Services file, which applies the 1989 Law to quantify the corresponding sanction for an infringement of Articles 1 of Law 16/1989 and LDC and 101 TFEU) and requests that the Competition Defense Law be applied which, when analyzing the specific circumstances of the case, proves to be really more favorable for COAPI. Finally, COAPI considers that without prejudice to all the previous allegations, in the event that a sanction is ultimately imposed, it should be reduced due to the existence of the mitigating factor provided in the</w:t>
      </w:r>
    </w:p>
    <w:p>
      <w:r>
        <w:rPr>
          <w:b/>
        </w:rPr>
        <w:t>[Pages 25–27]</w:t>
      </w:r>
    </w:p>
    <w:p>
      <w:r>
        <w:t>provided by the College and of being discriminatory against those members who perform a greater volume of professional activity. This model of variable fees does not necessarily reflect the greater demand and use of the College's services, as there are objective criteria available to COAPI that would allow for a better adjustment of the fees.</w:t>
      </w:r>
    </w:p>
    <w:p>
      <w:r>
        <w:t>This Chamber considers that in cases like the present one, the assessment of the effects of the practice in question should only be reflected at the time of calculating the amount of the sanction, and this will be the case, but not for assessing the unlawfulness of a conduct whose illegality by object has already been established, making it unnecessary to examine its actual or possible effects in the market.</w:t>
      </w:r>
    </w:p>
    <w:p>
      <w:r>
        <w:t>FIFTH.- Responsibility of COAPI.</w:t>
      </w:r>
    </w:p>
    <w:p>
      <w:r>
        <w:t>According to Article 61 of the LDC: "Individuals or legal entities that carry out actions or omissions classified as infringements in this Law shall be infringing subjects," which, as provided in Article 63 of the same Law, may be sanctioned with a fine when the infringement has been committed deliberately or through negligence.</w:t>
      </w:r>
    </w:p>
    <w:p>
      <w:r>
        <w:t>It is worth recalling that constant jurisprudential doctrine qualifies the prohibition in Article 1 of the LDC as an objective prohibition or a result infringement, equating the object or purpose of the restriction with its actual or potential result. Those responsible for the infringement of this article may be sanctioned both in cases where there is anti-competitive intent and in those where an anti-competitive result occurs or may occur, regardless of the author's intention, which denotes a manifest tendency towards the objectification of reproach. In this sense, the National Court has stated (SAN of November 10, 2010, in case 06/637/2009, CNC file S/0044/08 PROPOLLO): "(...) this does not prevent the conduct from being objectively restrictive of competition by its nature, (...), since the conduct can be carried out intentionally or negligently -clearly the provision refers to an intentional or negligent element, the former tending directly to provoke the desired distorting effect on free competition, and the latter, which, even without intending the effect, is apt to cause it, being able to foresee such an effect by applying due diligence."</w:t>
      </w:r>
    </w:p>
    <w:p>
      <w:r>
        <w:t>Thus, from the Established Facts, it is deduced that COAPI was directly responsible for the conduct attributed to it as the author of the same.</w:t>
      </w:r>
    </w:p>
    <w:p>
      <w:r>
        <w:t>Regarding the criteria adopted for access to the lists of judicial experts, it is clear that COAPI, as a knowledgeable entity of the total number of members, and its contrast with the much smaller number of those who met the triple condition established in terms of seniority, volume of activity before the OEPM, and being up to date with the payment of fees, could not ignore the barrier to access the profession for new APIs or those with less experience, and the discrimination among competitors with sufficient technical capacity for the free exercise of expert work that such requirements constituted, thus limiting effective competition among APIs.</w:t>
      </w:r>
    </w:p>
    <w:p>
      <w:r>
        <w:t>As for the collection of variable fees, COAPI established a collection model that deserves double reproach for not responding to the services effectively provided by the College and for being discriminatory against those members who perform a greater volume of professional activity.</w:t>
      </w:r>
    </w:p>
    <w:p>
      <w:r>
        <w:rPr>
          <w:b/>
        </w:rPr>
        <w:t>[Pages 28–30]</w:t>
      </w:r>
    </w:p>
    <w:p>
      <w:r>
        <w:t>sufficient for the free exercise of expert work, as such requirements constituted a limitation on effective competition among APIs.</w:t>
      </w:r>
    </w:p>
    <w:p>
      <w:r>
        <w:t>Regarding the collection of variable fees, COAPI devised a collection model that deserves double reproach for not corresponding to the services effectively provided by the College and, at the same time, being clearly discriminatory among members, without any plausible justification being provided. This Competition Chamber does not assess whether what led COAPI to design the analyzed system was a revenue-generating motive, but it does acknowledge that, in doing so, it imposed discriminatory treatment among members, capable of affecting competition among them. It is established doctrine (thus, RCNC of September 19, 2011, EXPTE. S/0210/09, COLLEGE OF VETERINARIANS OF MURCIA) that those conducts are considered unlawful which, even without intending the effect, are capable of causing it, and such effect can be foreseen by applying due diligence.</w:t>
      </w:r>
    </w:p>
    <w:p>
      <w:r>
        <w:t>Regarding the recommendation of indicative scales, it cannot be denied that COAPI was fully aware that the liberalization of regulated professions implied changes in the regulatory framework that rendered all types of indicative scales illegal, and that while on one hand it did not carry out such recommendations again, on the other hand it maintained various references to such scales in different texts on its website without clarifying their repealed nature. The various requests for information on this aspect that COAPI received highlighted the convenience and necessity of making such clarification regarding the illegality and lack of validity of the indicative scales in a general and effective manner, but this was not done until the present file was initiated.</w:t>
      </w:r>
    </w:p>
    <w:p>
      <w:r>
        <w:t>COAPI had already been warned by the Dl, now DC, that it had to adapt to the current regulation and promote effective competition in its various areas of action, specifically by eliminating barriers to access to the profession, such as the imposition of fees and discriminatory conditions for access to the lists of experts, and the adoption of any type of guidance on professional fees (folios 363-365). As the DC points out in its PR, the then Dl sent a letter to the College on June 20, 2011, due to the concern that existed over the increase in complaints about the conduct of professional corporations, encouraging it to "review the current Statutes and other regulatory norms of the profession, and to publicly disclose, in the manner it considers most appropriate, the clauses that have been repealed as a consequence of the modifications included in the LCP or for contravening the LDC" (folios 358-360); furthermore, a meeting was held at the headquarters of the competition authority in March 2012 to improve the regulation of the College, in which it expressed its explicit desire to modify what was necessary to comply with competition legislation, having detected "many things that need to be improved" (folio 361); and finally, in 2012, the CNC published the "Report on Professional Colleges after the transposition of the Services Directive," which warned, among other issues, of the negative effects on competition of mandatory payment concepts for the exercise of the profession, if these were discriminatory or excessive.</w:t>
      </w:r>
    </w:p>
    <w:p>
      <w:r>
        <w:t>As noted in the established facts [paragraph (30) PCH], at least until June 19, 2013, when the Dl (now DC) agreed to initiate the reference file against COAPI, the Statutes from the year 2000 and the Internal Regime Regulation (folios 7-19) and the Code of Conduct from 2001 were published on COAPI's website, without mentions or clarifications that they could be repealed or affected by the internal provisions for the transposition into Spanish law of the Services Directive, particularly regarding the revision of the LCP, in force since December 27, 2009, particularly the establishment of indicative scales, the criteria for access to the list of experts, and the establishment of membership fees.</w:t>
      </w:r>
    </w:p>
    <w:p>
      <w:r>
        <w:t>Likewise, the general criteria for access to the list of experts, which were adopted in 2001 according to circular number 14 dated June 28, 2001 (folio 181), and have been in force until the communication of circular number 15 of July 25, 2013 (again a modification that was approved, therefore, after receiving the notification of the initiation agreement of June 19, 2013), were: i) five years of seniority in the exercise of the profession, ii) being up to date with the payment of all fees; and iii) a minimum number of 100 interventions before the OEPM (folios 129 and 130).</w:t>
      </w:r>
    </w:p>
    <w:p>
      <w:r>
        <w:t>Given COAPI's unique position as a professional college, in conjunction with the already exposed elements of the regulatory context and specific information provided by the Competition Authority, this Chamber considers that it could not be unaware of the unlawful nature of the conducts subject to this file.</w:t>
      </w:r>
    </w:p>
    <w:p>
      <w:r>
        <w:t>SIXTH.- Determination of the fine.</w:t>
      </w:r>
    </w:p>
    <w:p>
      <w:r>
        <w:t>As the DC explained, the infringement attributed to COAPI would have begun in 2001. Specifically, the access restrictions to the list of experts had been applied since June 28, 2001; the collection of the variable ordinary fee not associated with services justifying its collection had been applied since January 25, 2001, while the conduct related to the establishment of indicative scales would be attributable since December 27, 2009, that is, since the entry into force of the reform of the LCP. This means that the conduct developed while Law 16/1989, of July 17, on the Defense of Competition was in force and would have continued under Law 15/2007, of July 3, on the Defense of Competition.</w:t>
      </w:r>
    </w:p>
    <w:p>
      <w:r>
        <w:t>As we have already stated in the first legal basis, in accordance with the provisions of Article 128 of Law 30/1992, of November 26, on the Legal Regime of Public Administrations and Common Administrative Procedure, in cases like the present one where the unlawful conduct extends over the time of validity of two Laws, the most beneficial one must be applied for those initiated in accordance with the principles of non-retroactivity of the more unfavorable sanctioning norm and retroactivity of the more favorable one for the infringer in the specific case. It is with the aim of complying with what is stated in this article that this Competition Chamber must choose between the application of one or the other sanctioning regime, selecting the one most favorable to the infringer, regardless of whether COAPI has requested this in its allegations to the PR.</w:t>
      </w:r>
    </w:p>
    <w:p>
      <w:r>
        <w:t>Both norms prohibit in their Article 1.1 any agreement, decision, or collective recommendation, or concerted or consciously parallel practice, that has as its object, produces, or may produce the effect of preventing, restricting, or distorting competition in all or part of the national market and, in particular, a) those that consist of the direct or indirect fixing of prices or other commercial or service conditions and d) the application, in commercial or service relations, of unequal conditions for equivalent services that place some competitors at a disadvantage compared to others, so that in this sense and for the purposes of the legal qualification of the established facts, it is not of greater relevance to apply one or the other norm.</w:t>
      </w:r>
    </w:p>
    <w:p>
      <w:r>
        <w:t>However, although the conduct regulated by Article 1 of both Laws is identical, the truth is that the sanctioning regime of Law 15/2007 - mainly due to its system of graduation and establishment of maximum caps, the implementation of the leniency program for cartels, and the reduction of limitation periods for some of the typified conducts - is, from a global perspective, more favorable for infringers than that contemplated by Law 16/1989, and this has been repeatedly indicated by the Council of the CNC.</w:t>
      </w:r>
    </w:p>
    <w:p>
      <w:r>
        <w:t>Just as the defunct Council of the CNC, this Competition Chamber has also expressed itself in favor of applying the LDC of 2007 as the more favorable law in most cases (thus in its recent Resolution of September 22, 2014, S/0428/12 PALÉS, which in turn cites the Judgments of the AN dated April 2, 2014 - appeal 194/2011, of L'OREAL ESPAÑA S.A. AND L'OREAL S.A.- and dated April 15, 2014 - appeal 572/2010, of RHENUS IHG IBERICA, S.A.- supporting this argument).</w:t>
      </w:r>
    </w:p>
    <w:p>
      <w:r>
        <w:t>Nevertheless, this Chamber understands, unlike what was stated by the DC, that we are precisely facing one of the specific and exceptional cases.</w:t>
      </w:r>
    </w:p>
    <w:p>
      <w:r>
        <w:rPr>
          <w:b/>
        </w:rPr>
        <w:t>[Pages 31–33]</w:t>
      </w:r>
    </w:p>
    <w:p>
      <w:r>
        <w:t>infringements, it is more favorable for the COAPI to apply Law 16/1989 for the calculation of any potential economic sanction. This is so because, given the nature of the COAPI as a Professional Association, which the LCP legally configures as public law Corporations, it is not possible to delineate the turnover referred to in Article 63.1 LDC 2007. Thus, for cases like the present one where the infringement attributed to the COAPI is very serious, Article 63.3 c) of the LDC of 2007 establishes as the corresponding pecuniary sanction "a fine of more than 10 million euros," while the application of Law 16/1989 indicates that the corresponding fine could not exceed the amount of 901,518.16 euros, a limit set forth in Article 10 of that law. This amount is not included in the current LDC, resulting in the conclusion that the previous law is more favorable than the current one for cases where the infringing subject is an associative entity.</w:t>
      </w:r>
    </w:p>
    <w:p>
      <w:r>
        <w:t>In accordance with these arguments, the Council has ruled in numerous precedents, and this Chamber does so now, opting to apply Law 16/1989, which sets a quantitative limit of 901,518.16 € for entities without turnover.</w:t>
      </w:r>
    </w:p>
    <w:p>
      <w:r>
        <w:t>In the CNC Resolution of September 19, 2011 (Expte. S/0210/09, Colegio de Veterinarios de Murcia), as well as in other preceding Resolutions such as that of January 20, 2011 (Expte. S/0196/09, Colegio Notarial de Asturias), reference is made to the aforementioned Article 10 of the old law to calculate the amount to which the sanction should ascend, as well as to subsection 2 of that article to apply the criteria for the graduation of the sanction:</w:t>
      </w:r>
    </w:p>
    <w:p>
      <w:r>
        <w:t>"As a manifestation of the principle of proportionality of the sanction, subsection 2 of Article 10 of the LDC adds that the amount of the sanctions will be set taking into account the importance of the infringement, for which the following will be considered: a) The modality and scope of the restriction of competition; b) The dimension of the affected market; c) The market share of the corresponding company; d) The effect of the restriction of competition on effective or potential competitors, on other parties in the economic process, and on consumers and users; e) The duration of the restriction of competition; f) The recurrence in the commission of prohibited conduct."</w:t>
      </w:r>
    </w:p>
    <w:p>
      <w:r>
        <w:t>Thus, these criteria from subsection 2 of Article 10 of Law 16/1989 are what this Chamber will take into consideration when determining the sanction to be imposed on the COAPI, combining them with the aim of coherence with the precedents previously issued, whether by the TDC or by the CNC regarding Professional Associations, most of which have been subsequently confirmed by the National Court or by the Supreme Court. However, as the Supreme Court stated in its Judgment of December 13, 2012, which considered that there was no basis for the appeal for cassation filed against the SAN of July 10, 2009, which confirmed the Resolution of the Council of the CNC of December 27, 2007 (Expte. 635/07, Colegio Odontólogos Estomatólogos de Las Palmas), each case has its specific circumstances, and comparisons with other precedents of Professional Associations may prove irrelevant. Thus, it stated: "Finally, it is irrelevant for these purposes the imposition on other Associations of sanctions of a lower amount for the commission of infringements in competition matters. As we have pointed out in the judgment of February 3, 2009 (RC 7280/2005), 'Any comparison with precedents could only provide criteria for judgment on the appropriateness of a sanction in substantially similar cases and with a detailed explanation of the concurrent circumstances in each case. In principle, the proportionality or disproportionality of a sanction must be justified or criticized rather, given the high degree of case-specificity in the matter, based on the circumstances that specifically occur in each examined case.' Undoubtedly, the mere mention of the amount of the sanctions and the assertion that they are 'very similar to the present' prevents the Chamber from verifying in due detail the analogy between the current case and the different cases contained in the table included in the appeal submission to which significantly lower fines are assigned."</w:t>
      </w:r>
    </w:p>
    <w:p>
      <w:r>
        <w:t>In this regard, the precedents cited by the COAPI (for example, concerning the conduct related to the recommendation of indicative scales, it cites the Resolution of March 27, 2014, by which the Council of the CNMC archived the actions of the Competition Defense Service of the Community of Madrid against the Colegio de Administradores de Fincas de Madrid, or this same Judgment of the Supreme Court of December 13, 2012, which confirmed the Resolution of the Council of the CNC of December 27, 2007, Expte. 635/07, Colegio Odontólogos Estomatólogos de Las Palmas) are understood by this Chamber to require careful analysis, being aware of the existing analogies but also of the differences between cases, which can ultimately lead to different appreciations and evaluations regarding the fine to be imposed. In short, neither the Resolutions issued by this same body nor the existing jurisprudential doctrine will be overlooked, as they are the guide on which to base uniformity in its resolutions, without prejudice to considering that each case is unique and specific and therefore requires a unique and specific analysis as well.</w:t>
      </w:r>
    </w:p>
    <w:p>
      <w:r>
        <w:t>Focusing now on the conduct carried out by the COAPI, this Chamber considers that it cannot be denied that such conduct infringes Article 1 of the LDC. Thus, (i) the adoption of criteria for access to the lists of judicial experts constituted an unjustified barrier to the exercise of the profession and discriminated between competitors, thereby limiting effective competition among APIs; (ii) the collection of variable ordinary fees on the professional work that the registered APIs perform before the OEPM constitutes an unjustified and discriminatory charge among the members that places some competitors at a disadvantage compared to others, violating free competition; and (iii) the recommendation of indicative scales regarding the fees for the services of APIs has led to the maintenance for more than four years of a text expressly prohibited by the LCP, with the capacity to distort competition by affecting the free setting of prices for APIs.</w:t>
      </w:r>
    </w:p>
    <w:p>
      <w:r>
        <w:t>Furthermore, regarding these restrictions on competition, the following considerations should be made:</w:t>
        <w:br/>
        <w:t>1st we are faced with an infringement that encompasses three conducts carried out by a Professional Association, a condition of the author that, due to its strategic position, grants an additional degree of severity;</w:t>
        <w:br/>
        <w:t>2nd it is an infringement whose duration over time has been extensive: twelve (12) years regarding the application of restrictive criteria for access to the list of experts, thirteen (13) years regarding the collection of the variable ordinary fee; and three (3) years regarding the recommendation of scales on fees;</w:t>
        <w:br/>
        <w:t>3rd the very broad geographical scope of the market cannot be overlooked, as the COAPI brings together all Industrial Property Agents in Spain.</w:t>
      </w:r>
    </w:p>
    <w:p>
      <w:r>
        <w:t>Thus, analyzing the latest sanctions imposed by the defunct CNC, confirmed in whole or in part by the National Court or by the Supreme Court, it seems proportionate and appropriate to the severity of the observed conduct, as well as adequately deterrent so that the infringer does not find it more economically beneficial to pay the fine than to adjust its conduct to the LDC, to impose a sanction substantially lower than the maximum provided of 900,000 €.</w:t>
      </w:r>
    </w:p>
    <w:p>
      <w:r>
        <w:t>Thus, as in the Judgment of the AN of January 29, 2013, which partially upheld the contentious-administrative appeal of the College of</w:t>
      </w:r>
    </w:p>
    <w:p>
      <w:r>
        <w:rPr>
          <w:b/>
        </w:rPr>
        <w:t>[Pages 34–36]</w:t>
      </w:r>
    </w:p>
    <w:p>
      <w:r>
        <w:t>Veterinarians of Murcia against the RCNC of September 19, 2011, certain elements were taken into account that contributed to reducing the fine (not questioning the typicality of the sanctioned conduct), in the present case, aside from the three mentioned in previous paragraphs, the following circumstances must also be considered.</w:t>
      </w:r>
    </w:p>
    <w:p>
      <w:r>
        <w:t>(i) Although the nature of the conduct, as previously noted in earlier grounds, does not require proof of effects, in order to determine the amount of the fine, the difficulty of proving and quantifying the possible real and irreversible effects that these conducts have caused on competition among APIs must be taken into account. It is worth noting that this difficulty does not lead to the assertion that such effects did not exist; it only complicates their quantification, without there being evidence to the contrary regarding their non-production. In any case, as these effects are not clearly quantified, it is precisely in the aspect that now concerns us (determination of the fine) where this issue must be taken into consideration. The DC in its PR considered that such effects were indeed real and irreversible on competition. Thus, regarding the application of variable ordinary fees, it took into account the data provided by the COAPI on the magnitude of files that APIs initiated before the OEPM every year and the budgets provided by the COAPI for the years 2011, 2012, and 2013, where the College received higher income from variable ordinary fees than from the annual ordinary fee (€80,000, €100,000, and €85,000, respectively) (folios 64-70). In relation to the list of judicial experts, the application of the internal restrictions imposed by the COAPI to access it had constituted a clear barrier to access for both long-standing registered APIs and new registrants or those with less seniority. Furthermore, these restrictions affected not only the judicial sphere but also the private one, as it was a unique list. Finally, the COAPI had publicized the existence of indicative scales in its Statutes and in various documents published on its institutional website (Internal Regime Regulation, Informative Catalog, and model of Professional Services Contract, the latter withdrawn after the initiation). These scales would have continued to be applied, according to the data retrieved from the Internet and the constant inquiries that the COAPI received via email and telephone (folio 611). This Chamber considers that although it was not necessary to prove such effects, they have indeed occurred, without the COAPI having managed to disprove them. However, the difficulty of quantifying and qualifying them as irreversible constitutes circumstances to be weighed in imposing the sanction on the author of the infringement.</w:t>
      </w:r>
    </w:p>
    <w:p>
      <w:r>
        <w:t>(ii) The reduced volume of income of the COAPI in the last fiscal years of 2011, 2012, and 2013.</w:t>
      </w:r>
    </w:p>
    <w:p>
      <w:r>
        <w:t>(iii) Thirdly, despite what the COAPI has claimed, it is not possible to appreciate the mitigating circumstance provided for in Article 64.3.a) of the LDC, that is, the performance of actions that have put an end to the infringement. Thus, it is considered that, on the one hand, regarding the lists of judicial experts, the COAPI did not modify the criteria for compiling them until its Circular No. 15, of July 25, 2013, in which it was already aware of the initiation of the present procedure, and on the other hand, it was not until after being notified of the initiation of the procedure that the COAPI published its Circular No. 16, of July 25, 2013, through which it informed its members about the provisions of the statutory and regulatory norms of the College that could be repealed or affected by the modification of the LCP, and then proceeded to publish on its website a revised version of its Statutes and Internal Regime Regulation, with footnotes regarding the interpretation or repeal of certain sections due to incompatibility with current regulations. Despite this, it cannot be ignored that such actions, even if they were subsequent to the initiation, have revealed, on the part of the College, a mitigating intent regarding the damage caused, as well as a certain willingness to collaborate with the Competition Authority, a point that should be taken into account for the purpose of mitigating the sanction accordingly.</w:t>
      </w:r>
    </w:p>
    <w:p>
      <w:r>
        <w:t>(iv) Finally, regarding the claim of legitimate trust raised by the COAPI, this Chamber considers that it cannot be upheld. The Competition Authority has already had the opportunity to state (RCNC of April 26, 2011, Expte. S/0107/08, PLATAFORMA DEL MEJILLÓN) that: “From the jurisprudential doctrine, it can be understood that the application of the principle of protection of legitimate trust in the exercise of the sanctioning power of the CNC requires the concurrence of two basic prerequisites: 1) the existence of external signs produced by the Administration that are sufficiently conclusive and 2) that reasonably induce the company to trust in the legality of the administrative action and its anticompetitive behavior.” In this case, the Competition Chamber considers that no Administration has produced conclusive external signs that would lead the COAPI to presume the validity of the restrictions imposed on APIs. Even less so the Administration competent to interpret competition regulations. In fact, as already noted in the Fifth Legal Ground, the position of the competition bodies towards restrictions such as those described in the case of the Colleges is public and well known by that College. All these circumstances, while not altering the analysis of the commission by the COAPI of a very serious infringement, lead this Chamber to conclude that the most appropriate fine for deterrent purposes, while also suitable to the principle of proportionality, is a fine of seventy thousand (70,000) euros.</w:t>
      </w:r>
    </w:p>
    <w:p>
      <w:r>
        <w:t>For all the above, having regard to the cited legal and regulatory provisions and others of general application, the Council of the National Commission of Markets and Competition,</w:t>
      </w:r>
    </w:p>
    <w:p>
      <w:r>
        <w:t>RESOLVES</w:t>
      </w:r>
    </w:p>
    <w:p>
      <w:r>
        <w:t>FIRST.- To declare that in this file an infringement of Article 1 of the Competition Defense Law has been proven, for which the OFFICIAL COLLEGE OF INDUSTRIAL PROPERTY AGENTS (COAPI) is responsible, consisting of (i) the adoption of criteria for access to the lists of judicial experts, (ii) the recommendation of indicative scales regarding the fees for the services of Industrial Property Agents (API), and (iii) the collection of variable ordinary fees on the professional work that registered APIs perform before the Spanish Patent and Trademark Office (OEPM), which have occurred over twelve, three, and thirteen years respectively.</w:t>
      </w:r>
    </w:p>
    <w:p>
      <w:r>
        <w:t>SECOND.- To impose on the OFFICIAL COLLEGE OF INDUSTRIAL PROPERTY AGENTS (COAPI), as the author of the infringing conduct, a sanctioning fine of seventy thousand (70,000) euros.</w:t>
      </w:r>
    </w:p>
    <w:p>
      <w:r>
        <w:t>THIRD.- To order the OFFICIAL COLLEGE OF INDUSTRIAL PROPERTY AGENTS (COAPI) to cease the conduct consisting of the collection of variable ordinary fees based on the professional activity that each API carries out before the OEPM and to refrain from committing practices such as those sanctioned or other similar ones that may hinder competition in the future.</w:t>
      </w:r>
    </w:p>
    <w:p>
      <w:r>
        <w:t>FOURTH.- To urge the Competition Directorate to monitor and ensure the full compliance of this Resolution.</w:t>
      </w:r>
    </w:p>
    <w:p>
      <w:r>
        <w:t>This Resolution shall be communicated to the Competition Directorate of the CNMC and notified to the interested parties, informing them that no administrative appeal is available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