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https://www.cnmc.es/expedientes/s047813</w:t>
      </w:r>
    </w:p>
    <w:p>
      <w:r>
        <w:t>Pages translated : 14</w:t>
      </w:r>
    </w:p>
    <w:p/>
    <w:p>
      <w:r>
        <w:rPr>
          <w:b/>
        </w:rPr>
        <w:t>[Pages 1–3]</w:t>
      </w:r>
    </w:p>
    <w:p>
      <w:r>
        <w:t xml:space="preserve">RESOLUTION (Exp. S/0478/13 MSC)  </w:t>
        <w:br/>
        <w:t xml:space="preserve">COMPETITION CHAMBER  </w:t>
        <w:br/>
        <w:t xml:space="preserve">PRESIDENT  </w:t>
        <w:br/>
        <w:t xml:space="preserve">Mr. José María Marín Quemada, President  </w:t>
        <w:br/>
        <w:t xml:space="preserve">COUNSELORS  </w:t>
        <w:br/>
        <w:t xml:space="preserve">Ms. María Ortiz Aguilar, Counselor  </w:t>
        <w:br/>
        <w:t xml:space="preserve">Ms. Idoia Zenarrutzabeitia Beldarraín, Counselor  </w:t>
        <w:br/>
        <w:t xml:space="preserve">SECRETARY  </w:t>
        <w:br/>
        <w:t xml:space="preserve">Mr. Tomás Suarez-Inclán González  </w:t>
        <w:br/>
        <w:t xml:space="preserve">In Madrid, on February 13, 2014.  </w:t>
        <w:br/>
        <w:t xml:space="preserve">THE COMPETITION CHAMBER of the National Commission of Markets and Competition, with the composition expressed in the margin, has issued this Resolution in the reserved information file S/0478/13 MSC, in response to the complaint filed by the ASSOCIATION OF LOGISTICS AND CONTAINER TRANSPORT COMPANIES against the company MEDITERRANEAN SHIPPING COMPANY ESPAÑA, S.L. for alleged conduct prohibited by Law 15/2007, of July 3, on the defense of competition (LDC).  </w:t>
        <w:br/>
        <w:t xml:space="preserve">FACTUAL BACKGROUND  </w:t>
        <w:br/>
        <w:t xml:space="preserve">1. On May 24, 2013, a complaint was filed with the now-defunct National Competition Commission (hereinafter, CNC) by the ASSOCIATION OF LOGISTICS AND CONTAINER TRANSPORT COMPANIES (ELTC) against the company MEDITERRANEAN SHIPPING COMPANY ESPAÑA, S.L. (hereinafter MSC). In this document, the complainant stated that: (I) MSC holds a dominant position as a consignee in the Port of Valencia, being the owner of the containers of goods loaded onto vehicles of transport companies and self-employed carriers destined for/from the Port of Valencia; (ii) MSC's refusal to contract the transport of containerized goods with companies not associated with the Association of Container Transporters of Valencia (TRANSCOVAL) constitutes a violation of Article 2 LDC; (iii) the application of prices below the costs involved in providing the service, leveraging its high business volume and the ability to combine loads due to its advantage as the primary consignee of the Port of Valencia, results in the abuse of its dominant position manifesting as a form of price squeezing, consequently excluding current competitors from the market or preventing the entry of new ones, conduct that violates Articles 2 and 3 LDC and Article 102 of the Treaty on the Functioning of the European Union (TFEU).  </w:t>
        <w:br/>
        <w:t xml:space="preserve">2. By Agreement of July 17, 2013, notified on July 18, the Directorate of Investigation (DI) requested the complainant certain information related to: (i) the justification and accreditation of MSC's dominant position; (ii) detailed explanation and accreditation of the abuse of that dominant position attributed to MSC; and (iii) explanation of document No. 14 and justification of how it proves the abuse of MSC's dominant position. On July 30, 2013, a document from the complainant dated the same day was received by the CNC in response to the previous information request, the confidentiality of which was accepted by a DI document dated August 27, along with that of annexes 5 and 8 attached to it.  </w:t>
        <w:br/>
        <w:t xml:space="preserve">3. On September 11, 2013, the DI agreed to initiate a reserved inquiry and requested from MSC certain information regarding its activity, its relationship with ELTC, and the concept of "onweel." On September 30, 2013, a document from MSC responding to the information request of September 11 was received by the CNC, and on October 2, the DI granted the requested confidentiality regarding it and its annex No. 2.  </w:t>
        <w:br/>
        <w:t xml:space="preserve">4. By Order ECC/1796/2013, of October 4, October 7, 2013, was determined as the start date for the operation of the National Commission of Markets and Competition (CNMC), which integrates the activities and functions of the CNC, pursuant to the provisions of Law 3/2013, of June 4, creating the National Commission of Markets and Competition (LCNMC). Likewise, as established in Article 19 of Royal Decree 657/2013, of August 30, which approves the Organic Statute of the CNMC, the Directorate of Competition (hereinafter DC) is the body responsible for the functions of instructing files, investigating, studying, and preparing reports for the CNMC regarding competition defense procedures, restrictive competition conduct, and control of concentrations regulated in the LDC.  </w:t>
        <w:br/>
        <w:t xml:space="preserve">5. The DC, on October 23, 2013, in accordance with Article 49.3 of the LDC and Article 27.1 of the Competition Defense Regulation (RDC), approved by Royal Decree 261/2008, of February 22, submitted to the Council of the CNMC a proposal for non-initiation as well as the filing of the proceedings followed as a result of the complaint filed, considering the absence of indications of infringement of the aforementioned Law.  </w:t>
        <w:br/>
        <w:t xml:space="preserve">6. The Competition Chamber of the Council of the CNMC deliberated and ruled on the matter in its meeting of February 13, 2014.  </w:t>
        <w:br/>
        <w:t xml:space="preserve">LEGAL GROUNDS  </w:t>
        <w:br/>
        <w:t xml:space="preserve">FIRST.- Competence to resolve  </w:t>
        <w:br/>
        <w:t xml:space="preserve">In accordance with the provisions of the first additional provision of Law 3/2013, of June 4, creating the National Commission of Markets and Competition, the implementation of which will begin on the date determined by order of the Minister of Economy and Competitiveness. By Order ECC/1796/2013, of October 4, October 7, 2013, was determined as the start date for the operation of the CNMC. According to the second additional provision of the same Law, "the references that the current legislation contains to the National Competition Commission [...] shall be understood as referring to the National Commission of Markets and Competition [...]". Meanwhile, Article 14 letter b) of Royal Decree 657/2013, of August 30, which approves the Organic Statute of the CNMC, establishes that "The Competition Chamber shall be responsible for matters related to the application of Law 15/2007, of July 3, on the Defense of Competition and with the activity of promoting competition in accordance with the provisions of Article 5 of Law 3/2013, of June 4." Consequently, the competence to resolve this procedure corresponds to the Competition Chamber of the Council of the CNMC. On the other hand, in number 3 of Article 49 LDC it is added that the Council, at the proposal of the DI, will agree not to initiate sanctioning proceedings and, consequently, to file the actions taken when it considers that there are no indications of infringement. In this regard, Article 27.1 of the Competition Defense Regulation (RDC), approved by Royal Decree 261/2008, of February 22, stipulates that, "In order for the Council of the National Competition Commission to agree not to initiate proceedings and to file the actions in the terms established in Articles 44 and 49.3 of Law 15/2007, of July 3, the Directorate of Investigation will forward to it the received complaint, the prior actions taken, if any, and a proposal for filing." Consequently, the competence to resolve this procedure corresponds to the Competition Chamber of the Council of the CNMC.  </w:t>
        <w:br/>
        <w:t xml:space="preserve">SECOND.- Examination of the sector and proven facts  </w:t>
        <w:br/>
        <w:t xml:space="preserve">The purpose of this resolution is to determine whether, as the Directorate of Competition asserts, MSC's conduct in the Port of Valencia does not present indications of infringement of the LDC and, specifically, of its Articles 2 and 3, and whether the filing of the actions is appropriate, in accordance with Article 49.3 of the LDC. The DC in its Proposal for Filing to the Council makes the following description of the complainant and the complained party:  </w:t>
        <w:br/>
        <w:t xml:space="preserve">"Complainant: the Association of Logistics and Container Transport Companies (ELTC)  </w:t>
        <w:br/>
        <w:t>(11) ELTC is a grouping of land transport companies of containers operating in the Port of Valencia. Its members are individual companies - self-employed and small companies - and collective - companies with a fleet of more than three trucks - Spanish dedicated to the transport of containers by road and other ordinary public roads.</w:t>
      </w:r>
    </w:p>
    <w:p>
      <w:r>
        <w:rPr>
          <w:b/>
        </w:rPr>
        <w:t>[Pages 4–6]</w:t>
      </w:r>
    </w:p>
    <w:p>
      <w:r>
        <w:t>with specialized mobile equipment. After several modifications to its statutes, starting in 2012, ELTC is composed of two groups of companies: the first is a set of ninety companies with a fleet of more than three vehicles, and the second is a collective of 44 professionals, which may include self-employed individuals and small companies, with a fleet of fewer than three trucks (folio 4).</w:t>
      </w:r>
    </w:p>
    <w:p>
      <w:r>
        <w:t>(12) The territorial scope of ELTC is provincial. However, according to ELTC, most of its members are companies that operate in the Port of Valencia (folio 4).</w:t>
      </w:r>
    </w:p>
    <w:p>
      <w:r>
        <w:t>(13) Article 7 of the ELTC Statutes outlines the basic objectives of the association, including representing, managing, and defending the professional interests of the associated entrepreneurs, in their general and common aspects, as well as those related to Public Administrations, other public institutions, port authorities, and professional organizations of companies and labor unions (folio 5).</w:t>
      </w:r>
    </w:p>
    <w:p>
      <w:r>
        <w:t>Complained: Mediterranean Shipping Company España, S.L.U. (MSC)</w:t>
      </w:r>
    </w:p>
    <w:p>
      <w:r>
        <w:t>(14) MSC is a shipping company whose corporate purpose involves the following activities (folio 838):</w:t>
        <w:br/>
        <w:t>a. The operational tasks of ship consignment at the port, including the request for docking, hiring of stevedoring personnel, payment of fees, assistance to the crew, as well as those tasks usually performed by the consignee that are a consequence of the ship's stay in the port.</w:t>
        <w:br/>
        <w:t>b. The tasks related to the handling of goods, consisting of the preparation of transport documentation, collection of freight and other ancillary charges, notification of the arrival of goods, container control, and maintenance of ships.</w:t>
        <w:br/>
        <w:t>c. The promotion of cargo capture lines.</w:t>
        <w:br/>
        <w:t>d. The land transport of goods, which MSC carries out with its own means through a fleet of 25 owned vehicles, and with external means, through an open network of collaborating transport companies, by subcontracting the service with some of those companies.</w:t>
        <w:br/>
        <w:t>e. The organization of customs clearance.</w:t>
        <w:br/>
        <w:t>f. The provision of other services at the request of clients.</w:t>
      </w:r>
    </w:p>
    <w:p>
      <w:r>
        <w:t>(15) MSC encompasses the complete process of goods transportation. In this sense, it offers its clients a service that covers all aspects related to the export or import of goods, including activities related to the loading and receipt of the goods transported by the ship and their land transport (folio 838).</w:t>
      </w:r>
    </w:p>
    <w:p>
      <w:r>
        <w:t>In order to facilitate the understanding of the facts being analyzed, the DC in its Proposal for Filing refers to the activity of container transport by road in the Port of Valencia as follows:</w:t>
      </w:r>
    </w:p>
    <w:p>
      <w:r>
        <w:t>(16) "The Council of the National Competition Commission (currently the National Commission of Markets and Competition) described in the Resolution of file S/0314/10, Port of Valencia, dated September 27, 2013, the operation of land transport of containers in the Port of Valencia in the following terms.</w:t>
      </w:r>
    </w:p>
    <w:p>
      <w:r>
        <w:t>(17) "In the activity of land transport of containers in the Port of Valencia, at least four types of figures are present: freight forwarders (in this file, ATEIA-OLT VALENCIA), consignees (in this file, the ANV), transport companies (in this file ELTC or TRANSCONVAL), and self-employed transporters (in this file, those associated with TRANSCONT COMUNIDAD VALENCIANA).</w:t>
      </w:r>
    </w:p>
    <w:p>
      <w:r>
        <w:t>(18) Consignees can be of two types: cargo consignees – to which the following paragraph refers – and ship consignees. The "ship consignees" act on behalf of the maritime carrier or shipowner who appoints them and are responsible for carrying out all services and administrative procedures related to the docking of the ships of that shipowner in the port where the ship consignee operates, as well as all procedures related to the goods and/or passengers transported on them. No administrative authorization is required to be a ship consignee, but it is necessary to be registered at the corresponding port and to comply with the requirements imposed by its Port Authority. Thus, ship consignees execute the land phases of maritime transport, such as the delivery and receipt of cargo, having two basic functions: a commercial one - in contact with freight forwarders and shippers to offer them the transport services of the shipping company - and an administrative one - in which they provide services to the ship and crew, carrying out the procedures related to a ship's stay in port, such as provisioning and cleaning of the holds.</w:t>
      </w:r>
    </w:p>
    <w:p>
      <w:r>
        <w:t>(19) Freight forwarders, often consignees of the cargo, are the individuals to whom a shipment is addressed, that is, an agent of the recipients of the goods who, on their behalf, takes charge of the shipment, having paid the corresponding freight. The activity carried out by freight forwarders is to organize the logistics chain in relation to foreign trade, warehouse operators, transporters, customs clearance, and intervention before customs authorities on behalf of their clients, the importers and exporters, or in goods in customs transit. Thus, freight forwarders are responsible for resolving all bureaucratic procedures, contracting the necessary insurance, tracking the goods, and promptly informing the client, among other functions. To carry out their activity, it is necessary to possess an administrative authorization, known as the "Transport Operator Authorization" or "OT Authorization"). (Art. 126 of Law 16/1987 of July 30, on the Regulation of Land Transport).</w:t>
      </w:r>
    </w:p>
    <w:p>
      <w:r>
        <w:t>(20) Therefore, the contracting party for the land transport service is generally a consignee or a freight forwarder, who passes the order to a road transport company, which is responsible for transporting the products by truck to or from the Port of Valencia. These companies often do not have their own fleet of trucks or, if they do, it is not always sufficient to provide the entire volume of contracted services, which is why self-employed transporters are often subcontracted to carry out the service (folios 453-455, 476, and 561 and Resolution of the CNC Council in file 623/07, Transport of Barcelona). Therefore, it can be said that generally, the clients of transport companies are usually the owners of the goods (or, in their case, the freight forwarders or consignees), while the clients of self-employed transporters are the transport companies themselves and, occasionally, end clients.</w:t>
      </w:r>
    </w:p>
    <w:p>
      <w:r>
        <w:t>(21) Due to the customs status of the Port of Valencia, customs agents and brokers also frequently intervene, performing intermediary functions between importers/exporters and the customs administration to carry out the necessary procedures for the clearance of goods.</w:t>
      </w:r>
    </w:p>
    <w:p>
      <w:r>
        <w:t>(22) Furthermore, in general, port terminals have as their main activity the provision of port services for the handling of goods, consisting of loading and unloading, stowage and unstowage, maritime transit, and transshipment of goods, all in accordance with the provisions of Article 109 and subsequent articles of Royal Legislative Decree 2/2011, of September 5, which approves the consolidated text of the Law on State Ports and Merchant Marine."</w:t>
      </w:r>
    </w:p>
    <w:p>
      <w:r>
        <w:t>Based on the reported facts and the requested information, the DC considers the following facts established in its Proposal for Filing:</w:t>
      </w:r>
    </w:p>
    <w:p>
      <w:r>
        <w:t>(23) "Table 1 shows MSC's shares in the ship consignment activity in the Port of Valencia in the years 2010, 2011, 2012, and up to August 2013, which MSC has calculated based on its internal data and the total data of the Port of Valencia published by the Port Authority of Valencia (APV). The percentage is obtained by calculating the total TEUs that MSC imports and exports from the Port of Valencia (for which MSC performs consignment tasks) over the total TEUs that are</w:t>
      </w:r>
    </w:p>
    <w:p>
      <w:r>
        <w:rPr>
          <w:b/>
        </w:rPr>
        <w:t>[Pages 7–9]</w:t>
      </w:r>
    </w:p>
    <w:p>
      <w:r>
        <w:t xml:space="preserve">import or export from the Port of Valencia, which is the total number of TEUs for which consignment services are provided at the Port of Valencia (folio 840).  </w:t>
        <w:br/>
        <w:t xml:space="preserve">Table 1  </w:t>
        <w:br/>
        <w:t xml:space="preserve">MSC's shares in consignment activity at the Port of Valencia (in %)  </w:t>
        <w:br/>
        <w:t xml:space="preserve">2010 2011 2012 2013  </w:t>
        <w:br/>
        <w:t xml:space="preserve">[30-40%] [20-30%] [20-30%] [20-30%]  </w:t>
        <w:br/>
        <w:t xml:space="preserve">Source: prepared by the Competition Directorate based on data provided by MSC (confidential folio 828).  </w:t>
        <w:br/>
        <w:t xml:space="preserve">(24) The file contains a communication dated March 1, 2010, from MSC addressed to the President of the APV in which MSC states that its presence "in the total cargo market does not exceed 32% and there is 68% in the hands of other Carriers" (folio 66).  </w:t>
        <w:br/>
        <w:t xml:space="preserve">(25) In the ship consignment activity at the Port of Valencia, from the information provided by MSC and the APV Statistical Yearbook of 2011 (folios 848 to 863), it is evident that there are several lines for which MSC and its competitors provide ship consignment services. In this regard, MSC claims to have around thirty-three competitors, including A. Pérez y Cia, S.L., Agencia Marítima Evge Valencia, Agencia Marítima Sea Spain, S.A., Bergé Marítima, S.L., Marítima del Mediterráneo, S.A., Hanjin Spain, S.A., Hapag-Lloyd Spain, S.L., China Shipping (Spain) AG.S.L. (folio 841).  </w:t>
        <w:br/>
        <w:t xml:space="preserve">(26) According to the information provided by MSC, regarding its maritime transport activity of goods, this entity operates different routes with origin or destination at the Port of Valencia in which it competes with other companies (folios 839 to 840).  </w:t>
        <w:br/>
        <w:t xml:space="preserve">(27) Within the container transport activity at the Port of Valencia, MSC offers the service in three ways (folio 843):  </w:t>
        <w:br/>
        <w:t xml:space="preserve">a. Through MSC's own fleet of carriers, which represents, according to this entity, a minimal part of its activity.  </w:t>
        <w:br/>
        <w:t xml:space="preserve">b. Through the subcontracting by MSC of the rest of the transport to various collaborating transport companies, also referred to as "flotistas," which daily provide their services to meet MSC's order flow. According to MSC, the flotistas are free to contract with whomever they deem appropriate; these transport companies can hire freelancers to carry out the transport service (folio 844).  </w:t>
        <w:br/>
        <w:t xml:space="preserve">c. There are cases where the transport is managed directly by the client. In those cases, MSC transfers its container to a third party - the freight forwarder - who contracts the transport service with the carrier. MSC is not involved in that relationship (folio 845).  </w:t>
        <w:br/>
        <w:t xml:space="preserve">(28) Regarding MSC's own fleet of trucks, the file contains a communication dated March 1, 2010, from MSC addressed to the President of the APV in which MSC stated that it had a fleet of 25 vehicles at that time (folio 65).  </w:t>
        <w:br/>
        <w:t xml:space="preserve">(29) Regarding subcontracting, MSC clarifies that this entity usually contracts transport with transport companies and occasionally with freelancers. For this purpose, MSC provides the historical record of carriers that have collaborated with MSC during the period from 2010 to August 2013 (confidential folios 864 to 871). This document shows a varied list of companies and includes carriers from all associations such as Transconval, ELTC, and Transcont. MSC adds that none of these companies work exclusively for MSC nor have any other ties with MSC (folios 844 to 845).  </w:t>
        <w:br/>
        <w:t xml:space="preserve">(30) In the same communication mentioned above dated March 1, 2010, MSC claims to have at its disposal a group of transport companies that offer their services with some exclusivity. Among all these companies, "they have a fleet of 232 vehicles and a group of freelancers estimated at approximately 60 people" (folio 65).  </w:t>
        <w:br/>
        <w:t xml:space="preserve">(31) The following table shows the percentage of container transport services provided to MSC by various associations at the Port of Valencia during the years 2010, 2011, 2012, and up to August 2013. The concept of "OTHERS" includes the names of various cities in Spain, as well as the designations "A.I.T." and "FREELANCERS." Furthermore, from the information provided by MSC, this entity does not know to which association some freelancers or container transport companies belong, as evidenced by the symbols "?" (confidential folios 864 to 871).  </w:t>
        <w:br/>
        <w:t xml:space="preserve">Table 2  </w:t>
        <w:br/>
        <w:t xml:space="preserve">% of container transport services provided to MSC by various associations at the Port of Valencia  </w:t>
        <w:br/>
        <w:t xml:space="preserve">Associations 2010 2011 2012 2013  </w:t>
        <w:br/>
        <w:t xml:space="preserve">ELTC 40-50% 20-30% 20-30% 40-50%  </w:t>
        <w:br/>
        <w:t xml:space="preserve">TRANSCONVAL 10-20% 30-40% 30-40% 20-30%  </w:t>
        <w:br/>
        <w:t xml:space="preserve">OTHERS 10-20% 20-30% 20-30% 0-10%  </w:t>
        <w:br/>
        <w:t xml:space="preserve">UNKNOWN TO MSC 30-40% 10-20% 10-20% 20-30%  </w:t>
        <w:br/>
        <w:t xml:space="preserve">Source: prepared by the Competition Directorate based on information provided by MSC (confidential folios 864 to 871).  </w:t>
        <w:br/>
        <w:t xml:space="preserve">(32) On the other hand, according to MSC, this entity subcontracts directly with the transport company and never through its association. This subcontracting relationship is usually stable, although variations may occur due to reasons such as lack of agreement or the closure of the company, among others (folio 845).  </w:t>
        <w:br/>
        <w:t xml:space="preserve">(33) At the time of filing the complaint, according to ELTC, its associates work directly for practically all the consignees operating at the Port of Valencia, except for MSC, and indirectly for all of them (folio 584). The members of ELTC contract the transport service indistinctly with the consignees and with the freight forwarders (folio 584).  </w:t>
        <w:br/>
        <w:t xml:space="preserve">(34) According to the statements of MSC, the load combination system constitutes "the optimization of empty return in import through obtaining an export load." According to MSC, this system is usually used by large transport operators due to their capacity to access export loads and implies a significant logistical saving since it does not incur any cost per movement (folios 841 to 842). Thus, ELTC acknowledges that other consignees at the Port of Valencia employ this system to "procure greater efficiency and profitability among the operators involved in those transport operations" (folios 589 to 590).  </w:t>
        <w:br/>
        <w:t xml:space="preserve">(35) According to MSC, several requirements must be met to use this system (folio 842):  </w:t>
        <w:br/>
        <w:t xml:space="preserve">a. That the container is in good condition, that is, the receiver in import has not reported any damage to the unit;  </w:t>
        <w:br/>
        <w:t xml:space="preserve">b. That the equipment is compatible, that is, the characteristics of the equipment requested for the export load must match those of the empty equipment;  </w:t>
        <w:br/>
        <w:t xml:space="preserve">c. That there is no incompatibility between the unloaded goods and the goods to be loaded for export, as in that case the unit must necessarily go through the base or the unit must be directly serviced (cleaning, disinfection, or request for reinforced container);  </w:t>
        <w:br/>
        <w:t>d. That the export loading point is at an optimal distance; otherwise, it compensates for sending a unit directly from the base or terminal, and;</w:t>
      </w:r>
    </w:p>
    <w:p>
      <w:r>
        <w:rPr>
          <w:b/>
        </w:rPr>
        <w:t>[Pages 10–12]</w:t>
      </w:r>
    </w:p>
    <w:p>
      <w:r>
        <w:t xml:space="preserve">e. That the expected time of arrival at the loading point is satisfactory for the client.  </w:t>
        <w:br/>
        <w:t xml:space="preserve">(36) In cases of container transfer, MSC issues a document called "Entréguese" which is used by the freight forwarder for the withdrawal of the container (full container in the case of import or empty in the case of export) from the Container Terminal or from one of the deposit bases with which MSC operates (folio 846).  </w:t>
        <w:br/>
        <w:t xml:space="preserve">(37) The concept of "container transfer" or "on Wheel" that is billed in the case of equipment transfer corresponds to the logistical expense involved in moving the container within the container terminal or the deposit base. In October 2013, MSC claims to bill (confidential) for such operations, although that amount is negotiable depending on the volume of cargo represented by each client (folio 846). There are emails from MSC in the file communicating the aforementioned amount (confidential) to be paid for the container transfer (folios 612 to 614).  </w:t>
        <w:br/>
        <w:t xml:space="preserve">(38) MSC claims to be unaware of the commercial practices of its competitors regarding this concept. However, MSC believes that since it is a clear concept widely known throughout the port community, all operators that allow the transfer of the container for transport will have this cost and, therefore, will charge it to their clients (folio 846). In this regard, ELTC states the possibility that some other consignee at the Port of Valencia different from MSC may also apply this surcharge, although it does not provide any document to substantiate this (folio 589).  </w:t>
        <w:br/>
        <w:t xml:space="preserve">(39) On the other hand, ELTC has acknowledged that this concept is "an additional compensation for expenses that must be paid by the party contracting the availability of a container (usually a freight forwarder) due to obtaining its transfer for transport. It must be paid to the holder of the container, to the consignee" (folio 587) and has stated that it is a concept defined by the Billing Guide of the Guarantee Brand of the Port of Valencia, as "compensation for expenses for the transfer of the container for its transport" (folio 27).  </w:t>
        <w:br/>
        <w:t xml:space="preserve">THIRD.- Legal Assessment  </w:t>
        <w:br/>
        <w:t xml:space="preserve">As noted, the purpose of this resolution is to determine whether, as the Directorate of Competition asserts, MSC's conduct at the Port of Valencia does not present indications of infringement of the LDC and, specifically, of its articles 2 and 3 and, therefore, the proceedings should be archived, in accordance with article 49.3 of the LDC.  </w:t>
        <w:br/>
        <w:t xml:space="preserve">In relation to the analysis of the reported facts, the Proposal for Archiving from the DC conducts the following analysis of the possible infringements of the LDC arising from the reported conduct of MSC:  </w:t>
        <w:br/>
        <w:t xml:space="preserve">(41) First, regarding the complaint that MSC only contracts container transport services at the Port of Valencia with its own fleet and with the transporters of TRANSCONVAL, MSC provides documentation showing that, from 2010 to August 2013, it has contracted with several self-employed individuals belonging to the various associations of container transport companies or self-employed individuals at the Port of Valencia, namely Transcont, ELTC, and Transconval. Furthermore, according to Table 2, MSC contracts a greater number of ELTC associates than from other associations, especially in 2010 and in the months between January and August 2013 (between 30 and 40%) (paragraphs 27 to 31). In this context, the statement from ELTC makes sense, acknowledging that its associates work directly for other operators at the Port of Valencia different from MSC, and indirectly for all operators at the Port of Valencia, adding that TRANSCONVAL associates do not work exclusively for MSC at the Port of Valencia (paragraph 33).  </w:t>
        <w:br/>
        <w:t xml:space="preserve">(42) Second, ELTC alleges that MSC, as a consignee of ships, uses the load combination system on those routes where only this entity operates. From the information provided by MSC, it follows that this entity does not operate exclusive routes, but rather conducts several routes competing both in transport and in consignment with other operators (paragraphs 25 and 26).  </w:t>
        <w:br/>
        <w:t xml:space="preserve">(43) The load optimization system is defined by MSC as "the optimization of empty return in import through obtaining an export load," understanding that it is merely a commercial policy used by major companies, such as MSC, to save on costs. Additionally, MSC indicates a series of necessary requirements for this load combination to be utilized (paragraphs 34 and 35). These requirements can be classified as objective, so this Directorate does not consider it to be an arbitrary system of MSC, but rather a system that, if the aforementioned requirements are met, optimizes the return of an empty container. ELTC itself has acknowledged that this system is used by other operators at the Port of Valencia in order to achieve "greater efficiency and profitability" among the operators involved in container transport operations (paragraph 34).  </w:t>
        <w:br/>
        <w:t xml:space="preserve">(44) Third, regarding the so-called surcharge for the "container transfer" or also referred to as "on wheel," MSC states that it is an amount charged to its clients for the transfer of the container and as a consequence of the expenses incurred in moving the container at the terminal, being able to negotiate that amount depending on the volume of cargo of each client (paragraphs 36 to 37). This Directorate understands that surcharge as an objective and non-discriminatory concept to be paid to MSC for a service it provides, which consists of making the container available to a freight forwarder. ELTC itself states that it is a concept defined by the Billing Guide of the Guarantee Brand of the Port of Valencia (paragraph 39), which leads to the conclusion that this concept will be applied by operators incurring that expense, as MSC has stated and ELTC has acknowledged (paragraph 38).  </w:t>
        <w:br/>
        <w:t xml:space="preserve">(45) Having contrasted the facts reported by ELTC with the information provided by MSC and the scant evidentiary documentation provided by ELTC, despite having been informed by this Directorate of its importance for the instruction (folios 559 and 560), the Directorate of Competition deduces that there are no indications that the various reported practices constitute an infringement of article 2 or article 3 of the LDC.  </w:t>
        <w:br/>
        <w:t xml:space="preserve">(46) On one hand, article 2 of the LDC prohibits "the abusive exploitation by one or several companies of their dominant position in all or part of the national market."  </w:t>
        <w:br/>
        <w:t xml:space="preserve">(47) The declaration of an infringement of article 2 of the LDC requires demonstrating, cumulatively, the dominant position of the company and the abusive nature of the investigated practice. Therefore, it is sufficient that one of the two requirements is not met for the infringement not to be confirmed.  </w:t>
        <w:br/>
        <w:t xml:space="preserve">(48) In the present case, from the content of paragraph 23, the Directorate of Competition concludes that MSC does not hold a dominant position as a consignee at the Port of Valencia since its market share in consignment at the Port of Valencia was around [30-40%] in 2010, decreasing in the years 2011 to 2013 to [20-30%] (paragraphs 23 and 24). On the other hand, MSC claims to compete in that same activity with more than thirty operators (paragraph 25).  </w:t>
        <w:br/>
        <w:t xml:space="preserve">(49) Therefore, as the first of the legal requirements of article 2 of the LDC is not met, the Directorate of Competition understands that there are no indications that the conduct reported by ELTC constitutes an infringement of the aforementioned article.  </w:t>
        <w:br/>
        <w:t xml:space="preserve">(50) On the other hand, article 3 of the LDC prohibits "acts of unfair competition that, by distorting free competition, affect the public interest." That is, not every act that violates Law 3/1991, of January 10, on Unfair Competition falls under the prohibition of article 3 of the LDC, but only those that distort free competition and therefore affect the public interest protected by the LDC.  </w:t>
        <w:br/>
        <w:t>(51) Thus, in the Resolution of June 26, 2013, of file S/0458/13 ASCENSORES 3, the Council of the CNC, in the second Legal Basis states: "Therefore, the infringement of the rules of unfair competition does not automatically constitute an infringement of article 3 of the LDC, but the conduct must imply a distortion of the</w:t>
      </w:r>
    </w:p>
    <w:p>
      <w:r>
        <w:rPr>
          <w:b/>
        </w:rPr>
        <w:t>[Pages 13–14]</w:t>
      </w:r>
    </w:p>
    <w:p>
      <w:r>
        <w:t>the competition and therefore affect the public interest. For this reason, in various precedents, the Council has indicated that it must first analyze whether there are indications of distortion of competition in the reported behaviors and in the described facts, since if there are none, regardless of whether there is an infringement of one or more articles of the LCD, the proceedings will be archived according to article 49.3 of the LDC (RCNC of May 12, 2011, Expte. S/0308/10, Technical Professional Group of Real Estate Advisors 2; RCNC of November 28, 2011, S/0370/11 APPLE; RCNC of December 17, 2010; S/0259/10 ALTER MUTUA ABOGADOS).”</w:t>
      </w:r>
    </w:p>
    <w:p>
      <w:r>
        <w:t>(52) In the same vein, in the Resolution of the Council of the CNC of the file S/0350/11, Roadside Assistance, the third Legal Basis states: “The application of the Law on Unfair Competition corresponds to the Courts of Justice, and the Competition Authority is only empowered to make a reproach of unfair competition when the judged conduct, given the legal and economic context in which it occurs, is suitable to restrict effective competition in the market, which is the public interest protected by the LDC. Consequently, in the event of a complaint of infringement of article 3 of the LDC, the instructing body must analyze, first of all, the concurrence of the requirement of affecting the public interest, taking into account factors such as the nature of the conduct, the structure of the market, the affected good or service, etc.; that is, the affected legal and economic context, so that if after this analysis there are no indications that the conduct is suitable to distort effective competition, it is not only superfluous to carry out a legal qualification of the conduct from the perspective of Unfair Competition Law, but such qualification lacks all legal relevance to the extent that the requirement enabling the Competition Authority to sanction acts of unfair competition does not concur.”</w:t>
      </w:r>
    </w:p>
    <w:p>
      <w:r>
        <w:t>(53) Consequently, even if the actions reported constituted an unfair act, it would also be necessary to justify that they have caused serious harm to competition and the public interest.</w:t>
      </w:r>
    </w:p>
    <w:p>
      <w:r>
        <w:t>(54) In the present case, the Competition Directorate does not find indications that MSC's conduct negatively affects the public interest, but rather that the subcontracting of carriers, load combination, and container transfer policy appear to be commercial decisions of MSC based on objective and non-discriminatory criteria, aimed at optimizing its performance. Additionally, ELTC has not demonstrated the economic harm caused by MSC's practices, nor has it justified the causal relationship between the allegedly unfair practices of MSC and the alleged harms, as well as how the unfair acts would have significantly affected the functioning of the market. Therefore, the Competition Directorate concludes that there are no indications that the practices reported by ELTC constitute an infringement of article 3 of the LDC.</w:t>
      </w:r>
    </w:p>
    <w:p>
      <w:r>
        <w:t>(55) However, if there were an unfair act that violated Law 3/1991, of January 10, on Unfair Competition, ELTC could go to the ordinary courts, competent to resolve private conflicts between parties. Consequently, the proposal report that the DC submits to the Council of the CNMC on July 4, 2013, proposes: “Therefore, in accordance with the provisions of article 49.3 of Law 15/2007, of July 3, on the Defense of Competition, it is proposed not to initiate the sanctioning procedure, as well as to archive the proceedings followed as a result of the complaint filed by the Association of Logistics and Container Transport Companies (ELTC), considering that there are no indications of infringement of the aforementioned Law.” This Chamber shares the arguments put forth by the DC that dismiss the existence of an infringement of the LDC, considering that there are no indications of infringement of the LDC in the analyzed behaviors.</w:t>
      </w:r>
    </w:p>
    <w:p>
      <w:r>
        <w:t>For all the above, having regard to the cited legal and regulatory provisions and the others of general application, this COMPETITION CHAMBER of the National Commission of Markets and Competition, in the Plenary Session of February 13, 2014,</w:t>
      </w:r>
    </w:p>
    <w:p>
      <w:r>
        <w:t>HAS RESOLVED</w:t>
      </w:r>
    </w:p>
    <w:p>
      <w:r>
        <w:t>SOLE.- To order the archiving of the proceedings that make up the reserved information file S/0478/13 MSC, in accordance with the provisions of article 49.3 of Law 15/2007, of July 3, on the Defense of Competition, considering that there are no indications of infringement of the aforementioned Law.</w:t>
      </w:r>
    </w:p>
    <w:p>
      <w:r>
        <w:t>Communicate this Resolution to the Competition Directorate of this National Commission of Markets and Competition and notify it reliably to the complainant and the complained party, informing them that there is no appeal against it in the administrative prior route, being able to do so within TWO MONTHS counted from the day following the notification of this Resolution, before the contentious-administrative jurisdiction, the National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