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https://www.cnmc.es/expedientes/s048213</w:t>
      </w:r>
    </w:p>
    <w:p>
      <w:r>
        <w:t>Pages translated : 106</w:t>
      </w:r>
    </w:p>
    <w:p/>
    <w:p>
      <w:r>
        <w:rPr>
          <w:b/>
        </w:rPr>
        <w:t>[Pages 1–3]</w:t>
      </w:r>
    </w:p>
    <w:p>
      <w:r>
        <w:t xml:space="preserve">RESOLUTION  </w:t>
        <w:br/>
        <w:t xml:space="preserve">(Exp. S/0482/13 Automobile Manufacturers)  </w:t>
        <w:br/>
        <w:t xml:space="preserve">COMPETITION CHAMBER  </w:t>
        <w:br/>
        <w:t xml:space="preserve">President  </w:t>
        <w:br/>
        <w:t xml:space="preserve">Mr. José María Marín Quemada  </w:t>
        <w:br/>
        <w:t xml:space="preserve">Counselors  </w:t>
        <w:br/>
        <w:t xml:space="preserve">Ms. María Ortiz Aguilar  </w:t>
        <w:br/>
        <w:t xml:space="preserve">Mr. Benigno Valdés Díaz  </w:t>
        <w:br/>
        <w:t xml:space="preserve">Ms. Idoia Zenarrutzabeitia Beldarraín  </w:t>
        <w:br/>
        <w:t xml:space="preserve">Secretary  </w:t>
        <w:br/>
        <w:t xml:space="preserve">Mr. Tomás Suárez-Inclán González  </w:t>
        <w:br/>
        <w:t>In Madrid, on July 23, 2015</w:t>
      </w:r>
    </w:p>
    <w:p>
      <w:r>
        <w:t>The Competition Chamber of the National Commission of Markets and Competition (CNMC) has issued this Resolution in the file S/0482/13 Automobile Manufacturers, initiated by the former Directorate of Investigation (DI) of the National Competition Commission (CNC), against various companies for alleged restrictive competition practices prohibited under Article 1 of Law 16/1989, of July 17, on the Defense of Competition (Law 16/1989), Article 1 of Law 15/2007, of July 3, on the Defense of Competition (LDC), and Article 101 of the Treaty on the Functioning of the European Union.</w:t>
      </w:r>
    </w:p>
    <w:p>
      <w:r>
        <w:t xml:space="preserve">FACTUAL BACKGROUND  </w:t>
        <w:br/>
        <w:t xml:space="preserve">(1) In accordance with Article 65.1 of the LDC, SEAT, S.A. submitted on June 25, 2013, a request for exemption from the payment of the fine or, subsidiarily, for a reduction of the amount of the fine, in favor of the aforementioned company, all its direct and indirect subsidiaries, and the group to which SEAT belongs, for the commission of an infringement of Article 1 of the LDC consisting of agreements for the exchange of commercially sensitive and strategic information between manufacturing and distributing companies of automobile brands in Spain.  </w:t>
        <w:br/>
        <w:t xml:space="preserve">(2) This request for exemption from the payment of the fine, along with the documentation submitted, provided information and evidence regarding the essential elements of the infringement, which was subsequently completed on July 16 and 18, 2013, March 20, and April 28, 2014.  </w:t>
        <w:br/>
        <w:t xml:space="preserve">(3) On July 23, 2013, the DI granted conditional exemption to SEAT, as well as to its direct or indirect subsidiaries and the entities that make up the group to which SEAT belongs, under Article 65.1.a) of the LDC, for being the first company to provide evidence that, in the opinion of the DI, allowed it to order the development of an inspection in relation to the cartel described in the aforementioned request for exemption from the payment of the fine.  </w:t>
        <w:br/>
        <w:t xml:space="preserve">(4) From July 23 to 26, 2013, inspections were carried out at the headquarters of TOYOTA ESPAÑA, S.L., NISSAN IBERIA, S.A., SNAP-ON BUSINESS SOLUTIONS, S.L., and RENAULT ESPAÑA COMERCIAL, S.A. During these inspections, access was obtained to certain information according to which various manufacturers and/or distributors of motor vehicles may have engaged in anti-competitive practices.  </w:t>
        <w:br/>
        <w:t xml:space="preserve">(5) On August 30, 2013, in accordance with Article 49.1 of the LDC, the initiation of file S/0482/13 Automobile Manufacturers was agreed against NISSAN IBERIA, S.A., RENAULT ESPAÑA, S.A., TOYOTA ESPAÑA, S.L., CHRYSLER ESPAÑA, S.L., GENERAL MOTORS ESPAÑA, S.L.U., FIAT GROUP AUTOMOBILES SPAIN, S.A., FORD ESPAÑA, S.L., HYUNDAI MOTOR ESPAÑA, S.L.U., HONDA AUTOMÓVILES ESPAÑA, S.A. (currently, HONDA MOTOR EUROPE LIMITED, BRANCH IN SPAIN), KIA MOTORS IBERIA, S.L., PEUGEOT CITROEN AUTOMÓVILES ESPAÑA, S.A., VOLKSWAGEN AUDI ESPAÑA, S.A., SEAT, S.A., URBAN SCIENCE ESPAÑA, S.L.U., and SNAP-ON BUSINESS SOLUTIONS, S.L., for a restrictive competition practice prohibited under Article 1 of the LDC, consisting of agreements for the exchange of commercially sensitive and strategic information between manufacturing and distributing companies of motor vehicles in Spain.  </w:t>
        <w:br/>
        <w:t xml:space="preserve">(6) On September 2, 2013, TOYOTA ESPAÑA, S.L., SNAP-ON BUSINESS SOLUTIONS, S.L., RENAULT ESPAÑA, S.A., and NISSAN were notified of the agreement to incorporate the documentation in paper format collected during the inspections carried out at the headquarters of these companies.  </w:t>
        <w:br/>
        <w:t xml:space="preserve">(7) On October 15, 2013, the Directorate of Competition sent a request for information to CHRYSLER ESPAÑA, S.L., FIAT S.P.A. S.A., FORD ESPAÑA, S.L. (FORD), GENERAL MOTORS ESPAÑA, S.L.U., HONDA MOTOR EUROPE LIMITED BRANCH IN SPAIN, HYUNDAI MOTOR ESPAÑA, S.L.U., KIA MOTORS IBERIA, S.L., NISSAN IBERIA, S.A., PEUGEOT CITROEN AUTOMÓVILES ESPAÑA, S.A., RENAULT ESPAÑA, S.A., SEAT, S.A., TOYOTA ESPAÑA, S.L., and VOLKSWAGEN-AUDI ESPAÑA, S.A., regarding their object, organizational and functional structure, share capital, and market of automobile distribution (pages 2962 to 2963), as well as to SNAP-ON BUSINESS SOLUTIONS, S.L., on October 23, 2013. The responses to the requests for information were received between October 29, 2013, and November 8, 2013.  </w:t>
        <w:br/>
        <w:t xml:space="preserve">(8) On October 28, 2013, IBERIA MOTOR COMPANY, S.A. requested its status as an interested party in the file based on its status as a customer of SEAT, S.A., one of the automobile distributing companies involved in the sanctioning file (pages 3111 to 3200). On October 30, 2013, the Director of Competition denied the status of interested party in the file to IBERIA MOTOR COMPANY, S.A. (pages 3202 to 3210). On November 15, 2013, IBERIA MOTOR COMPANY, S.A. filed an appeal before the Council of the CNMC against the aforementioned agreement of the Directorate of Competition denying it the status of interested party in the file. On November 19, 2013, the Director of Competition agreed to suspend the maximum resolution period of the procedure until the day following the resolution by the Council of the CNMC of the appeal filed by IBERIA MOTOR COMPANY, S.A. On December 3, 2013, the Director of Competition adopted the agreement to lift the suspension of the maximum resolution period following the Resolution of the Council of the CNMC of November 21, 2013, dismissing the appeal filed by IBERIA MOTOR COMPANY, S.A. (Exp. R/0159/13 IBERIA MOTOR COMPANY, S.A.).  </w:t>
        <w:br/>
        <w:t xml:space="preserve">(9) On December 5, 2013, SNAP-ON BUSINESS SOLUTIONS, S.L. filed an appeal against the agreement of the Directorate of Competition of December 3, which denied the requested confidentiality. On December 13, 2013, the Director of Competition agreed to suspend the maximum resolution period of the procedure until the day following the resolution by the Council of the CNMC of the appeal filed by SNAP-ON BUSINESS SOLUTIONS, S.L. On February 24, 2014, the Director of Competition agreed to lift the suspension of the maximum resolution period following the Resolution of the Council of the CNMC of February 7, 2014, dismissing the appeal filed by SNAP-ON BUSINESS SOLUTIONS, S.L. (Exp. R/0161/13 SBS).  </w:t>
        <w:br/>
        <w:t xml:space="preserve">(10) On February 21, 2014, the Directorate of Competition sent a request for information to the companies AUTOMOVILES CITROËN ESPAÑA, S.A., BMW IBERICA, S.A.U., B&amp;M AUTOMÓVILES ESPAÑA, S.A., CHEVROLET ESPAÑA S.A., MAZDA AUTOMOVILES ESPAÑA, S.A., MERCEDES-BENZ ESPAÑA, S.A., PEUGEOT ESPAÑA S.A., PORSCHE IBERICA, S.A., and VOLVO CAR ESPAÑA, S.L.U. regarding their object, organizational and functional structure, share capital, and market of automobile distribution. This request was answered between March 6 and 27, 2014.  </w:t>
        <w:br/>
        <w:t xml:space="preserve">(11) On May 5, 2014, the Directorate of Competition agreed to expand the initiation of the file against AUTOMÓVILES CITROËN ESPAÑA, S.A., B&amp;M AUTOMÓVILES ESPAÑA, S.A., BMW IBÉRICA, S.A.U., CHEVROLET ESPAÑA, S.A., MAZDA AUTOMÓVILES ESPAÑA, S.A., MERCEDES BENZ ESPAÑA, S.A., ORIO SPAIN, S.L., PEUGEOT ESPAÑA, S.A., PORSCHE IBÉRICA, S.A., RENAULT ESPAÑA COMERCIAL, S.A., and VOLVO CAR ESPAÑA, S.L.U., for restrictive competition practices prohibited under Article 1 of Law 16/1989, Article 1 of the LDC, and Article 101 of the TFEU.  </w:t>
        <w:br/>
        <w:t>(12) On May 5, 2014, information was requested from the NATIONAL ASSOCIATION OF IMPORTERS OF AUTOMOBILES, TRUCKS, BUSES, AND MOTORCYCLES (ANIACAM), which was answered on May 19, 2014 (pages 21510 to 21512). On May 6, 2014, information was requested from ORIO SPAIN, S.L., which was answered on May 21, 2014.</w:t>
      </w:r>
    </w:p>
    <w:p>
      <w:r>
        <w:rPr>
          <w:b/>
        </w:rPr>
        <w:t>[Pages 4–6]</w:t>
      </w:r>
    </w:p>
    <w:p>
      <w:r>
        <w:t xml:space="preserve">(13) On June 13, 2014, FORD ESPAÑA, S.L. submitted a request to initiate negotiations aimed at the conventional termination of the file (folios 21648 to 21652), which was denied by the agreement of the Director of Competition on June 17, 2014 (folios 21671 to 21672).  </w:t>
        <w:br/>
        <w:t xml:space="preserve">(14) On June 16, 2014, the companies AUTOMOVILES CITROËN ESPAÑA, S.A., FIAT S.P.A. S.A., HONDA MOTOR EUROPE LIMITED BRANCH IN SPAIN, HYUNDAI MOTOR ESPAÑA, S.L.U., KIA MOTORS IBERIA, S.L., PEUGEOT CITROEN AUTOMÓVILES ESPAÑA, PEUGEOT ESPAÑA S.A., TOYOTA ESPAÑA, S.L submitted a request to initiate negotiations aimed at the conventional termination of the reference file (folios 21660 to 21667), which was denied by the Agreement of the Director of Competition on June 18, 2014 (folios 21694 to 21704).  </w:t>
        <w:br/>
        <w:t xml:space="preserve">(15) On June 26, 2014, FORD ESPAÑA S.L. filed an appeal against the agreement of the Director of Competition of June 17, 2014 denying the initiation of the conventional termination of the file (Expte. R/0271/14 Automobile Manufacturers).  </w:t>
        <w:br/>
        <w:t xml:space="preserve">(16) On July 3, 2014, the Director of Competition agreed to suspend the maximum resolution period of the procedure until the day following the resolution by the Council of the CNMC of the appeal filed by FORD ESPAÑA, S.L. (Expte. R/AJ/0271/14 Automobile Manufacturers).  </w:t>
        <w:br/>
        <w:t xml:space="preserve">(17) On July 4, 2014, AUTOMOVILES CITROËN ESPAÑA, S.A., FIAT S.P.A. S.A., HONDA MOTOR EUROPE LIMITED BRANCH IN SPAIN, HYUNDAI MOTOR ESPAÑA, S.L.U., KIA MOTORS IBERIA, S.L., PEUGEOT CITROEN AUTOMÓVILES ESPAÑA, PEUGEOT ESPAÑA S.A., TOYOTA ESPAÑA, S.L filed an appeal against the agreement of the Director of Competition of June 18, 2014 denying the initiation of the conventional termination (Expte. R/AJ/0276/14, AUTOMOBILE MANUFACTURERS 2).  </w:t>
        <w:br/>
        <w:t xml:space="preserve">(18) On July 14, 2014, the Director of Competition agreed to maintain the suspension of the maximum resolution period of the procedure until the day following the resolution by the Council of the CNMC of the aforementioned appeal R/AJ/0276/14.  </w:t>
        <w:br/>
        <w:t xml:space="preserve">(19) On September 14, 2014, the Director of Competition agreed to lift the suspension of the maximum period for resolving the procedure, after the Council of the CNMC dismissed the appeals R/AJ/0271/14 Automobile Manufacturers and R/AJ/0276/14 Automobile Manufacturers 2 on September 11, 2014 (folios 22329 to 22333).  </w:t>
        <w:br/>
        <w:t xml:space="preserve">(20) On October 27, 2014, the Directorate of Competition resolved the confidentiality requested by SEAT regarding the documentation submitted in its request for exemption from the payment of the fine (folios 22382 to 22393).  </w:t>
        <w:br/>
        <w:t xml:space="preserve">(21) On October 27, 2014, M.CONDE, independent dealer of motor vehicles of the VOLKSWAGEN brand, requested to be an interested party in the file (folios 22379 to 22381), a request that was denied by the agreement of the Directorate of Competition on October 29, 2014 (folios 22394 to 22404).  </w:t>
        <w:br/>
        <w:t xml:space="preserve">(22) On January 27, 2015, the Statement of Facts (PCH) was notified. The parties involved received it between January 27 and February 2. In the notification of the PCH, the parties involved were informed that, in accordance with Article 50.3 of the LDC, they could respond to the PCH, proposing the evidence they deemed pertinent, indicating that, in application of Article 35 of the RDC, once the established period had elapsed, the allegations presented would not be taken into account and the proposed evidence would be denied, all without prejudice to the fact that such writings would be incorporated into the file.  </w:t>
        <w:br/>
        <w:t xml:space="preserve">(23) Following the notification of the PCH, they reviewed the file and accessed the request for leniency from URBAN on January 28 and March 17, 2015; HYUNDAI and SNAP-ON on January 29; TOYOTA and RENAULT on January 30; MERCEDES and FIAT on February 2; NISSAN, CHEVROLET, GENERAL MOTORS, and KIA on February 3; HONDA, PEUGEOT, CITROEN, and FORD on February 4; BMW and ORIO on February 5; B&amp;M on February 9 and March 6; MAZDA on February 11 and March 24; again FIAT on March 6; SEAT, NISSAN, TOYOTA, and KIA on March 9; RENAULT, GENERAL MOTORS, and FORD on March 10; HYUNDAI on March 12; MERCEDES on March 17; TOYOTA on March 20; NISSAN on March 23; and again SEAT on March 30, GENERAL MOTORS on April 10, B&amp;M on April 13, and RENAULT on April 21, 2015.  </w:t>
        <w:br/>
        <w:t xml:space="preserve">(24) The written allegations to the PCH were submitted between February 10, 2015, and, after the extension of the granted period, on February 27, 2015.  </w:t>
        <w:br/>
        <w:t xml:space="preserve">(25) On March 6 and 9, 2015, the DC requested the accused entities their turnover corresponding to the marketing of automobiles and the provision of after-sales services during the years in which they participated in the information exchanges, according to the charges made in the PCH. The responses to the requests from all the parties involved were submitted between March 13, 2015, and, after the extension of the granted period, on March 27, 2015.  </w:t>
        <w:br/>
        <w:t xml:space="preserve">(26) On April 28, 2015, the Proposal for Resolution was notified (folios 29303 to 29729).  </w:t>
        <w:br/>
        <w:t xml:space="preserve">(27) On April 29, 2015, MERCEDES, GENERAL MOTORS, and CHEVROLET had access to the file, on May 4 URBAN, on May 5 PEUGEOT and CITROEN, on May 6 HONDA, on May 12 VOLVO and HYUNDAI, and on May 13, 2015, MAZDA.  </w:t>
        <w:br/>
        <w:t xml:space="preserve">(28) On May 13, 2015, SNAP-ON submitted a written allegation to the Proposal for Resolution, requesting confidentiality for part of that writing, providing the corresponding censored version (folios 29835 to 29925).  </w:t>
        <w:br/>
        <w:t xml:space="preserve">(29) On May 13, 2015, VOLVO had access to the request for leniency submitted in the context of this file (folio 29926).  </w:t>
        <w:br/>
        <w:t xml:space="preserve">(30) On May 19, 2015, FORD submitted a written allegation to the Proposal for Resolution, requesting confidentiality for part of that writing, providing the corresponding censored version (folios 29929 to 30340).  </w:t>
        <w:br/>
        <w:t xml:space="preserve">(31) On May 19, 2015, BMW, CHEVROLET, FIAT, FORD, HONDA, HYUNDAI, KIA, NISSAN, GENERAL MOTORS, PEUGEOT, RENAULT, and TOYOTA jointly submitted through their external lawyers the confidential version of a documentary evidence entitled "Economic Analysis of the Exchange of Information between Brands in the Motor Vehicle Sector" (folios 30345 to 30451) prepared by the auditing firm COMPASS LEXECON. The aforementioned companies also request testimonial evidence consisting of the appearance of the aforementioned auditing firm to ratify the conclusions of that report (folios 30341 to 30444).  </w:t>
        <w:br/>
        <w:t xml:space="preserve">(32) On May 20, 2015, FIAT (folios 30452 to 30695) and RENAULT (folios 30696 to 30742) submitted their written allegations to the Proposal for Resolution, requesting confidentiality for part of those writings, providing the corresponding censored versions.  </w:t>
        <w:br/>
        <w:t xml:space="preserve">(33) On May 20, 2015, RENAULT ESPAÑA submitted a written statement agreeing with the content of the Proposal for Resolution regarding the scope of its responsibility in the sanctioning file (folio 30743).  </w:t>
        <w:br/>
        <w:t xml:space="preserve">(34) On May 20, 2015, CHEVROLET (folios 30744 to 30893), GENERAL MOTORS (folios 30894 to 31042), KIA (folios 31043 to 31168), BMW (folios 31169 to 31312), CHRYSLER (folios 31313 to 31404), CITROEN–PEUGEOT (folios 31405 to 31534), and VOLVO (folios 31630 to 31668) submitted their written allegations to the Proposal for Resolution.  </w:t>
        <w:br/>
        <w:t xml:space="preserve">(35) On May 20, 2015, URBAN submitted a written allegation to the Proposal for Resolution, requesting confidentiality for part of that writing, providing the corresponding censored version (folios 31535 to 31609).  </w:t>
        <w:br/>
        <w:t xml:space="preserve">(36) On May 20, 2015, RENAULT submitted a written allegation (folios 30696-30742), providing a non-confidential version regarding two pages of such writing dated May 26.  </w:t>
        <w:br/>
        <w:t xml:space="preserve">(37) On May 21, 2015, ORIO (folios 31610 to 31629), MAZDA (folios 31669 to 31690), NISSAN (folios 31691 to 31904), and TOYOTA (folios 31905 to 32090) submitted their written allegations to the Proposal for Resolution.  </w:t>
        <w:br/>
        <w:t xml:space="preserve">(38) On May 21, 2015, HONDA submitted a written allegation to the Proposal for Resolution, requesting confidentiality for part of the same and providing a censored version (folios 32987- folio 33103).  </w:t>
        <w:br/>
        <w:t>1 This Background Fact 38 has been introduced by agreement of correction of errors dated September 10, 2015, replacing the former Background Fact 44, which has been removed. Following this change, the corresponding correlational modification in the numbering of Background Facts 38 to 43 has occurred, which will now be Background Facts 39 to 44.</w:t>
      </w:r>
    </w:p>
    <w:p>
      <w:r>
        <w:rPr>
          <w:b/>
        </w:rPr>
        <w:t>[Pages 7–9]</w:t>
      </w:r>
    </w:p>
    <w:p>
      <w:r>
        <w:t xml:space="preserve">(39) On May 22, 2015, under Article 50.5 of the LDC, the DC submitted its Report and Proposal for Resolution to the Council of the CNMC and the file was sent to it for resolution.  </w:t>
        <w:br/>
        <w:t xml:space="preserve">(40) On May 25, 2015, the allegations to the proposal for resolution from B&amp;M (pages 32516-32538) and HYUNDAI (pages 32539-32763) were received by the CNMC, with the latter requesting confidentiality for part of the information and providing a redacted version.  </w:t>
        <w:br/>
        <w:t xml:space="preserve">(41) On May 27, a written submission of allegations from MERCEDES (pages 32807-32899) was received.  </w:t>
        <w:br/>
        <w:t xml:space="preserve">(42) On May 27, a request for partial lifting of confidentiality made by B&amp;M regarding the economic reports provided by RENAULT and NISSAN in their respective responses to the PCH was received by the CNMC.  </w:t>
        <w:br/>
        <w:t xml:space="preserve">(43) On May 29, a written request from MERCEDES for access to all documents in the file was received by the CNMC.  </w:t>
        <w:br/>
        <w:t xml:space="preserve">(44) On May 29, a supplementary written submission from SNAP-ON regarding the conclusions presented by the Advocate General on May 21, 2015, in case C-194/14 AP AC Treuhand AG was also received.  </w:t>
        <w:br/>
        <w:t xml:space="preserve">(45) On June 3, 2015, the Competition Chamber of the CNMC agreed, in accordance with Article 37.2 c) of the LDC, to send the Proposal Report to the European Commission, which took place on June 3, 2015, resulting in the suspension of the maximum deadline for resolving the file as of that date.  </w:t>
        <w:br/>
        <w:t xml:space="preserve">(46) On June 5, 2015, a request for access to the file was jointly submitted by the companies PEUGEOT and AUTOMÓVILES CITROËN ESPAÑA, S.A and PEUGEOT ESPAÑA, S.A.  </w:t>
        <w:br/>
        <w:t xml:space="preserve">(47) On June 18, 2015, the Competition Chamber adopted a confidentiality agreement regarding the requests made by FIAT, FORD, RENAULT, SNAP-ON, URBAN, and HYUNDAI concerning the documentation provided by them following the notification of the proposal for resolution, as well as the report jointly submitted by the external lawyers of BMW, CHEVROLET, FIAT, FORD, HONDA, HYUNDAI, KIA, NISSAN, GENERAL MOTORS, PEUGEOT, RENAULT, and TOYOTA. The confidentiality requests made were accepted, and the redacted documents submitted were incorporated into the public file, while the complete documents were included in the file as confidential.  </w:t>
        <w:br/>
        <w:t xml:space="preserve">(48) On June 25, 2015, MERCEDES had access to the file.  </w:t>
        <w:br/>
        <w:t xml:space="preserve">(49) After the deadline established in the Agreement of June 3 had passed, the agreed suspension was lifted on July 3, 2015, continuing the computation of the deadline for issuing a Resolution.  </w:t>
        <w:br/>
        <w:t>(50) On July 2, 2015, a supplementary written submission from RENAULT ESPAÑA COMERCIAL was received.</w:t>
      </w:r>
    </w:p>
    <w:p>
      <w:r>
        <w:t xml:space="preserve">(51) On July 2, 2015, in the case of URBAN and B&amp;M, July 6 in the case of SEAT, and July 9 regarding FIAT, the aforementioned companies had access to the file.  </w:t>
        <w:br/>
        <w:t xml:space="preserve">(52) On July 8, the European Commission submitted written observations within the framework of Article 37.2 c) of the LDC (pages 33275 – page 33277).  </w:t>
        <w:br/>
        <w:t xml:space="preserve">(53) The Competition Chamber of the CNMC Council deliberated and ruled on the matter in its meeting on July 23, 2015.  </w:t>
        <w:br/>
        <w:t xml:space="preserve">(54) The interested parties are:  </w:t>
        <w:br/>
        <w:t xml:space="preserve">1. AUTOMÓVILES CITROËN ESPAÑA, S.A.  </w:t>
        <w:br/>
        <w:t xml:space="preserve">2. B&amp;M AUTOMÓVILES ESPAÑA, S.A.  </w:t>
        <w:br/>
        <w:t xml:space="preserve">3. BMW IBÉRICA, S.A.U.  </w:t>
        <w:br/>
        <w:t xml:space="preserve">4. CHEVROLET ESPAÑA, S.A.U.  </w:t>
        <w:br/>
        <w:t xml:space="preserve">5. CHRYSLER ESPAÑA, S.L.  </w:t>
        <w:br/>
        <w:t xml:space="preserve">6. FIAT GROUP AUTOMOBILES SPAIN, S.A.  </w:t>
        <w:br/>
        <w:t xml:space="preserve">7. FORD ESPAÑA, S.L.  </w:t>
        <w:br/>
        <w:t xml:space="preserve">8. GENERAL MOTORS ESPAÑA, S.L.U.  </w:t>
        <w:br/>
        <w:t xml:space="preserve">9. HONDA MOTOR EUROPE LIMITED, BRANCH IN SPAIN, S.L.  </w:t>
        <w:br/>
        <w:t xml:space="preserve">10. HYUNDAI MOTOR ESPAÑA, S.L.U.  </w:t>
        <w:br/>
        <w:t xml:space="preserve">11. KIA MOTORS IBERIA, S.L.  </w:t>
        <w:br/>
        <w:t xml:space="preserve">12. MAZDA AUTOMÓVILES ESPAÑA, S.A.  </w:t>
        <w:br/>
        <w:t xml:space="preserve">13. MERCEDES BENZ ESPAÑA, S.A.  </w:t>
        <w:br/>
        <w:t xml:space="preserve">14. NISSAN IBERIA, S.A.  </w:t>
        <w:br/>
        <w:t xml:space="preserve">15. ORIO SPAIN, S.L.  </w:t>
        <w:br/>
        <w:t xml:space="preserve">16. PEUGEOT ESPAÑA, S.A.  </w:t>
        <w:br/>
        <w:t xml:space="preserve">17. PEUGEOT CITROEN AUTOMÓVILES ESPAÑA, S.A.  </w:t>
        <w:br/>
        <w:t xml:space="preserve">18. PORSCHE IBÉRICA, S.A.  </w:t>
        <w:br/>
        <w:t xml:space="preserve">19. RENAULT ESPAÑA, S.A.  </w:t>
        <w:br/>
        <w:t xml:space="preserve">20. RENAULT ESPAÑA COMERCIAL, S.A.  </w:t>
        <w:br/>
        <w:t xml:space="preserve">21. SEAT, S.A.  </w:t>
        <w:br/>
        <w:t xml:space="preserve">22. SNAP-ON BUSINESS SOLUTIONS, S.L.  </w:t>
        <w:br/>
        <w:t xml:space="preserve">23. TOYOTA ESPAÑA, S.L.  </w:t>
        <w:br/>
        <w:t xml:space="preserve">24. URBAN SCIENCE ESPAÑA, S.L.U.  </w:t>
        <w:br/>
        <w:t xml:space="preserve">25. VOLKSWAGEN AUDI ESPAÑA, S.A.  </w:t>
        <w:br/>
        <w:t xml:space="preserve">26. VOLVO CAR ESPAÑA, S.A.  </w:t>
        <w:br/>
        <w:t xml:space="preserve">PROVEN FACTS  </w:t>
        <w:br/>
        <w:t xml:space="preserve">I. THE PARTIES  </w:t>
        <w:br/>
        <w:t xml:space="preserve">The parties involved in this file are those indicated below. The information regarding these parties, which the DC reflected in its PCH, and which is summarized here, was extracted from the responses to the information requests made:  </w:t>
        <w:br/>
        <w:t xml:space="preserve">1. AUTOMÓVILES CITROËN ESPAÑA, S.A.  </w:t>
        <w:br/>
        <w:t xml:space="preserve">AUTOMÓVILES CITROËN ESPAÑA (CITROËN) is the company of the PSA PEUGEOT CITROËN group that markets CITROËN brand vehicles in Spain. The registered office of CITROËN is located at Doctor Esquerdo Street, No. 62, 28007 MADRID. The corporate purpose of CITROËN is the marketing, repair, and maintenance of motor vehicles, components, spare parts, accessories, and tools for them, the rental of motor vehicles, and the marketing of products and services ancillary to automotive activity.  </w:t>
        <w:br/>
        <w:t xml:space="preserve">2. B&amp;M AUTOMÓVILES ESPAÑA, S.A.  </w:t>
        <w:br/>
        <w:t xml:space="preserve">B&amp;M AUTOMÓVILES ESPAÑA, S.A. (B&amp;M), since June 22, 1992, has marketed MITSUBISHI brand vehicles in Spain. Its headquarters is located at C/Francisco Gervás, 4, 28108, Alcobendas (Madrid).  </w:t>
        <w:br/>
        <w:t xml:space="preserve">The corporate purpose of B&amp;M is the distribution, import, purchase, sale, after-sales service, marketing, and repair of motor vehicles and their spare parts and accessories.  </w:t>
        <w:br/>
        <w:t xml:space="preserve">3. BMW IBÉRICA, S.A.U.  </w:t>
        <w:br/>
        <w:t xml:space="preserve">BMW IBÉRICA, S.A. (BMW) is the distributor of BMW Group motor vehicles in Spain and supplies vehicles and parts to the dealerships with which it enters into contracts for their distribution. Since October 2001, BMW has also marketed MINI brand motor vehicles and, since September 2013, electric vehicles of the BMWi brand. The corporate purpose of BMW includes, among others, the marketing of automobiles, motorcycles, spare parts, and accessories of the BMW brand in Spain, having its registered office at Avenida Burgos, 118, C.P. 28050, Madrid.  </w:t>
        <w:br/>
        <w:t xml:space="preserve">4. CHEVROLET ESPAÑA, S.A.  </w:t>
        <w:br/>
        <w:t xml:space="preserve">CHEVROLET ESPAÑA, S.A.U. (CHEVROLET), established on May 6, 1994, and until January 25, 2005, known as DAEWOO MOTOR IBERIA, S.A., markets CHEVROLET brand motor vehicles in Spain. Previously, under its former corporate name, it marketed Daewoo brand vehicles. The registered office of the company is located at No. 20 Avenida de Bruselas in Alcobendas, Madrid. The corporate purpose of CHEVROLET is the import, export, marketing, sale, and manufacturing in Spain and Portugal of automobiles, industrial vehicles, trucks, cars, all-terrain vehicles, and buses, automotive accessories, as well as the rental and leasing of these.  </w:t>
        <w:br/>
        <w:t xml:space="preserve">5. CHRYSLER ESPAÑA, S.L.  </w:t>
        <w:br/>
        <w:t>CHRYSLER ESPAÑA, S.L. (CHRYSLER) is the company that marketed CHRYSLER, JEEP, and DODGE brand motor vehicles in Spain until July 1, 2010. After that date, the marketing of vehicles of those brands was carried out by FIAT GROUP AUTOMOBILES SPAIN, S.A.</w:t>
      </w:r>
    </w:p>
    <w:p>
      <w:r>
        <w:rPr>
          <w:b/>
        </w:rPr>
        <w:t>[Pages 10–12]</w:t>
      </w:r>
    </w:p>
    <w:p>
      <w:r>
        <w:t xml:space="preserve">therefore, from that date CHRYSLER hardly develops any commercial activity in Spain, carrying out occasional repurchase operations of those used CHRYSLER vehicles sold before June 2010.  </w:t>
        <w:br/>
        <w:t xml:space="preserve">6. FIAT GROUP AUTOMOBILES SPAIN, S.A.  </w:t>
        <w:br/>
        <w:t xml:space="preserve">FIAT GROUP AUTOMOBILES SPAIN, S.A. (FIAT) is a Spanish company that is part of the FIAT business group that distributes the Group's car brands in Spain (FIAT since 1919, ALFA ROMEO since 1990, LANCIA since 1969, and JEEP-DODGE since 2010). The registered office of FIAT is located at km. 28 of the M-300 Road, CP. 28802, Alcalá de Henares, Madrid. The corporate purpose of FIAT includes, among others, the import, export, marketing, sale, and distribution of all types of passenger vehicles, industrial, commercial, or special vehicles, including experimental, hybrid, and electric vehicles, as well as their respective components, parts, spare parts, or replacement parts and accessories. The main activity of FIAT is related to the import and distribution in Spain of the various car brands manufactured by the FIAT Group.  </w:t>
        <w:br/>
        <w:t xml:space="preserve">7. FORD ESPAÑA, S.L.  </w:t>
        <w:br/>
        <w:t xml:space="preserve">FORD ESPAÑA, S.L. (FORD) is the company that markets Ford brand automobiles in Spain. The corporate purpose of FORD includes, among others, the manufacture, assembly, sale, marketing, or rental of automobiles, trucks, tractors, agricultural machinery and tools, as well as components or parts, accessories, and equipment for all of them and the provision of technical assistance and services to other FORD companies, suppliers, distributors, and consumers. Its registered office is located at C/Caléndula 13 (Edificio Miniparc IV), 28109 Alcobendas (Madrid).  </w:t>
        <w:br/>
        <w:t xml:space="preserve">8. GENERAL MOTORS ESPAÑA, S.L.U.  </w:t>
        <w:br/>
        <w:t xml:space="preserve">GENERAL MOTORS ESPAÑA, S.L.U. (GENERAL MOTORS) has been marketing Opel brand automobiles since 2005, although from 2005 to 2009 it also marketed motor vehicles of the SAAB brand. Its registered office is located in Polígono Entrerríos, s/n, 50639 Figueruelas, Zaragoza. The corporate purpose of GENERAL MOTORS is the purchase, sale, import, export, distribution, manufacture, assembly, design, and engineering of automobiles, parts, and components, and vehicle assemblies.  </w:t>
        <w:br/>
        <w:t xml:space="preserve">9. HONDA MOTOR EUROPE LIMITED, SUCURSAL EN ESPAÑA  </w:t>
        <w:br/>
        <w:t xml:space="preserve">HONDA MOTOR EUROPE LIMITED, SUCURSAL EN ESPAÑA, formerly known as HONDA AUTOMÓVILES ESPAÑA, S.A. (HONDA), distributes HONDA brand automobiles in Spain. On December 10, 2012, HONDA AUTOMÓVILES ESPAÑA, S.A. was absorbed by HONDA MOTOR EUROPE LIMITED as a result of a cross-border intra-community merger, creating a branch in Spain, HONDA MOTOR EUROPE LIMITED, SUCURSAL EN ESPAÑA, with its registered office at Calle de la Selva 4, Urbanización Mas Blau 08820 in El Prat de Llobregat, which is the universal successor in all rights and obligations of HONDA AUTOMÓVILES ESPAÑA, S.A. The corporate purpose of HONDA includes, among others, the distribution of Honda products (Cars, Motorcycles, All-terrain Vehicles, Power/Energy/Marine Products), spare parts, and accessories.  </w:t>
        <w:br/>
        <w:t xml:space="preserve">10. HYUNDAI MOTOR ESPAÑA, S.L.U.  </w:t>
        <w:br/>
        <w:t xml:space="preserve">HYUNDAI MOTOR ESPAÑA, S.L.U. (HYUNDAI) is the authorized distributor company in Spain, Gibraltar, and Andorra (except for the Canary Islands, Ceuta, and Melilla) of HYUNDAI brand automobiles, as well as the provision of after-sales services (repair, maintenance, and sale of official spare parts and accessories) of the HYUNDAI brand. The registered office of HYUNDAI is located at C/Quintanapalla, nº 2, 28050 Madrid. The corporate purpose of HYUNDAI includes, among others, the import, purchase, sale, and marketing of all types of vehicles and machinery, especially automobiles and their complements, spare parts, and supplies.  </w:t>
        <w:br/>
        <w:t xml:space="preserve">11. KIA MOTORS IBERIA, S.L.  </w:t>
        <w:br/>
        <w:t xml:space="preserve">KIA MOTORS IBERIA, S.L. (KIA) is the company that markets KIA brand automobiles in Spain. The corporate purpose of KIA includes the manufacture, buying and selling, import, export, exclusive or non-exclusive representation, maintenance, repair, and rental, with or without a driver, of all types of vehicles, new and used. KIA has its registered office at Avenida de Anabel Segura, 16, Edificio Vega Norte 2, 28108 Alcobendas (Madrid).  </w:t>
        <w:br/>
        <w:t xml:space="preserve">12. MAZDA AUTOMÓVILES ESPAÑA, S.A.  </w:t>
        <w:br/>
        <w:t xml:space="preserve">MAZDA AUTOMÓVILES ESPAÑA, S.A. (MAZDA), established in February 2000, markets MAZDA brand automobiles in Spain. Its registered office is located at C/MANUEL POMBO ANGULO, 28, 28050 MADRID. The corporate purpose of MAZDA includes the distribution, sale, marketing, or rental of automobiles, trucks, tractors, as well as components or parts, accessories, and equipment for all of them of the MAZDA brand.  </w:t>
        <w:br/>
        <w:t xml:space="preserve">13. MERCEDES BENZ ESPAÑA, S.A.  </w:t>
        <w:br/>
        <w:t xml:space="preserve">MERCEDES BENZ ESPAÑA, S.A. (MERCEDES), located at Avenida de Bruselas (Pol. Arroyo de la Vega), 30-31, 28108 Alcobendas (Madrid), is the company established on December 29, 1998, being the distributor of MERCEDES brand automobiles in Spain since its establishment and of the SMART brand since 1998. The corporate purpose of MERCEDES includes, among others, the manufacture, distribution, marketing, buying and selling, and repair of all kinds of engines, machinery, and motor vehicles, as well as their spare parts and accessories.  </w:t>
        <w:br/>
        <w:t xml:space="preserve">14. NISSAN IBERIA, S.A.  </w:t>
        <w:br/>
        <w:t xml:space="preserve">NISSAN IBERIA, S.A. (NISSAN), established in July 1994 and previously named NISSAN MOTOR ESPAÑA, S.A. until 2006, markets NISSAN brand automobiles in Spain. Its registered office is located at C/Juan Gris 2-8, 08014 Barcelona, and its corporate purpose includes the marketing, distribution, import, export, leasing, purchase, and sale of all types of mechanically powered vehicles, both new and used, such as passenger vehicles, all-terrain vehicles, vans, trucks, industrial and commercial vehicles, either directly or through other commercial organizations.  </w:t>
        <w:br/>
        <w:t xml:space="preserve">15. ORIO SPAIN, S.L.  </w:t>
        <w:br/>
        <w:t xml:space="preserve">ORIO SPAIN, S.L. (ORIO), formerly known as SAAB AUTOMOBILE SPAIN, S.L., has been marketing original spare parts and accessories of the SAAB brand since January 2012, as the manufacturing of SAAB brand automobiles ceased in April 2011 due to the bankruptcy of SAAB AUTOMOBILE, A.B., so ORIO has become solely engaged in the import and marketing of original spare parts of the SAAB brand. The corporate purpose of ORIO is limited to the import and marketing of spare parts and accessories along with the provision of technical assistance services. The registered office of ORIO is located at Carretera de Fuencarral, 44, Edificio 4B, 33, 28108 Alcobendas (Madrid).  </w:t>
        <w:br/>
        <w:t xml:space="preserve">16. PEUGEOT CITROEN AUTOMÓVILES ESPAÑA, S.A.  </w:t>
        <w:br/>
        <w:t xml:space="preserve">PEUGEOT CITROEN AUTOMÓVILES ESPAÑA, S.A. is responsible for the assembly and manufacture of automobiles, components, spare parts, accessories, and tooling for them, not marketing motor vehicles. Its registered office is located in the Zona Franca de Vigo, Avenida Citroën, number 3 and 5, Vigo (Pontevedra).  </w:t>
        <w:br/>
        <w:t xml:space="preserve">17. PEUGEOT ESPAÑA, S.A.  </w:t>
        <w:br/>
        <w:t xml:space="preserve">PEUGEOT ESPAÑA, S.A. (PEUGEOT) markets the automobiles of this brand in Spain. Its corporate purpose includes the manufacture, purchase, sale, distribution, and marketing of all kinds of engines and/or vehicles powered by them or by others installed in them, excluding any type of industrial vehicles over 3.44 metric tons. Its registered office is located at C/Puerto de Somport, nº 8, 28050 Madrid.  </w:t>
        <w:br/>
        <w:t xml:space="preserve">18. PORSCHE IBÉRICA, S.A.  </w:t>
        <w:br/>
        <w:t xml:space="preserve">PORSCHE IBÉRICA, S.A. (PORSCHE) is the company integrated into the Volkswagen Group whose purpose is the import, wholesale trade, distribution, retail trade, and export of vehicles, compressors, and machine tools, along with the corresponding spare parts and accessories of the PORSCHE brand in Spain. Its registered office is located at AVENIDA BURGOS, 87, 28050 Madrid.  </w:t>
        <w:br/>
        <w:t xml:space="preserve">19. RENAULT ESPAÑA COMERCIAL, S.A.  </w:t>
        <w:br/>
        <w:t>RENAULT ESPAÑA COMERCIAL, S.A. (RENAULT) is the company that markets the automobiles of the RENAULT brands and since June 2005 also DACIA in Spain. The share capital of RENAULT is 99% owned by the parent company in Spain, RENAULT ESPAÑA, S.A. The corporate purpose of RENAULT includes, among others, the purchase and sale, rental, or exchange of new and used automobiles. RENAULT has its offices at Avenida de Burgos n° 89, 28050, Madrid.</w:t>
      </w:r>
    </w:p>
    <w:p>
      <w:r>
        <w:rPr>
          <w:b/>
        </w:rPr>
        <w:t>[Pages 13–15]</w:t>
      </w:r>
    </w:p>
    <w:p>
      <w:r>
        <w:t xml:space="preserve">20. RENAULT ESPAÑA, S.A.  </w:t>
        <w:br/>
        <w:t>The corporate purpose of RENAULT ESPAÑA, S.A. is the manufacturing of vehicles in the three existing production plants in Spain. The annual production as of December 2012 was 286,264 vehicles, of which 90% was exported. The registered office of Renault España S.A. is located at Avenida de Madrid n° 72, 47008, Valladolid.</w:t>
      </w:r>
    </w:p>
    <w:p>
      <w:r>
        <w:t xml:space="preserve">21. SEAT, S.A.  </w:t>
        <w:br/>
        <w:t>SEAT, S.A. (SEAT) has its registered office at Autovía A-2, KM 585, Martorell (Barcelona) and is the parent company in Spain of the German group VOLKSWAGEN. SEAT's corporate purpose includes the manufacturing and marketing of motor vehicles, their parts, spare parts, and accessories, as well as machinery and equipment for producing all of them; the provision of technical assistance and complementary services to its suppliers, importers, dealers, customers, and companies within the group; and the promotion or participation in companies dedicated to carrying out all kinds of financing and financial leasing operations. SEAT has been marketing vehicles under the SEAT brand since its incorporation. SEAT operates nationally and controls 100% of VOLKSWAGEN-AUDI ESPAÑA, S.A. (VAESA), the importer and wholesale distributor of automobiles in Spain for the brands AUDI, VOLKSWAGEN, and SKODA. VAESA controls VOLKSWAGEN GROUP RETAIL SPAIN, S.L. (VGRS), which was established with the intention of separating the importation from the retail distribution of vehicles in Spain, with VGRS assuming retail distribution. VGRS integrates under its structure all the dealerships it owns for the brands SEAT, VOLKSWAGEN, AUDI, and SKODA.</w:t>
      </w:r>
    </w:p>
    <w:p>
      <w:r>
        <w:t xml:space="preserve">22. VOLKSWAGEN AUDI ESPAÑA, S.A.  </w:t>
        <w:br/>
        <w:t>VOLKSWAGEN AUDI ESPAÑA, S.A. (VAESA), established in December 1992 and a 100% subsidiary of SEAT, S.A., also holds 100% of VOLKSWAGEN GROUP RETAIL SPAIN, S.L. (VGRS), which integrates under its structure all the dealerships it owns for the brands SEAT, VOLKSWAGEN passenger cars and commercial vehicles, and SKODA. VOLKSWAGEN AUDI ESPAÑA, S.A. has been marketing automobiles under the VOLKSWAGEN and AUDI brands in Spain since its incorporation and, since January 1, 1997, also under the SKODA brand. Its corporate purpose is the importation, exportation, and marketing of motor vehicles, their parts, spare parts, and accessories. Its registered office is located at Parque de negocios Mas Blau II, Calle de la Selva n° 22, 08820 El Prat de Llobregat, Barcelona.</w:t>
      </w:r>
    </w:p>
    <w:p>
      <w:r>
        <w:t xml:space="preserve">23. SNAP-ON BUSINESS SOLUTIONS, S.L.  </w:t>
        <w:br/>
        <w:t>SNAP-ON BUSINESS SOLUTIONS, S.L. (SNAP-ON), formerly known as "Alison Associates, S.R.L.", began providing its services to manufacturing and/or distributing companies of motor vehicles operating in Spain as of October 14, 1994. The company is dedicated to providing training, consulting, and advisory services aimed at helping both motor vehicle manufacturers and their dealer networks to increase sales, reduce structural costs, and improve customer experience.</w:t>
      </w:r>
    </w:p>
    <w:p>
      <w:r>
        <w:t xml:space="preserve">24. TOYOTA ESPAÑA, S.L.  </w:t>
        <w:br/>
        <w:t>TOYOTA ESPAÑA, S.L. (TOYOTA) markets automobiles under the TOYOTA brand and, since October 2007, also under the LEXUS brand. The corporate purpose of TOYOTA consists of the importation, wholesale and retail sale, and after-sales service in Spain of motor vehicles and spare parts, accessories, and tools. Its registered office is located at Avda. de Bruselas 22, 28108 Alcobendas (Madrid).</w:t>
      </w:r>
    </w:p>
    <w:p>
      <w:r>
        <w:t xml:space="preserve">25. URBAN SCIENCE ESPAÑA, S.L.U.  </w:t>
        <w:br/>
        <w:t>URBAN SCIENCE ESPAÑA, S.L.U. (URBAN) has been offering consulting services in Spain to manufacturers and importers in the automotive sector since 2003. Its corporate purpose includes the development of studies on business creations and structures, marketing, and information technology; conducting studies of applied economics – macro or microeconomics, sociological studies, opinion polls, and quantitative and qualitative surveys; conducting and advising on market studies for any type of goods and services; providing training courses to sales forces (managers, directors, etc.) through all types of seminars, courses, and audiovisual or computer means, as well as conducting sectoral studies, foreign trade studies; situational analysis, national and regional development, feasibility and industrial location studies, and forecasting models, etc. Its registered office is located at Plaza Manuel Gómez Moreno (ED Mahou), 2, 28020 Madrid.</w:t>
      </w:r>
    </w:p>
    <w:p>
      <w:r>
        <w:t xml:space="preserve">26. VOLVO CAR ESPAÑA, S.L.U.  </w:t>
        <w:br/>
        <w:t>VOLVO CAR ESPAÑA, S.L.U. (VOLVO) is the company, established in October 1962, that markets Volvo brand automobiles in Spain, as well as their spare parts and accessories. On May 18, 1999, the company changed its corporate name from VOLVO CONCESIONARIOS to VOLVO CAR ESPAÑA, S.A. and on July 1, 2003, it changed its corporate name to VOLVO CAR ESPAÑA, S.L. In accordance with the provisions of Royal Legislative Decree 1/2010, of July 2, which approves the consolidated text of the Capital Companies Act, VOLVO was registered as a Single-Member Limited Company in the Madrid Commercial Registry.</w:t>
      </w:r>
    </w:p>
    <w:p>
      <w:r>
        <w:t xml:space="preserve">II. MARKET CHARACTERIZATION  </w:t>
        <w:br/>
        <w:t>The automotive sector is considered strategic for the Spanish economy, due to its significant weight in industry, employment, its spillover effects in other areas, and its contribution to exports. In fact, in 2009, the Council of Ministers approved the Comprehensive Automotive Plan, which is part of the Spanish Plan for the Stimulation of the Economy and Employment (Plan E), structured into five blocks: industrial measures and demand stimulation measures, labor measures, logistics stimulation measures, R&amp;D+i promotion measures, and financial measures.</w:t>
      </w:r>
    </w:p>
    <w:p>
      <w:r>
        <w:t>On the other hand, with the Efficient Vehicle Incentives Program (successive PIVE Plans, up to Plan PIVE 6), aimed at replacing approximately 365,000 old vehicles with the same number of new vehicles, there has been a promotion of a reduction in national energy consumption, encouraging the modernization of the vehicle fleet with high energy efficiency models, with lower fuel consumption and CO2 emissions, all framed within the Energy Savings and Efficiency Plan. The financing of the PIVE is carried out with contributions received by the Institute for Diversification and Energy Saving (IDAE), coming from the budget of the Secretary of State for Energy of the Ministry of Industry, Energy and Tourism. Additionally, it can be co-financed with community funds, within some of the operational programs of the European Regional Development Fund (ERDF).</w:t>
      </w:r>
    </w:p>
    <w:p>
      <w:r>
        <w:t>In 2013, 824,108 units were sold in Spain, of which, according to FACONAUTO, a total of 282,400 units were covered by the aid program of the PIVE Plan for that year, with 70% of its funds exhausted by May 2014 under Plan PIVE-5. According to the 2013 Report of ANFAC, the automotive sector in Spain generated 40.25 billion euros in 2013, approximately 11% year-on-year.</w:t>
      </w:r>
    </w:p>
    <w:p>
      <w:r>
        <w:t xml:space="preserve">1. Regulatory Framework  </w:t>
        <w:br/>
        <w:t>The affected market in this sanctioning file is that of the distribution and marketing of motor vehicles in Spain by the main brands present in Spanish territory, that is, the sale of new and used motor vehicles, spare parts, and accessories, as well as the provision of after-sales services carried out by these automobile brands in Spain through their official dealer networks, including independent dealers of the manufacturer of the brand in question and/or subsidiaries of the manufacturing company, all of them part of the official dealer network of each of the brands. The automotive sector has significant economic relevance in the European Union, and the single market has made it possible for consumers to purchase motor vehicles in other member states and benefit from price differences among them, considering the high value of the product and the direct benefits, in the form of lower prices, that revert to consumers who purchase motor vehicles elsewhere in the Union.</w:t>
      </w:r>
    </w:p>
    <w:p>
      <w:r>
        <w:t>Therefore, traditionally the automotive sector has enjoyed special attention from competition authorities, being subject to specific regulations for exemption by categories since 1985. The vertical agreements subject to such exemptions are those related to the purchase, sale, or resale of new motor vehicles, spare parts for motor vehicles, and those related to the provision of repair and maintenance services for these vehicles when such agreements are entered into between non-competing companies, between competing companies, or by associations of retailers or repair shops. Thus, it is worth highlighting Regulation (EU) No. 330/2010 of April 20 of the Commission, concerning the application of Article 101.3 of the Treaty on the Functioning of the European Union (TFEU) to certain categories of vertical agreements and concerted practices, as well as Regulation (EU) No. 461/2010 of May 27, 2010, concerning the application of Article 101.3 of the TFEU to certain categories of vertical agreements and concerted practices in the motor vehicle sector, which has been in effect since June 1, 2010, replacing Regulation (EC) No. 1400/2002 of the Commission of July 31, 2002, concerning the application of Article 81.3 of the EC Treaty to certain categories of...</w:t>
      </w:r>
    </w:p>
    <w:p>
      <w:r>
        <w:rPr>
          <w:b/>
        </w:rPr>
        <w:t>[Pages 16–18]</w:t>
      </w:r>
    </w:p>
    <w:p>
      <w:r>
        <w:t>vertical agreements and concerted practices in the motor vehicle sector, as well as the Supplementary Guidelines on vertical restraints included in agreements for the sale and repair of motor vehicles and the distribution of spare parts for motor vehicles, issued by the European Commission in 2010. These Guidelines establish that selective distribution is currently the predominant form of distribution in the motor vehicle sector, as well as in repair and maintenance and in the distribution of spare parts. Qualitative selective distribution involves the selection of distributors or repair shops according to objective criteria imposed by the nature of the product or service, while quantitative selection adds other criteria that more directly limit the potential number of distributors or repair shops, either by directly setting their number or by requiring, for example, a minimum sales level.</w:t>
      </w:r>
    </w:p>
    <w:p>
      <w:r>
        <w:t>It is considered that networks based on quantitative criteria are generally more restrictive than those based solely on qualitative selection. In purely qualitative selective distribution, distributors and repair shops are selected solely based on objective criteria imposed by the nature of the product or service, such as the technical qualifications of sales personnel, the configuration of sales premises, sales techniques, and the type of sales service that the distributor must provide. The application of these criteria does not directly limit the number of distributors or repair shops admitted to the supplier's network.</w:t>
      </w:r>
    </w:p>
    <w:p>
      <w:r>
        <w:t>It is generally considered that purely qualitative selective distribution falls outside the scope of Article 101.1 of the TFEU due to lacking anti-competitive effects, provided that three conditions are met:</w:t>
        <w:br/>
        <w:t>− the nature of the product in question must require a selective distribution system, in the sense that such a system must constitute a legitimate necessity, given the nature of the product, to preserve its quality and ensure its proper use;</w:t>
        <w:br/>
        <w:t>− distributors or repair shops must be selected based on objective qualitative criteria, uniformly established for all potential resellers and that cannot be applied discriminatorily;</w:t>
        <w:br/>
        <w:t>− the established criteria must not exceed what is necessary.</w:t>
      </w:r>
    </w:p>
    <w:p>
      <w:r>
        <w:t>If selective distribution agreements fall within the scope of Article 101.1 of the TFEU, the parties will need to assess whether their agreements can benefit from the Block Exemption Regulations, or individually, from the exception of Article 101.3 of the TFEU. The Block Exemption Regulations exempt selective distribution agreements, regardless of whether quantitative or qualitative selection criteria are used, as long as the market shares of the parties do not exceed 30%. However, this exemption is conditioned on the agreement not containing any of the particularly serious restrictions contemplated in Article 4 of Regulation (EU) No. 330/2010, of April 20, 2010, on the General Block Exemption for Vertical Agreements and in Article 5 of the Block Exemption Regulation in the Motor Vehicle Sector, as well as none of the excluded restrictions described in Article 5 of the General Block Exemption Regulation for Vertical Agreements. Article 4 of this Regulation establishes a series of restrictions that withdraw the benefit of the block exemption (particularly serious restrictions), excluding from the exemption provided in Article 2 of that Regulation vertical agreements that, directly or indirectly, alone or in combination with other factors under the control of the parties, have the object of restricting the buyer's ability to determine the resale price, without prejudice to the supplier being able to impose maximum resale prices or recommend a resale price, as long as these do not amount to a fixed or minimum resale price.</w:t>
      </w:r>
    </w:p>
    <w:p>
      <w:r>
        <w:t>Regarding the regulatory framework in Spain, Royal Decree 2822/1998, of December 23, which approves the General Regulation of Vehicles, in its Annex II "DEFINITIONS AND CATEGORIES OF VEHICLES," defines a motor vehicle as a vehicle equipped with a motor for its propulsion, excluding from this definition mopeds, trams, and vehicles for persons with reduced mobility. Among motor vehicles, automobiles are defined as motor vehicles that serve, normally, for the transport of persons or goods, or both at the same time, or for the traction of other vehicles for that purpose.</w:t>
      </w:r>
    </w:p>
    <w:p>
      <w:r>
        <w:t>As for the legal regime of vehicle distribution contracts, until the Distribution Law provided for in Law 2/2011, of March 4, on Sustainable Economy is approved, Law 12/1992, of May 27, on Agency Contracts applies, with the exception of its first additional provision, introduced by the Sustainable Economy Law, which refers to contracts for the distribution of automobiles and industrial vehicles, the application of which has been suspended until the aforementioned Distribution Law is approved.</w:t>
      </w:r>
    </w:p>
    <w:p>
      <w:r>
        <w:t>Automobile brands in Spain apply the selective distribution modality through an official network of dealers, which allows limiting the number of distributors and establishing qualitative selection criteria, to preserve the quality and solvency of the companies integrated into the network. In selective distribution schemes, the organization of the commercial activity of sales, after-sales service, marketing, and the distributor's overall business model is configured by the brand, which specifies the following aspects, in accordance with the report of FACONAUTO on the dealer sector in Spain dated December 31, 2012:</w:t>
        <w:br/>
        <w:t>– Standards, size, and quality of the facilities, particularly regarding size, equipment, location, internal and external appearance, and corporate identification of their sales and after-sales service facilities.</w:t>
        <w:br/>
        <w:t>– Economic-financial structure of the dealer and the accounting plan.</w:t>
        <w:br/>
        <w:t>– Business model, both in sales and in after-sales service.</w:t>
        <w:br/>
        <w:t>– Audits of processes, standards, and guarantees.</w:t>
      </w:r>
    </w:p>
    <w:p>
      <w:r>
        <w:t>– Number and professional qualification of the hired personnel.</w:t>
        <w:br/>
        <w:t>– Employee training plan.</w:t>
        <w:br/>
        <w:t>– Business plans, objectives, and incentives.</w:t>
        <w:br/>
        <w:t>– Management and administration systems, including computer systems.</w:t>
      </w:r>
    </w:p>
    <w:p>
      <w:r>
        <w:t>The retail distribution of automobiles can be carried out through independent dealers of the manufacturer of that automobile brand or through the manufacturer's own subsidiaries, all of which are part of the official network of dealers of each automobile brand.</w:t>
      </w:r>
    </w:p>
    <w:p>
      <w:r>
        <w:t>In the case of independent dealers, their operation is regulated through distribution and authorized service contracts, and in isolated cases, a spare parts distribution contract is used. The supplier sells its products to the distributor, and the distributor resells them to its customers applying a margin, which constitutes the source of income for its commercial activity.</w:t>
      </w:r>
    </w:p>
    <w:p>
      <w:r>
        <w:t>In the retail distribution of new automobiles, the distributor of vehicles of a car brand communicates to the dealer a recommended resale price so that the dealer can freely establish the final sale price. This practice of recommending a resale price is covered by the Block Exemption Regulation when the market share of each of the parties to the agreement does not exceed the 30% threshold, provided that it does not imply a minimum or fixed resale price.</w:t>
      </w:r>
    </w:p>
    <w:p>
      <w:r>
        <w:t>In carrying out its economic activity, the distributor acts, in any case, in its own name and on its own account, assuming the risks that may arise from the business, although the supplier may impose a series of obligations related to sales forecasting and delivery, vehicles in stock, for display and demonstration, warranty for defects, management of customer relations or commercial promotion, as well as the obligation to provide all information related to the dealer's commercial activity, such as sales results, provision of after-sales services or demand forecasts, etc., in order to facilitate the supplier's execution of strategy and commercial promotion activities, conducting market studies, recall campaigns, and workshops, etc.</w:t>
      </w:r>
    </w:p>
    <w:p>
      <w:r>
        <w:t>2. Market Operation</w:t>
        <w:br/>
        <w:t>In paragraphs (135) to (168) of the PCH, the DC describes in detail the operation of the relevant market - product and geographic - as well as the structure of that market, outlining the supply and demand within it.</w:t>
        <w:br/>
        <w:t>a) Product Market</w:t>
        <w:br/>
        <w:t>The DC defined the affected product market in this sanctioning file as that of the distribution of motor vehicles of the automobile brands AUDI, BMW, CHEVROLET, CHRYSLER, JEEP, DODGE, CITROËN, FIAT, LANCIA, ALFA ROMEO, FORD, HONDA, HYUNDAI, LEXUS, KIA, MAZDA, MERCEDES, MITSUBISHI, NISSAN, OPEL, PEUGEOT, PORSCHE, RENAULT, SAAB, SEAT, SKODA, TOYOTA,</w:t>
      </w:r>
    </w:p>
    <w:p>
      <w:r>
        <w:rPr>
          <w:b/>
        </w:rPr>
        <w:t>[Pages 19–21]</w:t>
      </w:r>
    </w:p>
    <w:p>
      <w:r>
        <w:t>VW and VOLVO, distributed in Spain by the companies CITROEN, B&amp;M, BMW, CHEVROLET, CHRYSLER, FIAT, FORD, GENERAL MOTORS, HONDA, HYUNDAI, KIA, MAZDA, MERCEDES, NISSAN, ORIO, PEUGEOT, PORSCHE, RENAULT, SEAT, TOYOTA, VOLKSWAGEN AUDI ESPAÑA (VAESA) and VOLVO to their official dealer networks, including both the sale of automobiles and the provision of after-sales services and activities for such vehicles in Spain.</w:t>
      </w:r>
    </w:p>
    <w:p>
      <w:r>
        <w:t>Some of the aforementioned companies may also manufacture or have production centers in Spain, although many of them import automobiles from their production centers located in other countries.</w:t>
      </w:r>
    </w:p>
    <w:p>
      <w:r>
        <w:t>The aforementioned commercial entities carry out wholesale distribution (sale of the product to the dealer) of the automobiles of their respective brands, which will be distributed at the retail level (sale to the end customer) by their official dealer network through a selective distribution scheme. Each manufacturer establishes its official vehicle sales network, composed of the main network of exclusive dealers, to whom it assigns direct responsibility for sales and after-sales under contract. The official networks formed by manufacturers, distributors, dealers, sub-dealers, and authorized workshops constitute the main channel for the sale and repair of new vehicles, as well as for original spare parts. Only 20-25% of the parts are manufactured directly by the automobile manufacturers, while 75-80% are purchased from independent suppliers, with vehicle manufacturers acting as assemblers and distributors of these parts to the dealers. Currently, the gross margin on parts by the vehicle manufacturer is 60-65%, making them a fundamental part of value generation for the dealer networks.</w:t>
      </w:r>
    </w:p>
    <w:p>
      <w:r>
        <w:t>According to this selective distribution system, the manufacturer/wholesaler (the brand) sells the product to the dealer/retailer, who will sell the automobile to the end customer as an independent company in its own name and on its own account. While the final sale price of the automobile is the responsibility of the dealer, it is closely related to the remuneration policy established by the brand for its dealer network. This remuneration consists of a fixed payment or basic margin, not dependent on the number of vehicles sold by the dealer and perceived as a lower price (discount) from the price paid by the dealer to the brand, and a variable remuneration dependent on achieving sales volume and customer satisfaction and loyalty objectives, which is received by the dealer in a deferred manner over time and periodically.</w:t>
      </w:r>
    </w:p>
    <w:p>
      <w:r>
        <w:t>The distribution of automobiles, including wholesale to the dealer and retail to the end customer, through selective distribution schemes via the official dealer networks, is conceived and planned in a unique manner including the sale of a vehicle and the provision of after-sales service for the same, as the brands through their official dealer networks sell to their customers a comprehensive solution for lasting mobility over time, integrated by the sale of a product (the vehicle) and the provision of the necessary services for its proper functioning (after-sales services).</w:t>
      </w:r>
    </w:p>
    <w:p>
      <w:r>
        <w:t>The end customer of the sale of a new or used vehicle is retained thanks to after-sales commercial policies. The brands are direct competitors for winning over the end customers of their dealer networks, who will not only acquire a vehicle from a brand but will also receive after-sales services from the workshops belonging to that network, with a total strategic integration between sales and after-sales commercial activities. In this sense, the General Directors of the distributing companies of the automobile brands, from whom the Sales, After-sales, and Marketing Directors, among others, depend, are responsible for establishing a unique commercial strategy for all commercial activities carried out by their company. A good after-sales service contributes very positively to the vehicle repurchase rate of the brand by customers, since a user of a vehicle of a certain brand who is satisfied with the after-sales service they receive is more likely to buy another vehicle of the same brand and, therefore, becomes a more loyal and profitable customer. In the context of the economic crisis, the commercial policies of automobile brands have been oriented towards after-sales services since the evolution of revenues derived from after-sales presents a counter-cyclical component that compensates for the decline in revenues from lower sales.</w:t>
      </w:r>
    </w:p>
    <w:p>
      <w:r>
        <w:t>In any case, the automobile distribution market is a very opaque market, given the existence of few available public sources and the difficulty of obtaining relevant information on vehicle sales figures, profitability, commercial campaigns, or after-sales services of each brand. In this regard, only the General Directorate of Traffic (DGT) provides public information on a monthly basis regarding the vehicles that are incorporated into the Vehicle Registry through their provisional or definitive registration, with a level of disaggregation by Autonomous Community, province, and municipality of residence of the vehicle, including as study variables the type of vehicle, load, fuel, power, maximum load, year of registration, grouping of seats, and engine displacement. This information published by the DGT is what specialized centers such as the Institute of Automotive Studies (IDEAUTO) or the National Association of Automobile and Truck Manufacturers (ANFAC) use, as noted by some of the entities in response to the information requests made. As a consequence, the brands are not in a position to know or even estimate through public and accessible sources the wholesale or retail market for new or used automobile sales in terms of units sold (volume) or total or disaggregated billing values from new vehicle sales, used vehicles, or spare parts.</w:t>
      </w:r>
    </w:p>
    <w:p>
      <w:r>
        <w:t>b) Geographic market</w:t>
        <w:br/>
        <w:t>This market encompasses the area in which the affected companies carry out activities of supplying the products and providing the reference services, with sufficiently homogeneous competitive conditions, and which can be distinguished from other nearby geographic areas due to, in particular, the fact that the prevailing competitive conditions therein are significantly different from those. This has been defined both by the former Council of the CNC - in accordance with the Commission's Communication regarding the definition of the relevant market for the purposes of Community competition law (97/C 372/03, OJ C of December 9, 1997) - and by reiterated jurisprudence of the CJEU.</w:t>
      </w:r>
    </w:p>
    <w:p>
      <w:r>
        <w:t>On the other hand, as pointed out by the Council of the CNC and confirmed by the National Court, the concept of the market affected by the infringing conduct, which may or may not coincide with the relevant product and geographic market, is not determined by the territory in which competitive conditions are homogeneous, but by the geographic space in which the analyzed infringement has produced or is likely to produce effects on effective competitive conditions.</w:t>
      </w:r>
    </w:p>
    <w:p>
      <w:r>
        <w:t>The DC, taking into account the analyzed conduct, found that the alleged anti-competitive practices affected the distribution and marketing of new and used vehicles, spare parts, and accessories, as well as the provision of after-sales activities and services by the main automobile brands throughout Spanish territory. This configures the affected markets as the distribution and marketing of automobiles in Spain, including the sale of new and used automobiles, spare parts, and accessories, through the selective distribution networks of the brands, and the provision of after-sales services in Spain that the brands also carry out through the official dealer network and authorized workshops.</w:t>
      </w:r>
    </w:p>
    <w:p>
      <w:r>
        <w:t>Given that the affected market in this sanctioning file is of national scope, affecting the entirety of Spanish territory, the DC considers that it would be likely to have a significant effect on intra-Community trade, as it compartmentalizes the national market.</w:t>
      </w:r>
    </w:p>
    <w:p>
      <w:r>
        <w:t>c) Market structure</w:t>
      </w:r>
    </w:p>
    <w:p>
      <w:r>
        <w:rPr>
          <w:b/>
        </w:rPr>
        <w:t>[Pages 22–24]</w:t>
      </w:r>
    </w:p>
    <w:p>
      <w:r>
        <w:t>On the supply side, according to the ANFAC report of 2013, there are up to 77 different car brands in the Spanish market, with market shares per brand not exceeding 10%. Among the car brands with the highest market share based on car registrations in 2013 are PEUGEOT with 10.5%, VW with 9.8%, CITROËN with 8.3%, and SEAT with 8.1% (which would make the SEAT Group, encompassing the SEAT and VW brands, the leader in Spain with a share of 17.9%). According to these data, the combined market share of the brands involved in the behaviors analyzed in this sanctioning file would be around 91% of the distribution of motor vehicles in Spain, including almost all so-called generalist brands and some of the so-called Premium brands.</w:t>
      </w:r>
    </w:p>
    <w:p>
      <w:r>
        <w:t>It should also be noted that according to information published by ANFAC, since 2013 there has been an increase in car sales of around 17.2%, the highest growth rate among the main European markets, a growth that has intensified in 2014. Notwithstanding the above, the distribution system for new and used motor vehicles, as well as the provision of services and after-sales activities based on a network of dealerships, generally single-brand and not multi-brand, is a capital-intensive business, both fixed (facilities) and working capital (vehicle stock), and has faced a period of sharp demand decline between 2007 and 2012, but with significant fixed and variable costs, determining the profitability levels of the dealership networks of each of the car brands.</w:t>
      </w:r>
    </w:p>
    <w:p>
      <w:r>
        <w:t>According to estimates from FACONAUTO, an average of between 25% and 30% of dealerships in Spain will fall into the internal reorganization initiated by manufacturers. In this regard, at the end of 2013, according to data from FACONAUTO, 359 independent dealerships disappeared, while dealerships belonging to brands increased from 90 to 102. For example, in 2013 VAESA reduced its dealership network by 54%, FIAT by 48%, NISSAN by 30%, RENAULT by 29%, and FORD by 26%.</w:t>
      </w:r>
    </w:p>
    <w:p>
      <w:r>
        <w:t>However, already in 2013, dealership networks closed the year with an average profitability on turnover of 0.09%. By departments, the profitability of the sales area of dealership networks stood at 3.9% at the end of 2012, with a profit on turnover of 4% for new vehicles and 7.8% for used ones.</w:t>
      </w:r>
    </w:p>
    <w:p>
      <w:r>
        <w:t>Regarding the provision of after-sales activities and services in Spain, including vehicle inspections and/or repairs, this can be carried out in the official network of each brand, in independent workshops that purchase parts and spare parts from the official brand network, or in the so-called new forms of distribution and after-sales service formed by fast-fit repair chains and other new forms of repair, including auto-centers, accessory stores, and mass distribution chains of accessories, spare parts, and components.</w:t>
      </w:r>
    </w:p>
    <w:p>
      <w:r>
        <w:t>Authorized workshops primarily serve the new car market, whose profile is less price-sensitive, with a market share of around 80% of new cars, although it significantly drops for cars over four years old. Warranty customers usually go to the authorized workshop, as although in theory the consumer can choose from various brands of equivalent quality spare parts, in practice manufacturers have instituted a culture of specificity in their networks that has led to non-original spare parts being considered of inferior quality and, therefore, not used in authorized workshops.</w:t>
      </w:r>
    </w:p>
    <w:p>
      <w:r>
        <w:t>As for independent workshops, it is a highly fragmented subsector made up of a large number of small-sized companies. For specific jobs, traditional independent workshops dominate most of the market. There are small workshops that offer simple maintenance services and base their market on proximity and trust relationships with the customer, as well as generalist establishments that offer a wide range of services, along with a broad spectrum of specialist workshops.</w:t>
      </w:r>
    </w:p>
    <w:p>
      <w:r>
        <w:t>The independent repair sector handles around 40% of repairs and maintenance, with a clear specialization in the market for older vehicles, outside warranty periods and therefore aimed at more price-sensitive consumers.</w:t>
      </w:r>
    </w:p>
    <w:p>
      <w:r>
        <w:t>Regarding fast-fit repair chains (such as MIDAS, AURGI, or FEU VENT), they are organizations of franchised establishments that offer basic repair and maintenance services for cars and a limited range of specialized services, as well as a supply of spare parts. Their common characteristic, in addition to specialization, is the offering of quick services, without prior appointment, in establishments staffed by qualified personnel who provide a more flexible response at a lower cost than traditional channels.</w:t>
      </w:r>
    </w:p>
    <w:p>
      <w:r>
        <w:t>In relation to after-sales services, there is scarce public data available both at the European and Spanish levels regarding the economic activity of this sector, with only the Annual Trade Survey from the INE providing aggregated data on the maintenance and repair of motor vehicles or the trade of spare parts and accessories for motor vehicles. However, according to information provided by some of the companies involved in response to the information request made, in 2012, 41% of after-sales services were carried out by dealerships belonging to the official networks, 38% by independent workshops, 11% by specialized chains, and 12% by the car users themselves.</w:t>
      </w:r>
    </w:p>
    <w:p>
      <w:r>
        <w:t>In any case, according to the car registration figures in Spain published by the General Directorate of Traffic and included in the ANFAC 2013 report, considering the total number of vehicles registered in 2013, practically 100% of these correspond to the brands involved in this sanctioning file.</w:t>
      </w:r>
    </w:p>
    <w:p>
      <w:r>
        <w:t>Regarding demand in this market, as the DC indicates, the demand for motor vehicles in Spain is composed of a multitude of economic sectors, among which three important channels can be distinguished: private company fleets, individuals, and companies dedicated to renting or leasing motor vehicles. Within these sectors, significant collectives can also be distinguished, such as taxi drivers within the private sector.</w:t>
      </w:r>
    </w:p>
    <w:p>
      <w:r>
        <w:t>In terms of importance, the channel of individuals stands out, followed by that of company fleets, and lastly, the car rental companies. In the year 2014, the revenues and sales of the Dealer Networks experienced significant growth, and thus in the period from January to August 2014, the market reached 583,663 registered units, representing a growth of 16.4%, recording the best figure among the main European markets and the best figure in Spain since 2010, with growth during that period of 20.2% in the individual channel, 19.1% in the company channel, and 20.9% in the rental company channel.</w:t>
      </w:r>
    </w:p>
    <w:p>
      <w:r>
        <w:t>The demand for cars can also be segmented based on the socio-economic stratum of the population it is aimed at. In this sense, a series of generalist car brands with lower prices and qualities aimed at a population with medium/low purchasing power can be distinguished, as well as another series of car brands with high prices and qualities classified in the sector as "premium" aimed at collectives with higher incomes.</w:t>
      </w:r>
    </w:p>
    <w:p>
      <w:r>
        <w:t>The demand for cars in a country with the topography of Spain also varies depending on the region where the potential buyer resides, distinguishing between coastal and low-altitude areas, and more mountainous areas. The demand for cars as of September 30, 2013, in Spain was 600,000 cars per year, although in 2005 it reached 1,958,000 cars. Under normal economic and financial conditions, the demand for cars in Spain would be around 1.2 or 1.3 million units. For the purposes of after-sales services and repairs, it should be noted that the fleet of motor vehicles in Spain...</w:t>
      </w:r>
    </w:p>
    <w:p>
      <w:r>
        <w:rPr>
          <w:b/>
        </w:rPr>
        <w:t>[Pages 25–27]</w:t>
      </w:r>
    </w:p>
    <w:p>
      <w:r>
        <w:t>Spain in 2013 stood at 22,247,000 units, of which half were over 10 years old.</w:t>
      </w:r>
    </w:p>
    <w:p>
      <w:r>
        <w:t>III. ACCREDITED FACTS</w:t>
        <w:br/>
        <w:t>Taking into account the information in the file, provided by SEAT, S.A. in its request for exemption from the payment of the fine, obtained by the DC during inspections carried out from July 23 to 26, 2013, at the headquarters of the companies NISSAN, RENAULT, SNAP-ON, and TOYOTA, and submitted in the responses to the requests for information made to them, the DC considered the facts presented by the instructing body in sections (169) to (387) of the PCH to be accredited, which were specified as follows:</w:t>
      </w:r>
    </w:p>
    <w:p>
      <w:r>
        <w:t>1. Exchanges of commercially sensitive information regarding the commercial distribution strategy, the results of the brands, the remuneration and commercial margins to their Dealer Networks affecting the pricing of automobiles, as well as the homogenization of the conditions and future commercial plans for the sale and after-sales of automobiles in Spain from at least 2004 until July 2013, the date of the aforementioned inspections. In these exchanges, 20 distributing companies of the brands AUDI, BMW, CHEVROLET, CITROËN, FIAT-LANCIA-ALFA ROMEO, FORD, HONDA, HYUNDAI, KIA, MAZDA, NISSAN, OPEL, PEUGEOT, RENAULT, CHRYSLER-JEEP-DODGE, SAAB, SEAT, SKODA, TOYOTA, and VW participated, with the collaboration of SNAP-ON since November 2009.</w:t>
      </w:r>
    </w:p>
    <w:p>
      <w:r>
        <w:t>2. Exchanges of commercially sensitive information regarding their after-sales services and activities, as well as their marketing activities in Spain from March 2010 until at least August 2013. In such exchanges of information, 17 distributing companies of automobile brands participated, specifically those of the brands AUDI, BMW, CHEVROLET, CITROEN, FIAT, FORD, HONDA, HYUNDAI, KIA, MAZDA, NISSAN, OPEL, PEUGEOT, SEAT, SKODA, TOYOTA, VW, LEXUS, MERCEDES, MITSUBISHI (that is, B&amp;M; in the evidentiary elements in the file it is identified by the aforementioned brand), PORSCHE, and VOLVO, with the collaboration of URBAN since 2010.</w:t>
      </w:r>
    </w:p>
    <w:p>
      <w:r>
        <w:t>3. Exchanges of commercially sensitive information regarding the conditions of current and future commercial policies and strategies concerning after-sales marketing, end-customer marketing campaigns, customer loyalty programs, the policies adopted regarding the External Sales channel, and the Best Practices to be adopted by each of the aforementioned brands, during the so-called "Builder Days," in which 14 distributing companies of the automobile brands that participated in the previous exchanges of information participated, specifically AUDI, BMW, CITROEN, FIAT, FORD, HYUNDAI, MAZDA, NISSAN, OPEL, PEUGEOT, SEAT, SKODA, TOYOTA, VW, LEXUS, RENAULT, SAAB, and VOLVO, from April 2010 to March 2011.</w:t>
      </w:r>
    </w:p>
    <w:p>
      <w:r>
        <w:t>These exchanges of confidential information included a large amount of data, such as (i) the profitability and billing of their respective Dealer Networks in total and broken down by automobile sales and after-sales activities; (ii) the commercial margins and remuneration policy offered by the brands to their Dealer Networks; (iii) the structures, characteristics, and organization of their Dealer Networks and data on the management policies of those Networks; (iv) the conditions of their current and future commercial policies and strategies for after-sales marketing; (v) the end-customer marketing campaigns; (vi) the customer loyalty programs.</w:t>
      </w:r>
    </w:p>
    <w:p>
      <w:r>
        <w:t>All of this is part of a complex agreement, which encompasses multiple agreements for the exchange of commercially sensitive information, involving 14 of the total brands involved, specifically AUDI, BMW, CITROEN, FIAT, FORD, HYUNDAI, MAZDA, NISSAN, OPEL, PEUGEOT, SEAT, SKODA, TOYOTA, and VW in the three exchange forums; CHEVROLET, HONDA, KIA, LEXUS, RENAULT, SAAB, and VOLVO in two of them, and MITSUBISHI, MERCEDES, CHRYSLER, and PORSCHE in one of them.</w:t>
      </w:r>
    </w:p>
    <w:p>
      <w:r>
        <w:t>A series of accredited facts common to the three types of information exchange forums can be differentiated. Regarding the origin of the information exchange, the first contacts that the DC considers accredited between the brands for establishing management criteria for the Dealer Networks and the exchange of business management information related to the sale and after-sales of automobiles occurred in 2004 within the framework of the so-called "partners club" or "brands club," composed of the "traditional partners" or "family bosses," as they referred to themselves, specifically CHEVROLET, CITROEN, FIAT, FORD, OPEL (that is, GENERAL MOTORS, although in the evidentiary elements in the file it is identified by the aforementioned brand), PEUGEOT, RENAULT, and TOYOTA, with SEAT joining in June 2005. The incorporation of new companies into the club required the backing or invitation of one of the traditional partners of the "brands club," consolidating over time as a circle of trust in which each of the brands contributed, shared, and exchanged their confidential economic data and future commercial policies for sales and after-sales through their Dealer Networks.</w:t>
      </w:r>
    </w:p>
    <w:p>
      <w:r>
        <w:t>The cartel members exchanged confidential information on a "quid pro quo" basis, receiving confidential information in exchange for providing their own with the required quality and promptness. Occasionally, this generated concerns among the cartel members regarding delays in providing information, potential non-compliance by any of them, or the poor quality and inconsistency of the shared information. The necessity for the shared information to come from all participants, with the agreed quality and frequency and in comparable terms, justifies the existence of a common structure for such information.</w:t>
      </w:r>
    </w:p>
    <w:p>
      <w:r>
        <w:t>The exchanges of confidential information included a large amount of data:</w:t>
        <w:br/>
        <w:t>− the profitability and billing of their Dealer Networks in total and broken down by automobile sales (new and used) and after-sales activities (workshop and spare parts sales),</w:t>
        <w:br/>
        <w:t>− the commercial margins and remuneration policy offered by the brands to their Dealer Networks, influencing the final sale price set by them; this included the weight, in percentage terms, assigned to fixed and variable remuneration to the dealers, concepts included in each of the types of remuneration, bonus systems, campaign financing, objective verification systems, and financing of the vehicles purchased by the dealers.</w:t>
        <w:br/>
        <w:t>− the structures, characteristics, and organization of their Dealer Networks and data on the management policies of those Networks,</w:t>
        <w:br/>
        <w:t>− the conditions of their current and future commercial policies and strategies regarding after-sales marketing,</w:t>
        <w:br/>
        <w:t>− the end-customer marketing campaigns,</w:t>
        <w:br/>
        <w:t>− the customer loyalty programs,</w:t>
        <w:br/>
        <w:t>− the policies adopted regarding the external sales channel and the best management practices of their networks.</w:t>
      </w:r>
    </w:p>
    <w:p>
      <w:r>
        <w:rPr>
          <w:b/>
        </w:rPr>
        <w:t>[Pages 28–30]</w:t>
      </w:r>
    </w:p>
    <w:p>
      <w:r>
        <w:t>− as well as the monthly sales figures broken down by car models. Communications between the cartel companies, beyond meetings, were usually maintained via email, although at times, when the sensitivity and confidentiality of the matter required it, by telephone. The exchanges of information were carried out by heads of various departments (business management, networks, after-sales, marketing, etc.) dependent on the Commercial Management in most cases. These executives reported the exchanged information, in turn, to the top executives of their company.</w:t>
      </w:r>
    </w:p>
    <w:p>
      <w:r>
        <w:t>Regarding the secret nature of both the meetings and the exchanged information, it is recorded in the file that in some cases it was recommended to carry out the exchange "without lights or shorthand," during these face-to-face meetings and not through electronic communications among all of them.</w:t>
      </w:r>
    </w:p>
    <w:p>
      <w:r>
        <w:t>With respect to the accredited facts specifically related to the exchanges of information in the so-called "Brand Club," the following should be noted. As previously mentioned, the so-called Brand Club constitutes the origin of the information exchange. The information exchanged in the Brand Club affected the distribution and marketing of all vehicles distributed in Spain by the brands participating in that information exchange. In an initial phase, the participating companies themselves were responsible for organizing the cartel's semi-annual meetings, with a different company taking charge at each meeting. After the meeting held on April 16, 2009, SNAP-ON was contracted for the organization and management of the meetings and exchanges of information among the cartel members.</w:t>
      </w:r>
    </w:p>
    <w:p>
      <w:r>
        <w:t>The volume of information available in the file allows the instructing body to present in its PCH (paragraphs 235 to 334) exhaustively, with transcription of the content of meeting notes and tables attached to emails, the type of information that was the subject of exchange. Given the confidential nature of the exchanged information, SNAP-ON and the cartel companies adopted protocols of action to ensure that such information could not be used by third parties or for activities unrelated to the "Brand Club." In compliance with the cartel's provisions, SNAP-ON prepared a first version of a "Collaboration Document for the exchange of information," which was subsequently sent to the companies for their signature under the name "Collaboration Document for the creation of multi-brand comparative reports," indicating the confidential nature of the exchanged information, as well as the prohibition of access to third parties.</w:t>
      </w:r>
    </w:p>
    <w:p>
      <w:r>
        <w:t>However, during the meeting held on November 26, 2009, some of the companies participating in that meeting raised the possible violation of competition law of this "Confidentiality Agreement" signed by all of them with SNAP-ON. In the Brand Club meeting of March 23, 2011, attendees took special care to maintain the secret nature of these meetings, identifying the brands by letters, prohibiting note-taking, and committing to keep the content of the exchanged data secret: "If (TOYOTA) agrees, as (VW) says, we assign a letter to each brand and when it's our turn to speak, each one explains it. If necessary, we can also ask the people from URBAN and SNAP-ON not to take notes and to commit to not disseminating this data."</w:t>
      </w:r>
    </w:p>
    <w:p>
      <w:r>
        <w:t>In fact, starting in March 2012, participants sent the information concealing their names, having assigned a number to the brands to ensure the secrecy of the cartel, as evidenced in the email of May 28, 2012, from RENAULT to hidden recipients (this being another measure adopted to avoid detection of the cartel), attaching the table "6 de marzo2012.xls" with the profitability figures of that company, identified with number 6, and encouraging the continuation of the information exchange once these measures were adopted: "I believe that being prudent we can maintain the system we had, while respecting everyone's opinions, whoever wants/can respond in writing or by phone."</w:t>
      </w:r>
    </w:p>
    <w:p>
      <w:r>
        <w:t>The companies participating in this mode of information exchange met at least twice a year, the first to analyze the exchanged information, assess the achievement of the previous year's objectives, and set new objectives for the current year, and another at the end of the year for the evaluation of the objectives achieved.</w:t>
      </w:r>
    </w:p>
    <w:p>
      <w:r>
        <w:t>While it is accredited that the cartel began in 2004 through email contacts from the "traditional club partners," the first documented meeting of the cartel dates back to January 16, 2006. Regarding these meetings, at least 16 meetings are documented to have been held after the aforementioned January 2006 meeting, between February 16, 2006, and May 21, 2013. This mode of information exchange was successively expanded in terms of the number of participating brands: in March 2007, KIA was incorporated, and MAZDA in December; CHRYSLER in April and NISSAN and BMW in June 2008; VW in October 2008; HONDA and SKODA.</w:t>
      </w:r>
    </w:p>
    <w:p>
      <w:r>
        <w:rPr>
          <w:b/>
        </w:rPr>
        <w:t>[Pages 31–33]</w:t>
      </w:r>
    </w:p>
    <w:p>
      <w:r>
        <w:t>in April 2009; AUDI in September 2010 and HYUNDAI in July 2011. In fact, it is noted that the members of the "Brand Club" encouraged the incorporation of other companies into said club, inviting them to join the cartel. The objective of the cartel was to bring together most of the brands in Spain, especially the generalist ones. Regarding the duration of the companies' participation in this type of information exchange, MAZDA participated until September 2008, BMW ceased participation in November 2009, and CHRYSLER participated as an independent company until its integration into the FIAT group on July 1, 2010.</w:t>
      </w:r>
    </w:p>
    <w:p>
      <w:r>
        <w:t>Due to the concerns of the companies about the illicit nature of the information exchange, TOYOTA ended its participation in this subtype of information exchange, via an email dated September 18, 2012, sent to CHEVROLET, CITROËN, FIAT, FORD, HONDA, HYUNDAI, KIA, NISSAN, OPEL, RENAULT, SEAT, SKODA, and VW.</w:t>
      </w:r>
    </w:p>
    <w:p>
      <w:r>
        <w:t>On November 7, 2012, KIA communicated to CHEVROLET, CITROËN, FIAT, FORD, HYUNDAI, NISSAN, OPEL, RENAULT, SEAT, SKODA, and VW that it would also cease participation in the information exchanges. SKODA also ended its participation in this information exchange in November 2012, informing the other cartel members to refrain from sending it information until further notice.</w:t>
      </w:r>
    </w:p>
    <w:p>
      <w:r>
        <w:t>On January 16, 2013, SEAT informed the other cartel members that it was not interested in sending or receiving any commercial information from the other companies. Although HONDA communicated in June 2012 to the other companies in the cartel to remove it from the group for the sending of information via email, it is noted that it maintained its participation, at least until the last accredited meeting on May 21, 2013, just like AUDI and VW, which also expressed in January 2013 their intention not to continue participating in the Brand Club.</w:t>
      </w:r>
    </w:p>
    <w:p>
      <w:r>
        <w:t>The rest of the companies in the "Brand Club," namely CHEVROLET, CITROEN, FIAT, FORD, OPEL, PEUGEOT, RENAULT, NISSAN, and HYUNDAI, as well as SNAP-ON, remained involved, at least until the end of July 2013, the date of the inspections.</w:t>
      </w:r>
    </w:p>
    <w:p>
      <w:r>
        <w:t>Regarding the accredited facts related to the after-sales information exchanges, some of the companies in the "Brand Club," specifically AUDI, BMW, CHEVROLET, CITROEN, FIAT, FORD, HONDA, HYUNDAI, KIA, MAZDA, NISSAN, OPEL, PEUGEOT, TOYOTA, SEAT, SKODA, and VW, decided to expand and complete the information exchanged about their after-sales services and activities, with LEXUS, MERCEDES, MITSUBISHI, PORSCHE, and VOLVO joining this new information exchange agreement.</w:t>
      </w:r>
    </w:p>
    <w:p>
      <w:r>
        <w:t>To this end, with the collaboration of the consultancy URBAN starting in March 2010, they created an "After-Sales Indicators Information Exchange Program" and met in the so-called "After-Sales Directors Forums," analyzing the exchanged information and the future commercial policies to be implemented by the aforementioned brands.</w:t>
      </w:r>
    </w:p>
    <w:p>
      <w:r>
        <w:t>This after-sales information exchange was configured through a specific exchange instrument in the context of the economic crisis, which led to after-sales activity gaining greater relative importance in relation to the margin derived from car sales, as national revenues from sales fell more than those from after-sales. Manufacturers were aware of the growing importance of after-sales activity, while consumers were more price-sensitive in a crisis environment, emphasizing the valuation of maintenance costs in the vehicle acquisition decision.</w:t>
      </w:r>
    </w:p>
    <w:p>
      <w:r>
        <w:t>Despite the confidential nature of the information provided by the brands, it was disseminated in a disaggregated manner to all cartel companies, differentiating between monthly, quarterly, and annual reports.</w:t>
      </w:r>
    </w:p>
    <w:p>
      <w:r>
        <w:t>The participating brands in this information exchange sent information based on the type of report to be prepared by URBAN.</w:t>
      </w:r>
    </w:p>
    <w:p>
      <w:r>
        <w:t>The "Exchange Program" consisted of the preparation and submission by URBAN of a series of monthly, quarterly, and annual reports, along with the holding of a "After-Sales Directors Forum" on a four-monthly basis in which the conclusions of the main reports were analyzed and aspects of interest for all of them were discussed.</w:t>
      </w:r>
    </w:p>
    <w:p>
      <w:r>
        <w:t>In terms very similar to those already agreed upon for the participation of the other consulting company, SNAP-ON, the use of the information exchanged by URBAN and the aforementioned brands was also raised in the case of URBAN. URBAN drafted a commitment regarding the use of the information shared among the brands or access to such information exclusively by the companies participating in the cartel, except with the express consent of all the Directors of the participating brands.</w:t>
      </w:r>
    </w:p>
    <w:p>
      <w:r>
        <w:t>Following URBAN's proposal, "Confidentiality and Information Custody Agreements" were drawn up in October 2010, signed between URBAN and the distributing companies of the brands participating in this project. In these agreements, the participating companies confirmed the confidentiality of the information provided to URBAN, guaranteeing URBAN the exclusive use of such confidential information within the framework of this information exchange project with other brands. Some of the distributing companies of the brands participating in this information exchange expressed their doubts to URBAN about the possible illegality of the same.</w:t>
      </w:r>
    </w:p>
    <w:p>
      <w:r>
        <w:t>The companies participating in the cartel provided confidential information of internal origin and not publicly available, such as the billing of spare parts and accessories, the percentage of spare parts and accessories sold outside their dealership network (external sales), or the number of workshop visits, and URBAN completed this information with data regarding the vehicle fleet, with such information coming from public sources such as those that could be provided by the General Directorate of Traffic.</w:t>
      </w:r>
    </w:p>
    <w:p>
      <w:r>
        <w:t>Despite the confidential nature of the information provided by the brands, it was disseminated in a disaggregated manner to all cartel companies, differentiating between monthly, quarterly, and annual reports.</w:t>
      </w:r>
    </w:p>
    <w:p>
      <w:r>
        <w:t>The participating brands in this information exchange sent information based on the type of report to be prepared by URBAN.</w:t>
      </w:r>
    </w:p>
    <w:p>
      <w:r>
        <w:rPr>
          <w:b/>
        </w:rPr>
        <w:t>[Pages 34–36]</w:t>
      </w:r>
    </w:p>
    <w:p>
      <w:r>
        <w:t>– Monthly: information on the total invoicing of spare parts and accessories, calculated based on sales to dealers, sent by email in two versions: at the beginning of the month, including the invoicing broken down by brand and period of parts and accessories (P&amp;A) at the selling price to the network, with respect to the previous month and the monthly evolution of each brand according to the historical data, and an updated version a few days later, although sometimes these reports were sent up to 3 or 4 times as a result of the sending of corrected and/or completed versions with the data from each of the companies. Starting in March 2012, it included invoicing data for the sale of spare parts, accessories, and oils from the participating brands. All this data is confidential in nature and cannot be obtained through publicly accessible sources.</w:t>
      </w:r>
    </w:p>
    <w:p>
      <w:r>
        <w:t>– Quarterly: information on the number of workshop visits (total data as well as a breakdown according to whether the visits corresponded to bodywork or mechanics), breaking down the invoicing (bodywork or mechanics, contribution of each department to the invoicing, by parts and accessories, variation in invoicing by parts and accessories, % of external sales in each department), sales data for tires and service points (number of service points, variation in the number of service points).</w:t>
      </w:r>
    </w:p>
    <w:p>
      <w:r>
        <w:t>– Annually: information on service points (number of dealers with after-sales service) and percentage of sales of spare parts and accessories outside the dealer network (external sales, distinguishing by departments).</w:t>
      </w:r>
    </w:p>
    <w:p>
      <w:r>
        <w:t>The information provided by the companies to URBAN was done using the "Interbrand After-Sales Template" that URBAN provided. In this template, the department from which the information originated was described, the KPI (Key Performance Indicators) of the matter in question (service points, tires, oil, etc.), a description of it, and the units in which it should be entered (physical or monetary units, in this case, in euros).</w:t>
      </w:r>
    </w:p>
    <w:p>
      <w:r>
        <w:t>In line with the information provided by the participating brands in the exchange, the monthly report prepared by URBAN and sent to the brands included the invoicing broken down by brand and period of spare parts and accessories at the selling price to the dealer network, with respect to the previous month and the monthly evolution of each brand according to the historical data.</w:t>
      </w:r>
    </w:p>
    <w:p>
      <w:r>
        <w:t>At the beginning of the month, a first version was sent and an updated version a few days later, although it has already been noted that sometimes these reports were sent up to three or four times as a result of the sending of corrected and/or completed versions. Starting in September 2011, the monthly report included an Excel sheet with the accumulated evolution of invoicing compared to the evolution of the vehicle fleet; starting in February 2012, breaking down the invoicing by department (bodywork or mechanics) and starting in March 2012 included data with the invoicing from the sale of spare parts, accessories, and oils. All this data is confidential in nature and cannot be obtained through publicly accessible sources.</w:t>
      </w:r>
    </w:p>
    <w:p>
      <w:r>
        <w:t>The quarterly reports included, as additional information to that appearing in the monthly reports, the invoicing of each of the departments (bodywork or mechanics), sales data for tires, and the number of workshop visits (total data and breakdown according to whether the visits corresponded to bodywork or mechanics). The quarterly reports were sent by email and regular mail and were made available to participants in the restricted access area for clients on URBAN's website.</w:t>
      </w:r>
    </w:p>
    <w:p>
      <w:r>
        <w:t>The annual reports included, as additional information to that appearing in the monthly and quarterly reports, the percentage of sales of spare parts and accessories made outside the dealer network (external sales, distinguishing by departments) and the number of service points (number of dealers with after-sales service) of the brands and were made available to the companies in the restricted access area of URBAN's website, in addition to being sent by mail.</w:t>
      </w:r>
    </w:p>
    <w:p>
      <w:r>
        <w:t>Starting in May 2012, and to ensure the confidentiality of the exchange of after-sales indicators and the identity of the participating brands, URBAN adopted a numerical identification code for them, although known by these companies, as reflected in emails identifying the brands by their number. Additionally, a web solution with exclusive and limited access was established with the information exchanged by the companies that decided to continue (Interbrands Web).</w:t>
      </w:r>
    </w:p>
    <w:p>
      <w:r>
        <w:t>In light of persistent doubts about the legality of these exchanges, URBAN requested a legal report that was analyzed during the VII Forum on July 5, 2012. This report recommended adopting a series of measures to ensure the confidentiality of certain aspects of the "Indicator Exchange Project," such as concealing the identity of the participants, as well as the closed nature of the Agendas of the Forums, limited to the analysis of After-Sales Activity with anonymous reports containing aggregated data and without data related to External Sales. Thus, from that date, URBAN will identify the brands by a numerical code, an assignment known by the brands, being this a further measure adopted by the cartel to conceal itself and maintain the confidentiality of the information exchange between these companies.</w:t>
      </w:r>
    </w:p>
    <w:p>
      <w:r>
        <w:t>Ten meetings of the After-Sales Directors Forum have been documented from March 2010 to July 2013. The file contains tables reflecting the information exchanged, by brands, containing: units sold of new and used vehicles, total accumulated invoicing in euros and in percentage with a breakdown of the sale of new vehicles, used, workshop services, and sale of spare parts; external and extraordinary indirect expenses, with figures for profit before taxes in euros and in percentages, financial expenses of new vehicles in euros, costs per unit, and the number of dealers in percentage included in the sample. The tables reflect detailed information for each brand, including economic ratios such as the number of units and the average price of new and used vehicles, total invoicing of new and used vehicles, general expenses of their Dealer Network, the absorption rate of general expenses, and various confidential and strategic economic ratios such as the ratio resulting from dividing the economic results of new and used vehicles by the units of those new and used vehicles sold. The agreement, adopted at the VI Forum of After-Sales Directors, to include in the tables that were being exchanged a traffic light code identifying those situations above or below 25% of the average value of the brands that had provided their information has been documented.</w:t>
      </w:r>
    </w:p>
    <w:p>
      <w:r>
        <w:t>In July 2013, in light of the refusal of the brands belonging to the VOLKSWAGEN Group (AUDI, SKODA, and VW) to continue their participation in the "After-Sales Indicator Exchange Project," URBAN proposed to AUDI, BMW, FIAT...</w:t>
      </w:r>
    </w:p>
    <w:p>
      <w:r>
        <w:rPr>
          <w:b/>
        </w:rPr>
        <w:t>[Pages 37–39]</w:t>
      </w:r>
    </w:p>
    <w:p>
      <w:r>
        <w:t>HONDA, HYUNDAI, LEXUS, MITSUBISHI, NISSAN, PORSCHE, OPEL, SEAT, TOYOTA, VW, and VOLVO continued as before without adding the exchanged information, remaining outside the mentioned brands, or by aggregating it into three concepts - Total Brands, Generalists (9 brands), and Premium (6 brands) - including the mentioned brands and indicating the possible incorporation of new brands. It is evidenced by the information available in the file that this modality of information exchange was maintained at least until August 2013. However, some of the brands had ended their participation in said information exchange earlier. Thus, SEAT participated only in an exchange in September 2010; PEUGEOT participated until December 2010; CITROEN, MERCEDES, and FORD until February 2011, according to what was indicated in the meeting of the IV Forum of After-Sales Directors held on February 24, 2011; KIA, MAZDA, and OPEL participated until February 2012, although OPEL would rejoin in January 2013, and AUDI, SKODA, and VW participated until June 2013.</w:t>
      </w:r>
    </w:p>
    <w:p>
      <w:r>
        <w:t>Regarding the accredited facts related to marketing information exchanges, the documentation collected by the instructing body has allowed to establish that the brands exchanged confidential information during the meetings of the After-Sales Marketing Managers, called "Builder Days," from April 2010 to March 2011. The holding of three meetings between the executives of the Marketing departments of AUDI, BMW, CITROEN, FIAT, FORD, OPEL, HYUNDAI, LEXUS, MAZDA, NISSAN, PEUGEOT, RENAULT, SEAT, SKODA, TOYOTA, VW, and VOLVO is evidenced, in which these companies exchanged information related to the conditions and commercial policies related to after-sales marketing, evolution of turnover, after-sales marketing campaigns to the end customer, loyalty programs, policies regarding the external sales channel, and best practices to adopt. This information included future aspects of their commercial strategy, such as programs to promote tire sales, related to tire insurance and/or warranty, to retain or recover customers, with maintenance or repair contracts, technological tools for online management with insurance companies, body and paint programs, and commercial programs regarding the management of replacement cars.</w:t>
      </w:r>
    </w:p>
    <w:p>
      <w:r>
        <w:t>LEGAL GROUNDS</w:t>
      </w:r>
    </w:p>
    <w:p>
      <w:r>
        <w:t>FIRST.- COMPETENCY ENABLEMENT</w:t>
        <w:br/>
        <w:t>In accordance with the provisions of the first additional provision of Law 3/2013, of June 4, creating the National Commission of Markets and Competition, by Order ECC/1796/2013, of October 4, October 7, 2013, was determined as the date of operation of the CNMC. According to the second additional provision of the same Law, "the references that current legislation contains to the National Commission of Competition [...] shall be understood as made to the National Commission of Markets and Competition [...]" and "The references that Law 15/2007, of July 3, contains to the Investigation Directorate of the National Competition Commission shall be understood as made to the Competition Directorate of the National Commission of Markets and Competition."</w:t>
      </w:r>
    </w:p>
    <w:p>
      <w:r>
        <w:t>On the other hand, according to Article 5.1.c) of Law 3/2013, it is the responsibility of the CNMC to "apply the provisions of Law 15/2007, of July 3, regarding behaviors that prevent, restrict, and distort competition." Article 20.2 of the same law assigns to the Council the function of "resolving the sanctioning procedures provided for in Law 15/2007, of July 3," and according to Article 14.1.a) of the organic statute of the CNMC approved by Royal Decree 657/2013, of August 30, "the Competition Chamber shall hear matters related to the application of Law 15/2007, of July 3."</w:t>
      </w:r>
    </w:p>
    <w:p>
      <w:r>
        <w:t>Consequently, the competence to resolve this procedure corresponds to the Competition Chamber of the CNMC Council.</w:t>
      </w:r>
    </w:p>
    <w:p>
      <w:r>
        <w:t>SECOND.- OBJECT OF THE RESOLUTION AND APPLICABLE REGULATIONS</w:t>
        <w:br/>
        <w:t>In the present sanctioning file, this Chamber must resolve, based on the instruction carried out by the DC, which is included in the Report and Proposal for Resolution, whether the investigated behaviors constitute anticompetitive practices consisting of agreements for the exchange of commercially sensitive and strategic information related to new and used vehicles, spare parts sales, and after-sales services between manufacturing and distributing companies of car brands in Spain.</w:t>
      </w:r>
    </w:p>
    <w:p>
      <w:r>
        <w:t>The DC considers that the analyzed behavior is a prohibited practice under Article 1 of the LDC and Article 101 of the TFEU. The DC understands that this behavior corresponds to the legal definition of a cartel, as it consisted of exchanges of confidential, future, and strategic information in the areas of Business Management, After-Sales, and Marketing among the companies involved through contacts and meetings between representatives of these entities from at least March 2004 until August 2013.</w:t>
      </w:r>
    </w:p>
    <w:p>
      <w:r>
        <w:t>The DC points out in its proposal for resolution (paragraph 622) that "the practices under investigation constitute a violation prohibited by Article 1 of Law 16/1989, Article 1 of the LDC, and Article 101 of the TFEU, consisting of exchanges of commercially sensitive information in the Spanish market for the distribution and after-sales services of the participating brands."</w:t>
      </w:r>
    </w:p>
    <w:p>
      <w:r>
        <w:t>The DC observes that the behavior extends from 2004 to August 2013, that is, both during the validity of Law 16/1989 and Law 15/2007, with the infringement contemplated in Article 1 of the aforementioned laws being identical. However, citing precedents from the Competition Authority, it concludes that the sanctioning regime designed by Law 15/2007 is, from a global perspective, more favorable to the infringers than that contemplated by Law 16/1989, and therefore Law 15/2007 is the applicable legislation in the case from a substantive point of view.</w:t>
      </w:r>
    </w:p>
    <w:p>
      <w:r>
        <w:t>As the Council of the CNC has repeatedly pointed out in its resolutions, a criterion that this Competition Chamber fully shares (recently, in the Resolutions of September 22, 2014, Expte. S/0428/12 Palés, and December 4, 2014, Expte. S/0453/2 Railway Bearings), it would be indifferent to apply one or the other legal provision, opting, in accordance with the provisions of Article 128 of Law 30/1992, of November 26, on the Legal Regime of Public Administrations and Common Administrative Procedure, for the norm that is more beneficial for the infringer in the specific case, according to the principles of non-retroactivity of the more unfavorable sanctioning norm and retroactivity of the more favorable one.</w:t>
      </w:r>
    </w:p>
    <w:p>
      <w:r>
        <w:t>The more favorable condition of Law 15/2007 has been recognized on previous occasions not only by the Council of the CNC and the CNMC but also by the National Court, which in its judgment of April 2, 2014 (appeal 194/2011, of L'OREAL ESPAÑA S.A. and L'OREAL S.A.), stated the following: "In the following reason, the plaintiff asserts that the CNC has made an improper retroactive application of Law 15/2007. In this regard, it is worth highlighting that the conduct attributed would have begun on February 8, 1989, would have continued during the validity of Law 16/1989, of July 17, on Competition Defense, and would have continued under Law 15/2007, of July 3, on Competition Defense, which came into force on September 1, 2007, until February 28, 2008. Since the initiation of the file occurred on June 16, 2008, its processing has been carried out in accordance with the procedural rules of Law 15/2007, as it results, sensu contrario, from what is established in the First Transitional Provision of the aforementioned legal text, which states that "Sanctioning procedures regarding prohibited conduct initiated before the entry into force of this Law shall be processed and resolved in accordance with the provisions in force at the time of their initiation."</w:t>
      </w:r>
    </w:p>
    <w:p>
      <w:r>
        <w:rPr>
          <w:b/>
        </w:rPr>
        <w:t>[Pages 40–42]</w:t>
      </w:r>
    </w:p>
    <w:p>
      <w:r>
        <w:t>But regarding substantive law, it should be noted that although the conduct regulated by Article 1 of both laws is identical, the sanctioning regime designed by Law 15/2007 is, from a global perspective, more favorable to the offenders than that contemplated by the previous Law 16/1989. This is evident, among other elements of judgment, from the non-existent system of grading of infringements in the previous legislation, the establishment of maximum limits on the amount of some sanctions that are lower than the general amount provided for by Article 10 of Law 16/1989, the reduction of the limitation periods for some of the typified conducts, or the particularly noteworthy possibility in this case, common to all those who have participated in a cartel, to request exemption or reduction of the sanction.</w:t>
      </w:r>
    </w:p>
    <w:p>
      <w:r>
        <w:t>Therefore, since both laws sanctioned exactly the same conducts, their treatment is identical as well as the quantification of the fine, since both indicate that the amount may be increased up to 10% of the sales volume corresponding to the financial year immediately preceding the resolution of the Tribunal, it cannot be stated that the new Law is more detrimental to the plaintiff than the old one."</w:t>
      </w:r>
    </w:p>
    <w:p>
      <w:r>
        <w:t>This appreciation of Law 15/2007 as the more favorable law results, among other elements of judgment, from the non-existent system of grading of infringements in the previous legislation, the establishment of maximum limits on the amount of some sanctions that are lower than the general amount provided for by Article 10 of Law 16/1989, the reduction of the limitation periods for some of the typified conducts, and the possibility, common to all those who have participated in a cartel, to request exemption from the payment of the fine or reduction of its amount under the leniency program, introduced precisely by Law 15/2007.</w:t>
      </w:r>
    </w:p>
    <w:p>
      <w:r>
        <w:t>This Chamber considers that the application of Articles 65 and 66 of the LDC cannot be understood as a mere procedural aspect, but rather substantive, and that precisely the possibility of benefiting from its application in cartel cases is one of the aspects that determines that the applicable norm in the present sanctioning procedure is Law 15/2007, as it is deemed more favorable to the parties, since the possibility of benefiting from the leniency program is open prior to any of the participating companies in the cartel.</w:t>
      </w:r>
    </w:p>
    <w:p>
      <w:r>
        <w:t>THIRD.- LEGAL ASSESSMENT OF THE INSTRUCTING BODY</w:t>
      </w:r>
    </w:p>
    <w:p>
      <w:r>
        <w:t>Upon completion of the instruction of the file, the DC understands that the existence of agreements adopted and implemented by the investigated companies to "exchange commercially sensitive information in the Spanish market for the distribution and after-sales services of the participating brands" has been accredited. […] the exchanges of information between the brands affected their strategic decisions regarding the organization of their commercial activity and after-sales service, including current and future commercial plans and actions regarding sales and after-sales services through their distribution networks of dealers and official workshops and the remuneration policies for said network, with a direct effect on the final price of the automobile. Such exchanges eliminated the existing uncertainty in the market, removing the risks arising from the management of the selective distribution networks of each of the accused brands with respect to sales and after-sales activities, especially regarding after-sales during a period of sharp decline in automobile demand and excess supply by the distribution networks of each of the brands."</w:t>
      </w:r>
    </w:p>
    <w:p>
      <w:r>
        <w:t>Based on Article 50.4 of the LDC, the DC has proposed the following to the Council:</w:t>
        <w:br/>
        <w:t>− "First. That the existence of a prohibited practice be declared under Article 1 of Law 16/1989, Article 1 of the LDC, and Article 101 of the TFEU due to the agreements for the exchange of commercially sensitive and strategic information between the manufacturing and distributing companies of motor vehicles in Spain from March 2004 to August 2013 among AUTOMÓVILES CITROËN ESPAÑA, S.A., B&amp;M AUTOMÓVILES ESPAÑA, S.A., BMW IBÉRICA, S.A.U., CHEVROLET ESPAÑA, S.A., CHRYSLER ESPAÑA, S.L., FIAT GROUP AUTOMOBILES SPAIN, S.A., FORD ESPAÑA, S.L., GENERAL MOTORS ESPAÑA, S.L.U., HONDA MOTOR EUROPE LIMITED, BRANCH IN SPAIN, HYUNDAI MOTOR ESPAÑA, S.L.U., KIA MOTORS IBERIA, S.L., MAZDA AUTOMÓVILES ESPAÑA, S.A., MERCEDES BENZ ESPAÑA, S.A., NISSAN IBERIA, S.A., ORIO SPAIN, S.L., PEUGEOT ESPAÑA, S.A., PORSCHE IBÉRICA, S.A., RENAULT ESPAÑA COMERCIAL, S.A., SEAT, S.A., TOYOTA ESPAÑA, S.L., VOLKSWAGEN AUDI ESPAÑA, S.A. and VOLVO CAR ESPAÑA, S.L.U., with the collaboration of the consulting companies SNAP-ON BUSINESS SOLUTIONS S.L. and URBAN SCIENCE ESPAÑA, S.L.U., in the areas of Business Management, After-sales, and Marketing through contacts and meetings between representatives of said companies, constitutive of a cartel.</w:t>
        <w:br/>
        <w:t>− Second. That this collusive conduct be classified, for the purposes of determining the sanction to be imposed, as a very serious infringement under Article 62.4.a) of the LDC.</w:t>
        <w:br/>
        <w:t>− Third. That those responsible for said infringement be declared, in accordance with Article 61 of the LDC, to […]</w:t>
        <w:br/>
        <w:t>− Fourth. That the sanction provided for in Article 63.1.c) of the LDC for very serious infringements be imposed, with a fine of up to 10% of the total turnover of the infringing companies in the financial year immediately preceding the imposition of the fine, taking into account the criteria for determining the sanction provided for in Article 64 of the LDC.</w:t>
        <w:br/>
        <w:t>− Fifth. That the proceedings against PEUGEOT CITROEN AUTOMÓVILES ESPAÑA, S.A. and RENAULT ESPAÑA, S.A. be archived, as the commission of an infringement by said companies has not been accredited, under Article 33.3 of the RDC.</w:t>
        <w:br/>
        <w:t>− Sixth. That in application of the provisions of the LDC and the RDC regarding the leniency program, and in view of the actions taken, SEAT, S.A. as well as the other companies that are part of the Group to which it belongs, VOLKSWAGEN AUDI ESPAÑA, S.A. and PORSCHE IBÉRICA, S.A., be exempted from the payment of the fine, in accordance with the conditional exemption granted to this company as well as to its direct and indirect subsidiaries and entities that make up the group to which SEAT, S.A. belongs and that have participated in the analyzed cartel, in accordance with Article 65.1.a) of the LDC and Article 47.1 of the RDC, for providing evidence that allowed the ordering of an inspection regarding the cartel described in the aforementioned exemption request. Therefore, if at the end of the sanctioning procedure, SEAT, S.A. and the other companies that are part of the Group to which it belongs, VOLKSWAGEN AUDI ESPAÑA, S.A. and PORSCHE IBÉRICA, S.A., have met the requirements of Article 65.2 of the LDC, the Competition Chamber of the Council of the CNMC, in accordance with the proposal of this Directorate, will grant the exemption from the payment of the fine that would otherwise correspond to them."</w:t>
      </w:r>
    </w:p>
    <w:p>
      <w:r>
        <w:t>Taking into account the information in the file, the DC considers that the existence of agreements for the exchange of strategic and sensitive information carried out by the investigated companies through contacts and meetings between representatives of said companies, with the collaboration of the consulting companies SNAP-ON and URBAN, has been accredited.</w:t>
      </w:r>
    </w:p>
    <w:p>
      <w:r>
        <w:t>FOURTH. ALLEGATIONS PRESENTED TO THE RESOLUTION PROPOSAL</w:t>
      </w:r>
    </w:p>
    <w:p>
      <w:r>
        <w:t>On May 22, 2015, the DC submitted its Report with Resolution Proposal to the Council of the CNMC, in which it proposes, as previously anticipated, that the existence of a practice prohibited by Article 1 of the LDC and Article 101 TFEU be declared, and that the collusive conduct it understands to be accredited be classified, for the purposes of determining the sanction to be imposed, as a very serious infringement under Article 62.4.a) of the LDC.</w:t>
      </w:r>
    </w:p>
    <w:p>
      <w:r>
        <w:t>The investigated entities have presented allegations to the resolution proposal, which are subsequently addressed by this Competition Chamber. The high degree of coincidence in the allegations made by the different brands, both substantively and formally, allows for a grouped response to them, as far as applicable.</w:t>
      </w:r>
    </w:p>
    <w:p>
      <w:r>
        <w:t>4.1. On the delimitation of the affected market</w:t>
      </w:r>
    </w:p>
    <w:p>
      <w:r>
        <w:t>Different investigated companies (VOLVO, FORD, HONDA, MERCEDES) agree in arguing in their allegations to the PR, as they did at the time regarding the PCH, that the delimitation of the relevant market carried out by the DC is not correct. Thus, the DC defines in the PR the affected markets in this file as (i) that of the distribution and marketing of motor vehicles in Spain, including the sale of new and used motor vehicles, spare parts, and accessories, through the selective distribution networks of the brands and (ii) that of the provision of after-sales services in Spain that the brands also carry out through the official network of dealers and official workshops. The brands, however, insist on the existence of two markets, sales and after-sales, not only differentiated but...</w:t>
      </w:r>
    </w:p>
    <w:p>
      <w:r>
        <w:rPr>
          <w:b/>
        </w:rPr>
        <w:t>[Pages 43–45]</w:t>
      </w:r>
    </w:p>
    <w:p>
      <w:r>
        <w:t xml:space="preserve">disconnected from each other for the purposes of this file, further emphasizing the lack of competition among the brands in the after-sales market.  </w:t>
        <w:br/>
        <w:t xml:space="preserve">Response from the Competition Chamber:  </w:t>
        <w:br/>
        <w:t xml:space="preserve">Even though in this case, given that it involves a collusive practice prohibited by Article 1 LDC, it would not have been necessary to delineate the relevant market since it is not an essential element of the infringing type, it must be specified that the market definition contained in the resolution proposal is, in the opinion of this Chamber, correct.  </w:t>
        <w:br/>
        <w:t xml:space="preserve">The concepts of relevant market and affected market are clearly differentiated in the PR prepared by the DC, with the latter being delineated by the accreditation of the facts and the content of the information exchanges. The affected market coincides with the market in which the infringing conduct materializes, that is, for which strategic information is exchanged, which in this file corresponds to information affecting the distribution and marketing of all vehicles distributed in Spain by the brands participating in that information exchange.  </w:t>
        <w:br/>
        <w:t xml:space="preserve">The DC has precisely stated in its PR how the distinction it makes between the sales market and the after-sales market does not hinder the complementary nature of both, as well as the impact on competition in the sale of automobiles from the prices of after-sales services: “It is erroneous to assert that the primary market (automobile distribution) and secondary market (after-sales services) are independent markets or that the exchange of information about after-sales services does not affect the automobile sales market, given that wholesale distributors do not compete with each other in the after-sales market. This is because it is unrealistic to analyze the competitive dynamics in the primary market (automobile distribution) without considering what happens in the secondary market (after-sales services), given the complementarity between both and the simultaneous presence of manufacturers as suppliers in both markets. Thus, a manufacturer can make its offer more attractive compared to its competitors by reducing the cost associated with maintenance and repair services, charging a lower price for spare parts.”  </w:t>
        <w:br/>
        <w:t xml:space="preserve">Since it is the companies and entities involved that, through their anti-competitive conduct, determine the scope affected by the infringement (Resolution of the CNC Council of July 30, 2013, Expte. S/0380/11 Rental Cars and Resolution of the CNMC of September 22, 2014, Expte. S/0428/12 Pallets), this Chamber considers that it has been sufficiently evidenced in this file that the affected markets are those of the distribution and marketing of new and used vehicles, spare parts, and accessories, as well as the provision of activities and after-sales services, through their official networks of dealers and authorized workshops, by the main automobile brands throughout Spanish territory, which corroborates the validity of the affected market definition made by the DC.  </w:t>
        <w:br/>
        <w:t xml:space="preserve">Furthermore, the instructing body has rigorously explained how the primary market for automobile distribution and the secondary market for after-sales are interdependent or complementary markets in the sense that the competitive dynamics of one influence the other, and there is a simultaneous presence of vehicle manufacturers as suppliers in both markets.  </w:t>
        <w:br/>
        <w:t xml:space="preserve">4.2. On the sufficiency of the accreditation of the facts and the individualization of the alleged conduct  </w:t>
        <w:br/>
        <w:t xml:space="preserve">All the companies involved agree in alleging that the DC has not sufficiently accredited the practices described in the PR, and that the accusation is based on mere indications or on an incorrect understanding of the market in which the conduct took place. It is also a common allegation to consider that the right to the presumption of innocence has been violated due to insufficient evidence or insufficient individualization of the facts attributed to each of the companies to delineate their responsibility. By way of example, MAZDA points out that the DC has assessed the evidence presented “jointly and globally [which] has led that Directorate to make a single and general accusation – with the exception of the temporal specification contained in the responsibility section – for all the companies that, in one way or another, are mentioned in the documents in the file, without having carried out a thorough examination of the specific and individualized participation of each of them.”  </w:t>
        <w:br/>
        <w:t xml:space="preserve">Response from the Competition Chamber:  </w:t>
        <w:br/>
        <w:t xml:space="preserve">Prior to this, it should be noted that, due to the level of evidence existing in this file, the information exchanges carried out by the brands as well as the meetings held among them have not been, as a rule, denied by the parties involved in their allegations to the PCH or to the PR. The controversy is more focused on the qualification that the instructing body gives to the conduct.  </w:t>
        <w:br/>
        <w:t xml:space="preserve">Given the characteristics of the conduct being analyzed, the DC has evaluated the evidence obtained and incorporated into the file, particularly the documentation collected during the inspection of the headquarters of NISSAN, RENAULT, SNAP-ON, and TOYOTA and the responses provided by the parties involved to the corresponding information requests, which corroborates the information provided by SEAT in its exemption request, and which has allowed it to determine both the facts that are considered accredited and the specific participation of the parties involved in them.  </w:t>
        <w:br/>
        <w:t xml:space="preserve">This Chamber cannot share the common allegation of the parties involved regarding the conclusion of the DC about the anti-competitive nature of the information exchanges carried out by the participating brands, with the collaboration of SNAP-ON and URBAN, lacking sufficient evidentiary support. Against these allegations, it is noted that the documentation in the file, particularly emails between the involved companies, internal emails of the participating companies, handwritten notes, invitations, agendas, and minutes of meetings, constitute fully corroborated indications that allow reaching the conclusion of the existence of systematic exchanges of confidential, current, and strategic information among the involved brands, as well as the secret nature of such exchanges.  </w:t>
        <w:br/>
        <w:t xml:space="preserve">It is appropriate to insist on the strength and coherence of this evidence and indications, additional to the statement of the leniency applicant, which corroborate and complete it. The DC presents in the PCH a contextualized account of the facts, analyzing the organization and functioning of the cartel, detailing in a differentiated manner the existing evidence for the three schemes of information exchange investigated, as well as the common elements among them and their complementarity, an exposition that is summarized in the previous section of Accredited Facts of this Resolution. Likewise, for each of the involved companies, the PCH individualizes the responsibility derived from participation in the corresponding information exchange scheme or schemes, specifying in a differentiated manner the duration of their participation, in light of the specific documentary evidence collected during the instruction of the file.  </w:t>
        <w:br/>
        <w:t xml:space="preserve">The allegations presented, however, do not offer a plausible alternative explanation to the evidence obtained during the instruction phase by the DC, beyond stating that it was a lawful benchmarking exercise aimed at understanding best practices regarding the business management of their dealer networks and how to improve the viability of the sales and after-sales activities of those networks. Thus, by way of example, HONDA points out in its allegations to the PR that “the only and exclusive reason why HONDA participated in the aforementioned information exchanges was for benchmarking and better management of its dealer network. That is, to understand trends and experiences in the market and thus improve its policies towards its dealers to help improve their profitability and, consequently, also save the network.”  </w:t>
        <w:br/>
        <w:t>This Competition Chamber considers that such justification, analogous to that presented by the other parties involved, is not consistent with the reality, the nature, and the degree of disaggregation of the information exchanged among direct competitors. Such a conclusion cannot also be questioned by the allegations regarding the lack of intra-brand competition in the after-sales market, as analyzed in detail below.</w:t>
      </w:r>
    </w:p>
    <w:p>
      <w:r>
        <w:rPr>
          <w:b/>
        </w:rPr>
        <w:t>[Pages 46–48]</w:t>
      </w:r>
    </w:p>
    <w:p>
      <w:r>
        <w:t>It should also be noted that the use of circumstantial evidence in the field of competition law has been repeatedly accepted by the Supreme Court. For circumstantial evidence to lawfully undermine the presumption of innocence, "it is necessary that the circumstantial evidence is based not on mere suspicions, rumors, or conjectures, but on fully accredited facts, and that there is a precise and direct link between the base facts and the fact that is being proven, according to the rules of human judgment" (SAN of May 7, 2014). This Chamber understands that the conclusions reached by the DC are based on the accredited facts according to a logical and reasoned argument.</w:t>
      </w:r>
    </w:p>
    <w:p>
      <w:r>
        <w:t>This consideration is consistent with the community doctrine regarding the sufficient degree of proof required for the accreditation of cartels, which is reflected in the judgment of the General Court of the European Union dated December 12, 2014, case T-562/08: "Given that both the prohibition of participating in agreements and practices contrary to competition and the penalties to which offenders may be exposed are notorious, it is common for activities involving such practices and agreements to be conducted clandestinely, for meetings to be held in secret, and for documentation regarding this to be minimized. Consequently, the Commission cannot be required to provide documents that expressly prove a contact between the affected operators. Even if the Commission discovers such documents, they will normally only be fragmentary and dispersed, so that it is often necessary to reconstruct some details by deduction. Therefore, in most cases, the existence of a practice or agreement contrary to competition is inferred from certain coincidences and circumstantial evidence that, considered as a whole, may constitute, in the absence of another coherent explanation, proof of a violation of competition rules (judgment Aalborg Portland and others/Commission, cited in paragraph 98 above, paragraphs 55 to 57; see the judgment Dresdner Bank and others/Commission, cited in paragraph 98 above, paragraphs 64 and 65, and the cited case law)."</w:t>
      </w:r>
    </w:p>
    <w:p>
      <w:r>
        <w:t>4.3. On the disaggregated, confidential, updated, and strategic nature of the exchanged information. Secret nature of the agreements.</w:t>
      </w:r>
    </w:p>
    <w:p>
      <w:r>
        <w:t>Most brands claim that the exchanged information consisted of non-strategic, aggregated, and outdated data, which was exchanged occasionally and intermittently and that such information was public. They also argue that the information did not include relevant items and did not address the complexity of the companies' commercial policies, which prevented it from determining the final price of the vehicle or being used to reduce uncertainty about the future behavior of competitors.</w:t>
      </w:r>
    </w:p>
    <w:p>
      <w:r>
        <w:t>The accused parties argue that the exchanged data, which did not relate to prices or promotions but to overall sales, did not allow the brands to know the pricing policies of others or the remuneration structures and margins of the dealers. The data exchanged regarding the situation of the dealers, the average margin of the same, the brands consider that being provided at the network level, and not at the level of dealers, models, or categories of models, is excessively general to be considered disaggregated and strategic. The same is argued regarding the information exchanged in the After-Sales Forum, total wholesale sales of four categories of products: oil, tires, accessories, and others.</w:t>
      </w:r>
    </w:p>
    <w:p>
      <w:r>
        <w:t>The brands point out that the instructing body confuses concepts and incorrectly derives from the confidential or non-public nature of the exchanged information the erroneous consequence of the secret condition of the behaviors.</w:t>
      </w:r>
    </w:p>
    <w:p>
      <w:r>
        <w:t>Response of the Competition Chamber:</w:t>
        <w:br/>
        <w:t>This Competition Chamber, in light of the information available in the file, fully agrees with the analysis made by the DC regarding the nature of the exchanged information.</w:t>
      </w:r>
    </w:p>
    <w:p>
      <w:r>
        <w:t>Thus, there is no doubt about its current nature, in the sense that it was sent by the participating brands after being obtained, and by the facilitating consultancies once incorporated differently into the corresponding tables. The updated nature of the information is evidently relevant, as it increases its usefulness for designing strategies or conditioning future behaviors. A similar judgment applies to the frequency of exchanges, since, generally, the greater the frequency, the greater the knowledge of competitors' strategies in the market and the greater the possibility of anti-competitive impact.</w:t>
      </w:r>
    </w:p>
    <w:p>
      <w:r>
        <w:t>It is indisputable that updated information regarding prices, quantities, customer lists, or production costs refers to clear elements of competitive strategy and, as a general rule, will be classified as strategic information for the purposes of qualifying the conduct. This does not prevent, depending on the specific characteristics of the affected markets, that less evident elements of information may also be particularly strategic and sensitive for competition. Such is the case of the extensive information exchanged through the behaviors subject to this file, regarding aspects such as remuneration and commercial margins to the Dealer Networks, with influence on the final sale price set by them, as well as conditions of policies and commercial strategies.</w:t>
      </w:r>
    </w:p>
    <w:p>
      <w:r>
        <w:t>This Competition Chamber does not share the allegation of the accused parties regarding the average value character of some of the exchanged data, also linked to segments and to vehicle models that are not homogeneous among brands, preventing the consideration of the exchanged information as strategic. It is clear in light of the specific characteristics of the affected markets that those average values did constitute sufficiently representative information and therefore suitable for reducing uncertainty and for competitors to act accordingly by modifying their behavior in the market.</w:t>
      </w:r>
    </w:p>
    <w:p>
      <w:r>
        <w:t>Here, it is worth citing the consideration of the Supreme Court in its recent judgment of June 8, 2015 (appeal 3253/2014, in which the RCNC of March 2, 2011, expte. S/0086/08 Professional Hairdressing is confirmed): "But in addition to the present and future price increases, the companies of the G8 exchanged much more relevant information for the purposes of knowing each other's commercial strategies. Indeed, it is known that they communicated information about sales increases, diets, personnel and organization, payment and financing terms and methods, defaults, sales trends of each company disaggregated by families and sub-families of products, and from the year 2000, gross and net sales figures of each company, and totals."</w:t>
      </w:r>
    </w:p>
    <w:p>
      <w:r>
        <w:t>Although the accused parties point out the aggregated nature of the information, for not being broken down by models or by dealers, the truth is that, as can be inferred from the documentation collected in the instruction and mentioned above in the section of Accredited Facts, the exchanged data related to units sold, revenues, economic results of the activity and results in percentage over revenues, indirect costs in percentage over revenues, and the amounts of profit before taxes regarding the sale of new and used vehicles, as well as spare parts and after-sales. This Chamber agrees with the DC in considering that this data on average margins of the networks, and the exchange of disaggregated information by brands of the fixed and variable remuneration offered to the dealer networks are clearly relevant for the adoption, by the brands, of their commercial strategies.</w:t>
      </w:r>
    </w:p>
    <w:p>
      <w:r>
        <w:t>The accredited information exchanges were suitable, therefore, and such was the objective sought in the design and evolution of the three exchange forums, to produce a drastic reduction of uncertainty in the process of determining prices and other relevant commercial conditions that would have prevailed in the absence of an agreement to share information. The high frequency of exchanges and the presence from a certain stage of facilitating consultancy firms for the meetings and the exchange of information are elements that underscore the strategic condition for these purposes of the exchanged information.</w:t>
      </w:r>
    </w:p>
    <w:p>
      <w:r>
        <w:t>Regarding the secret nature of the information exchange agreements, in addition to what will be pointed out in the subsequent section (4.4), it should be noted that there is a clear intention by the parties to conceal the cartel, as evidenced, for example, by the suggestion of SNAP-ON, which is noted in the handwritten notes of the business management responsible of one of the brands, regarding "changing 'meeting name' so that it is not so obvious," the aforementioned use of digits for...</w:t>
      </w:r>
    </w:p>
    <w:p>
      <w:r>
        <w:rPr>
          <w:b/>
        </w:rPr>
        <w:t>[Pages 49–51]</w:t>
      </w:r>
    </w:p>
    <w:p>
      <w:r>
        <w:t>identifying the brands, prior knowledge by them of which number corresponded to each participating company in the exchange or the use of email references with recipients in blind copy. This aims to give the services an appearance of legality through the use of expressions that are not suspicious and capable of going unnoticed by third parties not involved in the agreements. This also determines the concurrence of the cognitive and volitional elements of the conduct by its authors.</w:t>
      </w:r>
    </w:p>
    <w:p>
      <w:r>
        <w:t>This Competition Chamber considers it fully proven that the exchanges of information were structured to enable, and in fact generated, the consequence that the participating brands were aware of the main figures and economic results obtained by their direct competitors with a high level of disaggregation, related to the sales markets (new and used) and after-sales (workshop and spare parts sales), the profits by departments in total amounts and percentages, the expense figures (in percentage and total), as well as EBITDA (in percentage and total) and the commercial margins of the dealership network of the participating brands in the exchange. The exchange of this information led to coordinated behavior among competitors for the determination of key variables in their market actions.</w:t>
      </w:r>
    </w:p>
    <w:p>
      <w:r>
        <w:t>4.4. On the qualification of the conduct as an infringement by object constituting a cartel</w:t>
      </w:r>
    </w:p>
    <w:p>
      <w:r>
        <w:t>All the initiated proceedings agree in stating that the exchange of information subject to the file cannot be considered an infringement by object and that, given the nature of the exchanged information, it cannot constitute a cartel. Numerous proceedings allege that the DC has not proven the secret nature of the exchange, nor the timeliness of the exchanged information, its disaggregated nature, and its harmfulness in terms of competition.</w:t>
      </w:r>
    </w:p>
    <w:p>
      <w:r>
        <w:t>Response from the Competition Chamber:</w:t>
      </w:r>
    </w:p>
    <w:p>
      <w:r>
        <w:t>While it is common for the parties to an agreement for the exchange of strategic and sensitive information to conduct themselves discreetly, this Competition Chamber understands that the present file contains sufficient evidentiary and indicative elements that, through coordinated conduct among competing companies, such an exchange has occurred under requirements of reciprocity among the participating companies, with the aim of consciously replacing the risks of competition with practical cooperation among them, reducing uncertainty about key elements of their commercial policies and capable of determining their behavior in the market.</w:t>
      </w:r>
    </w:p>
    <w:p>
      <w:r>
        <w:t>We refer to what was stated in the previous section regarding the strategic, disaggregated, and current nature of the information shared. This Competition Chamber finds it indisputable that an exchange of such characteristics is harmful to competition as it is capable of eliminating uncertainty about the market behavior of the brands regarding strategic parameters, reduces the independence of conduct among the participating brands in the exchange, and diminishes the incentives to compete.</w:t>
      </w:r>
    </w:p>
    <w:p>
      <w:r>
        <w:t>The regularity and stability of the meetings, the organization and convening of them, initially by the participants, through consulting firms in a later phase, the level of responsibility of the attendees at the meetings, and the knowledge accredited by the senior management of the participating companies are all elements that, taken together, confirm the qualification of the conduct as a very serious infringement constituting a cartel.</w:t>
      </w:r>
    </w:p>
    <w:p>
      <w:r>
        <w:t>The three types of information exchanges analyzed in this file are characterized by constituting a closed system, that is, based on rules of reciprocity and allowing access to information only to the companies that agree to its exchange. Furthermore, the system is transparent, in the sense that the recipient companies of the exchanged information could associate the data with one brand or another, directly in an initial stage, and indirectly through knowledge of the designating digits corresponding to each brand in a second stage.</w:t>
      </w:r>
    </w:p>
    <w:p>
      <w:r>
        <w:t>This Competition Chamber also agrees with the assessment of the instructing body that the conduct of the exchange contains the elements that allow it to be classified as secret. Contrary to what the brands and URBAN and SNAP-ON themselves have indicated, the confidentiality commitments were not merely intended to ensure that the information was only used for the purpose for which it was sent, but to conceal the practice itself. This is why the confidentiality documents handled do not address guaranteeing confidentiality between the consultancy and each participating brand, nor the proper concealment of its origin in the reports that were prepared, nor the destruction of the data once aggregated, but rather that such data would not be disseminated to third parties.</w:t>
      </w:r>
    </w:p>
    <w:p>
      <w:r>
        <w:t>The Chamber considers a unique and continuous conduct sufficiently proven that, due to the nature of the exchanged information and the pursued objective of reducing uncertainty and coordinating commercial strategies, distorts competition, with an evident effect benefiting the participants in the conduct, which constitutes an infringement by object of Article 1 of the LDC, classified as a cartel according to the Fourth Additional Provision 2 of the LDC.</w:t>
      </w:r>
    </w:p>
    <w:p>
      <w:r>
        <w:t>In this regard, we must recall what the Council of the CNC stated in the aforementioned Resolution of March 2, 2011, case S/0086/08 Professional Hairdressing, regarding the concept of cartel included in the Fourth Additional Provision of the LDC: "The definition, contrary to what the defendants in this file claim, is broad. It is an agreement between competitors, which by its very fraudulent nature for other competitors, consumers, and the general interest, is made in secrecy and aims to affect the market in any possible way, but always seeking the benefit of the cartelists and to the detriment of the general interest."</w:t>
      </w:r>
    </w:p>
    <w:p>
      <w:r>
        <w:t>It is also pertinent to mention what the TS established in its recent ruling of June 17, 2015 (Appeal 2072/2014): "The thesis of the plaintiff that the exchange of information can only be contrary to Article 1 of the Competition Defense Law if it aims at price fixing or market sharing cannot be accepted in any way. On the contrary, it is necessary to recall our repeated jurisprudence that a collusive agreement or, even more clearly, a concerted practice is any concert -or joint practice- capable of causing anticompetitive effects, whose effective realization is not an indispensable requirement (which already undermines the sixth reason, 2.E). Thus, it is clear that while it cannot be stated in a general and absolute manner that every exchange of information is, per se, anticompetitive, neither can the opposite thesis of the appealing companies be sustained. In strict application of both the literal tenor and the purpose of Article 1 of the Competition Defense Law, an exchange of information will be collusive and constitute an infringing conduct to the extent that it may have anticompetitive effects. And what can be stated from a general perspective is that, in principle, exchanges of information between competitors are presumed to be anticompetitive, since, as is natural and as the Chamber recalls in the transcribed foundation, such an exchange necessarily reduces to a greater or lesser extent the unpredictability of competitors' behavior, which is itself contrary to competition, which is largely built on the indeterminacy and lack of knowledge about the future conduct of the other companies in the sector."</w:t>
      </w:r>
    </w:p>
    <w:p>
      <w:r>
        <w:t>The TS ruling of June 8, 2015, previously cited, in the context of the qualification of information exchanges as an infringement constituting a cartel under the Fourth Additional Provision of the LDC, also dismisses that the National Court "in qualifying the alleged conducts as a cartel, has made an extensive interpretation of the infringing type that is contrary to the principles of typicity and sanctioning legality." Ultimately, the Court admits that the enumeration contained in the aforementioned additional provision of the LDC does not constitute a closed enumeration nor one of restrictive interpretation. The notion of cartel does not constitute an element that allows extending or broadening any infringing type, since the typification of the conduct (art. 62 LDC) disregards the term cartel, qualifying as an infringement any contravention of Article 1 of the LDC. In that conception of the meaning of the aforementioned Fourth Additional Provision of the LDC lies the idea that it must necessarily encompass any secret agreement whose object affects or may affect, either directly or indirectly, the fixing of prices, production or sales quotas, market sharing, including fraudulent bids or the restriction of imports or exports.</w:t>
      </w:r>
    </w:p>
    <w:p>
      <w:r>
        <w:t>In this sense, point 1.2 (9) of the Communication of June 19, 2013, from the National Competition Commission, regarding the Leniency Program (BOE of August 16, 2013) states: "This Communication applies to leniency requests from companies and individuals responsible for non-prescribed infringements of Article 1 of the LDC and, where applicable, of Article 101 of the TFEU."</w:t>
      </w:r>
    </w:p>
    <w:p>
      <w:r>
        <w:rPr>
          <w:b/>
        </w:rPr>
        <w:t>[Pages 52–54]</w:t>
      </w:r>
    </w:p>
    <w:p>
      <w:r>
        <w:t>Finally, regarding the allegation concerning the opportunistic use of the concept of cartel in cases of leniency, it is important to highlight the objective fact that in cases where the investigating body initiates its actions due to a request framed within the Leniency Program, it commonly has a higher level of documentary evidence than in other cases, allowing it to direct inspections in a more useful and productive manner, all of which facilitates reaching the conclusion that we are facing a violation qualifying as a cartel with a greater degree of conviction than in cases where such a request for exemption does not exist.</w:t>
      </w:r>
    </w:p>
    <w:p>
      <w:r>
        <w:t>In relation to the qualification of conduct as a restriction by object, both the Guidelines on the applicability of Article 101 TFEU to horizontal cooperation agreements of the European Commission (2011/C 11/01) and the judicial precedents at the community level reaffirm that exchanges of information between competitors, to the extent that they have the capacity to weaken or eliminate the uncertainty that characterizes a competitive market, constitute a restriction of competition by object considering the legal and economic context of the exchange in question.</w:t>
      </w:r>
    </w:p>
    <w:p>
      <w:r>
        <w:t>Indeed, the CJEU clearly addresses this issue in its judgment of June 4, 2009 (Case C-8/08, T-Mobile Netherlands): “(36) Thirdly, regarding the possibility of considering that a concerted practice has an object contrary to competition even though it does not have a direct relationship with consumer prices, it should be noted that the wording of Article 81 EC, paragraph 1, does not allow for the consideration that only concerted practices that have a direct effect on the price to be paid by final consumers are prohibited. (37) On the contrary, from Article 81 EC, paragraph 1, letter a), it follows that a concerted practice may have an object contrary to competition if it consists of ‘directly or indirectly fixing purchase or selling prices or other trading conditions’. In the main proceedings, as the Dutch Government argues in its written observations, regarding rebates, the remuneration of distributors is a determining factor for setting the price that the final consumer will pay. (38) In any case, as the Advocate General pointed out in paragraph 58 of his conclusions, Article 81 EC, like the other competition rules of the Treaty, is aimed at protecting not only the direct interests of competitors or consumers but also the structure of the market and, thus, competition as such.”</w:t>
      </w:r>
    </w:p>
    <w:p>
      <w:r>
        <w:t>The position on when it can be appreciated that a certain type of coordination between companies has sufficient harmfulness to be considered a restriction of competition by object in the sense of Article 101 TFEU has been synthesized by a recent judgment of March 19, 2015 (Case C-286/13 P Dole Food and Dole Fresh Fruit): “(119) With respect, more specifically, to the exchange of information between competitors, it should be recalled that the criteria of coordination and cooperation constitutive of a concerted practice must be interpreted in light of the inherent logic of the competition provisions of the Treaty, according to which every economic operator must autonomously determine the policy it intends to pursue in the common market (judgment T-Mobile Netherlands and others, C-8/08, EU:C:2009:343, paragraph 32 and case law cited). (120) While it is true that this requirement of autonomy does not exclude the right of economic operators to skillfully adapt to the behavior they have observed or anticipate that their competitors will follow, it does, however, rigorously oppose any direct or indirect contact between such operators aimed at influencing the market behavior of an actual or potential competitor, or revealing to such a competitor the behavior that one intends to adopt in the market or that one intends to adopt, if such contacts have the object or effect of leading to competitive conditions that do not correspond to the normal conditions of the market in question, taking into account the nature of the products or services provided, the size and number of companies, and the volume of that market (judgment T-Mobile Netherlands and others, EU:C:2009:343, paragraph 33 and case law cited). (121) Thus, the Court of Justice has stated that the exchange of information between competitors may be contrary to the competition rules to the extent that it weakens or eliminates the degree of uncertainty about the functioning of the market in question, with the consequence that it restricts competition among companies (judgments Thyssen Stahl/Commission, C-194/99 P, EU:C:2003:527, paragraph 86, and T-Mobile Netherlands and others, EU:C:2009:343, paragraph 35 and case law cited). (122) Specifically, an exchange of information that can eliminate the uncertainty that still exists between the parties regarding the date, scope, and modalities of the adaptation of the behavior in the market that the companies in question will adopt should be considered to have an object contrary to competition (see, in this regard, the judgment T-Mobile Netherlands and others, EU:C:2009:343, paragraph 41).</w:t>
      </w:r>
    </w:p>
    <w:p>
      <w:r>
        <w:t>Thus, in accordance with what has already been indicated, it is indisputable that conduct outlined in the manner described has the object or purpose of deliberately restricting the uncertainty on which competing companies must base their decisions in a competitive environment. There are no other reasons, justifications, or plausible purposes for the conduct attributed to the parties, nor have they been alleged by the parties.</w:t>
      </w:r>
    </w:p>
    <w:p>
      <w:r>
        <w:t>4.5. On the duration of the infringement</w:t>
      </w:r>
    </w:p>
    <w:p>
      <w:r>
        <w:t>There are various allegations regarding the determination by the DC of the duration of the infringement, which can be grouped, for expositional purposes, into two types. On one hand, those that consider the temporal limit in which the DC places the beginnings of the exchanges of information in the Brand Club to be incorrect, and on the other, those that focus on the specific duration of the conduct that the DC individually attributes to certain companies regarding the different areas of information exchanges in which it considers it has been demonstrated that they participated.</w:t>
      </w:r>
    </w:p>
    <w:p>
      <w:r>
        <w:t>Regarding the first type of allegations concerning when the exchanges of information in the Brand Club began, several companies believe that this Competition Chamber should reconsider the temporal scope that the DC outlines in its PR and accept as a proven fact that such conduct did not begin in 2004, as the DC appreciates, but rather, at the earliest, in 2006.</w:t>
      </w:r>
    </w:p>
    <w:p>
      <w:r>
        <w:t>In this regard, CHEVROLET and GENERAL MOTORS argue that the evidence in the file to consider that the conflicting exchanges occurred from 2004 is limited to two Excel tables collected during the inspection of SNAP-ON, from which the date cannot be accurately determined (folios 12860 and 12866) and to an email dated March 10, 2006, also collected during the inspection of SNAP-ON, which also attaches another table [Datos Marca Diciembre 2005.xls. Acum. Diciembre 2005] (folios 11049 to 11050). These companies argue that from a detailed study of this evidence, it cannot be reliably deduced that information exchanges actually occurred in 2004 and 2005, asserting that the references to those years in those documents are more indicative of a subsequent compilation of information than of a true exchange of information prior to 2006.</w:t>
      </w:r>
    </w:p>
    <w:p>
      <w:r>
        <w:t>Similarly, FIAT argues in its allegations that setting the start of the exchanges of information in the Brand Club in March 2004 without the slightest evidentiary support—only bringing up emails from March 14 and 15, 2007 (folios 6864 and 11126)—can only be an error, since the first contacts of which there is record date back to 2006, with the first meeting of the Brand Club considered proven taking place on February 16, 2006 (folio 11047).</w:t>
      </w:r>
    </w:p>
    <w:p>
      <w:r>
        <w:t>For its part, FORD also insists that the DC has no evidence to support that the exchange of information began in 2004, arguing instead that the first record of exchanges occurs within the framework of the so-called "Business Management Forum" in March 2006.</w:t>
      </w:r>
    </w:p>
    <w:p>
      <w:r>
        <w:t>RENAULT also mentions in its allegations the serious error of appreciation made by the DC by placing the beginning of the conduct related to the exchanges of information in the Brand Club in March 2004. Thus, RENAULT understands that the only evidence presented by the DC (the aforementioned Excel tables and the email of March 10, 2006) operates contrary to what the DC intended, given that if a document contains information from the year 2007 and also from the year 2004, it means that the exchange began at the earliest in 2007, because otherwise, information from that year could not have been included.</w:t>
      </w:r>
    </w:p>
    <w:p>
      <w:r>
        <w:t>Finally, CITROEN and PEUGEOT, not directly in their written allegations to the PR, but in their allegations to the PCH, questioned whether the absence of meetings between the years 2004 and 2005 should result in a withdrawal of the qualification as a cartel for the alleged infringement committed during that initial period.</w:t>
      </w:r>
    </w:p>
    <w:p>
      <w:r>
        <w:t>Regarding the second type of allegations, that is, the specific duration of the conduct that the DC individually attributes to certain companies,</w:t>
      </w:r>
    </w:p>
    <w:p>
      <w:r>
        <w:rPr>
          <w:b/>
        </w:rPr>
        <w:t>[Pages 55–57]</w:t>
      </w:r>
    </w:p>
    <w:p>
      <w:r>
        <w:t>FORD, RENAULT, TOYOTA, MERCEDES, HONDA, and ORIO express their disagreement regarding the same. In this regard, FORD, in addition to what has already been said previously concerning the initiation of information exchanges in the Brand Club, considers that the date of the last information exchange by email in which FORD participated is June 2012, which would therefore be the end date of its participation in that area. Regarding the After-Sales Forum, it believes that the end date of its alleged participation could not extend to February 2011 because it clearly would have ended on November 3, 2010, the day on which FORD expressly notified URBAN SCIENCE of its intention not to collaborate with the project. Finally, concerning the Builders' Days, it understands that it is not justified for the accusation to extend to July 2013 since its presence is only documented in the meetings of April 7, 2010, and March 23, 2011.</w:t>
      </w:r>
    </w:p>
    <w:p>
      <w:r>
        <w:t>For all these reasons, FORD states that even if the duration were to be computed jointly, its participation in the information exchanges investigated in the three areas could not extend beyond the period from March 2006 to June 2012.</w:t>
      </w:r>
    </w:p>
    <w:p>
      <w:r>
        <w:t>RENAULT points out that there is no evidence of its participation in the conduct related to the exchange of information that occurred in the Brand Club for more than two years, specifically between October 24, 2007, and November 26, 2009, and, moreover, claims that it did not participate again until the meetings were organized by SNAP-ON. Thus, its very limited presence in the meetings prior to 2009 (only in the one that took place on October 24, 2007), the prolonged cessation of this conduct over time (more than two years between 2007 and 2009), and its reactivation only when a significant change occurred in the organization and content of these meetings, draws a clear distinction between its two periods of participation that requires, in the opinion of the company, an objective assessment by the Council aimed at placing the beginning of RENAULT's participation in the conduct on November 26, 2009, thereby reducing the duration assessed by the DC.</w:t>
      </w:r>
    </w:p>
    <w:p>
      <w:r>
        <w:t>Regarding TOYOTA, it states that the duration of the alleged infringement is shorter than that established in the PR, understanding that it should not be attributed any restrictive conduct until 2010, which is the first date on which data on average margins of the dealership networks were exchanged.</w:t>
      </w:r>
    </w:p>
    <w:p>
      <w:r>
        <w:t>MERCEDES also makes allegations regarding the duration of its participation in the conduct attributed to it, which it denies in any case. In this regard, it requests the Council that if it considers that the After-Sales Forum constitutes an infringement of the LDC for which MERCEDES can legitimately be held responsible, it should take into account that, at most, it could be considered to have participated from the beginning of the project until the end of 2010, but never until February 2011. This is because its participation in the After-Sales Forum can only be confirmed during 2010, but not during 2011 since it neither participated in any meeting nor provided information, notwithstanding that URBAN SCIENCE did not announce its withdrawal from the project until the first meeting of the Forum was held, that is, on February 24, 2011.</w:t>
      </w:r>
    </w:p>
    <w:p>
      <w:r>
        <w:t>HONDA believes that, without prejudice to the legality of the information exchanges subject to the File, it is appropriate to correct the date on which it ceased to participate in the information exchange in the area of the Brand Club, replacing May 2013 with April 2012, that is, almost a year earlier than what the DC assessed in its PR. It bases this allegation on the fact that the last meeting for analyzing the exchanged data in which it participated was on April 19, 2012, not sending any more information after that date nor participating in any meeting where that information was analyzed. Moreover, it considers that there is evidence of its express opposition to this, specifically the emails of June 4, 2012, September 3, 2012, and November 27, 2012 (folios 1345, 15298, and 15499 respectively), combined with the fact that in the meeting of May 21, 2013, in which it did participate, it remained outside the room while representatives of the other brands exchanged confidential information and re-entered only to attend the subsequent seminar, as stated in the additional clarifications to the leniency application of July 18, 2013.</w:t>
      </w:r>
    </w:p>
    <w:p>
      <w:r>
        <w:t>Finally, ORIO states that there is insufficient evidence of its participation in the exchange of information carried out in the Brand Club, although, in the event that its participation were considered proven, it indicates that its duration should be limited to the period between September and October 2010, both inclusive. The reasons for this assertion refer to the fact that it never shared confidential information, attending only the meeting of October 20, 2011, after which it requested to be removed from the list of recipients of the emails, not receiving any further until February 17, 2011, when it was introduced/added, ORIO understands, by mistake.</w:t>
      </w:r>
    </w:p>
    <w:p>
      <w:r>
        <w:t>Regarding the Builders' Days, it considers that there is no evidence, not even circumstantial, that ORIO participated in the information exchanges that took place in that area. It argues on the one hand that in April 2010, the date from which the DC considered ORIO's participation in the cartel to be proven, this company did not exist, as it was established in June 2010, making the conclusion of the instructing body illogical. On the other hand, it also finds it absurd to consider that ORIO participated in the meeting of March 23, 2011, since according to the documentation cited by the DC as evidence (folios 8731 and 16192 to 16198), ORIO does not appear either as an attendee or as a brand.</w:t>
      </w:r>
    </w:p>
    <w:p>
      <w:r>
        <w:t>Response from the Competition Chamber:</w:t>
        <w:br/>
        <w:t>First, the set of allegations that consider the temporal limit in which the DC places the beginnings of the information exchanges in the Brand Club to be incorrect is analyzed.</w:t>
      </w:r>
    </w:p>
    <w:p>
      <w:r>
        <w:t>After analyzing the written allegations made by several companies regarding this matter, and once the evidence presented by the DC to prove that the information exchanges began on the aforementioned disputed date has been evaluated, this Chamber cannot share the opinion that the DC states in its PR. It is true that there are documents that reflect data from the years 2004 and 2005 (the aforementioned Excel tables and the emails from folios 12860, 12866, and 11049 to 11050, respectively), even an email from which it could be inferred that the events began before the year 2006. However, while these circumstances provide reasonable indications that the information exchanges began before 2006, they do not allow this Chamber to conclude, with the degree of certainty required, that the initiation of the information exchanges took place before February 16, 2006, the date of the first meeting of the Brand Club that the DC considers proven (folio 11047 to 1104). It seems quite probable that, according to the indications appreciated by the DC during the investigation phase, the companies began their information exchanges in 2004, initially in a less elaborate manner and subsequently exchanging more information and with a greater degree of detail on an increasingly broad number of variables that indeed justify the DC's proposal regarding the start date of the exchanges in the area of the Brand Club. Nevertheless, as we have said, the degree of conviction regarding the start date of the alleged facts based on the indicated indications is revealed to be insufficient. The conviction, on the contrary, is sufficient to set the initial term of the conduct in February 2006, where the evidence in the file is solid and impeccable. Therefore, this Chamber considers that it is not sufficiently proven that the conduct related to the information exchanges in the Brand Club began in March 2004, so the beginning of the same must be determined in February 2006 for all those companies that the DC proposed to declare responsible prior to that date.</w:t>
      </w:r>
    </w:p>
    <w:p>
      <w:r>
        <w:t>Regarding the second type of allegations, that is, those that dispute the specific duration of the conduct that the DC individually attributes to certain companies, it is appropriate to examine each case individually.</w:t>
      </w:r>
    </w:p>
    <w:p>
      <w:r>
        <w:t>Thus, regarding FORD, this Chamber considers that the start date of its participation in the information exchanges within the Brand Club should, as we have just explained, be moved from March 2004 to February 2006, but not to March 2006, as proposed by FORD, since the first meeting of the Brand Club that is considered proven is on February 16, 2006, as we have seen previously.</w:t>
      </w:r>
    </w:p>
    <w:p>
      <w:r>
        <w:t>As for the end date of the conduct in this area of the Brand Club, this Chamber shares the DC's view, setting the final date of participation in the exchanges in July 2013, when the inspections took place. FORD argues that the attendances at the meetings of April 19, 2012, and October 23, 2012, are not proven by the DC, although this Chamber considers that even if the evidence of its participation in them were insufficient, which it does not agree with after examining the documentation in the file (folios 9934 to 9936; 43 to 46; 210 to 239; 300 to 305; 240 to 252; 314 to 338 and folios 12882 to 12885), the company's allegation could not be estimated.</w:t>
      </w:r>
    </w:p>
    <w:p>
      <w:r>
        <w:rPr>
          <w:b/>
        </w:rPr>
        <w:t>[Pages 58–60]</w:t>
      </w:r>
    </w:p>
    <w:p>
      <w:r>
        <w:t>regarding, which seeks to conclude its participation in the cartel before the date established by the DC. This is because it is evident that, unlike other brands that communicated their termination of this information exchange prior to the inspections, FORD did not do so, making it clear that the others understood that it continued to participate. Evidence of this belief is that it continued to receive emails that certain companies that did cease participation in the information exchanges sent to the other participants (such as those sent on September 18 by TOYOTA, on November 7, 2012, by KIA, and on January 17, 2013, by SEAT). Thus, regarding those brands for which there is no public statement of having concluded their participation in the information exchanges or their intention to do so prior to the time of the inspections, it is appropriate, as the DC does, to conclude that participation in the conduct of exchanging sensitive information was maintained until July 2013. This is in accordance with the doctrine established by the national competition authority, corroborated by the Audiencia Nacional, as well as by community jurisprudence:</w:t>
        <w:br/>
        <w:t>“(...) the tacit approval of an illicit initiative without publicly distancing oneself from its content or reporting it to the administrative authorities produces the effect of encouraging the continuation of the infringement and risks its discovery (...)”.</w:t>
      </w:r>
    </w:p>
    <w:p>
      <w:r>
        <w:t>In this case, it is also evident that FORD did not expressly distance itself from the information exchanges in the Brand Club prior to July 2013, and it must confirm that date as the end of its conduct in that area, because, on the contrary, it did so in the information exchanges in the After-Sales Forum. Thus, in the meeting held on February 24, 2011, of the IV After-Sales Directors Forum, it was communicated that FORD had indicated that it would not continue participating in this information exchange scheme, and therefore, the DC stated that the participation of that company ended in February 2011. In this sense, the claim of FORD that the end date of its participation in the exchange of after-sales indicators be moved to November 3, 2010, cannot be accepted, since the date on which there is true express evidence of that situation is the date of the meeting on February 24, 2011. Previously, it is true that there is an email dated November 3, 2010, sent by FORD to URBAN SCIENCE, but it does not indicate its express separation from the project but rather provides evidence that they were evaluating whether to continue participating in it and that they would inform if it was ultimately approved, which does not seem to have happened in the end, but of which the other companies were not aware until the aforementioned meeting of February 24, 2011, making the date indicated by the DC in its PR correct.</w:t>
      </w:r>
    </w:p>
    <w:p>
      <w:r>
        <w:t>In this regard, it is worth mentioning what was stated by the Court of Justice of the European Union [CJEU Judgment of March 19, 2009, Archer Daniels Midland Co/Commission, Case C-510/06 P], regarding the relevance of the perception that other participating companies in the cartel have regarding the involvement of others in it, since:</w:t>
        <w:br/>
        <w:t>“(...) it is the understanding that the other participants in a collusive practice have of the intention of the involved company that is decisive to assess whether the latter intended to distance itself from the illicit agreement.”</w:t>
      </w:r>
    </w:p>
    <w:p>
      <w:r>
        <w:t>Finally, this Chamber considers that FORD's participation in the Builders' Days, evidenced by its presence at the meetings of April 7 and March 23, 2011, is correctly delineated by the DC, which encompassed the conduct of that company between April 2010 and March 2011, without the DC ever extending the attribution of that conduct to July 2013, as FORD seems to understand.</w:t>
      </w:r>
    </w:p>
    <w:p>
      <w:r>
        <w:t>Regarding RENAULT, this Chamber considers that the start date of its participation in the information exchanges within the Brand Club should, as we have just explained, be moved from March 2004 to February 2006, but never to November 26, 2009, as that company suggests. RENAULT did participate in meetings held prior to 2009, belonging to the initial group of "traditional partners" or "family heads," as they themselves referred to it, attending the first documented meeting on February 16, 2006, and the meeting on October 24, 2007, which it itself points out, as well as appearing in the emails of information exchanges, making it illogical to move the start of its participation to 2009 when there is clear evidence that it participated prior to that date. The fact that it did not attend some of the meetings held within the Brand Club between October 2007 and November 2009 does not undermine the attribution that the DC made regarding a single and continuous infringing conduct, especially since it subsequently resumed its attendance at the meetings that SNAP-ON began to organize.</w:t>
      </w:r>
    </w:p>
    <w:p>
      <w:r>
        <w:t>A similar situation is considered by this Chamber regarding TOYOTA, for which the start date of its participation in the information exchanges within the Brand Club should, reiterating what has already been stated, be moved from March 2004 to February 2006, but never to the year 2010 as that company claims. The fact that the information that began to be exchanged from 2010 had greater significance, as it included data on average margins of the dealer networks, does not lead this Chamber to ignore the exchange of other types of sensitive information that had been carried out in previous years. On the contrary, this company's assertion confirms that the information exchanged progressively became of greater importance and relevance, as was previously indicated, which is merely a reflection of the good functioning of the cartel.</w:t>
      </w:r>
    </w:p>
    <w:p>
      <w:r>
        <w:t>This Chamber also cannot accept the allegations of MERCEDES regarding the duration that the DC attributes to it concerning its participation in the information exchanges in the After-Sales Forum. In this regard, just as happened with the end date of FORD's conduct in that area, this Chamber cannot advance the same since there was no express knowledge that it had concluded its participation until the meeting of February 24, 2011. It was at this meeting that URBAN SCIENCE announced to the other companies that MERCEDES was suspending its participation, so until then those companies were unaware of MERCEDES's intention to distance itself from the illicit agreement. The company claims that its decision not to continue collaborating in the project is prior to that date and that it communicated this to URBAN SCIENCE, but there is no further evidence of this than its own assertion, nor is there any other date prior to the mentioned meeting that reflects its public distancing from the conduct, so there is no other date that this Chamber can take as valid to conclude MERCEDES's participation in the illicit conduct. This conclusion is, as we have just seen, in accordance with the doctrine established by the national competition authority, corroborated by the Audiencia Nacional, as well as by community jurisprudence, so it is strange to this Chamber that MERCEDES specifically cites the Aalborg Judgment (CJEU of January 7, 2004, Cases C-204/00 P, C-205/00 P, C-211/00 P, C-213/00 P, C-217/00 P, and C-219-00 P) to state that it cannot be required to provide evidence of its public distancing because in 2011 there is no evidence of its participation in the facts, when what the judgment declares is precisely the opposite. Having evidence of its participation in 2010, as MERCEDES admits, it can only be concluded that its participation continues until there is manifest and express evidence of its separation, which does not occur until February 24, 2011, and therefore the claims of MERCEDES must be dismissed and the duration date established by the DC in its PR must be confirmed.</w:t>
      </w:r>
    </w:p>
    <w:p>
      <w:r>
        <w:t>Regarding the allegations of HONDA in which it requests to modify the date on which it ceased participating in the information exchange within the Brand Club, replacing May 2013 with April 2012, this Chamber considers that...</w:t>
      </w:r>
    </w:p>
    <w:p>
      <w:r>
        <w:rPr>
          <w:b/>
        </w:rPr>
        <w:t>[Pages 61–63]</w:t>
      </w:r>
    </w:p>
    <w:p>
      <w:r>
        <w:t>being consistent with the aforementioned, both in relation to the express statements of separation from anticompetitive practices and with respect to the standard of proof required to ensure the presumption of innocence, it is appropriate to uphold the company's claim. The reasons on which this Chamber bases its conclusion are set forth below.</w:t>
      </w:r>
    </w:p>
    <w:p>
      <w:r>
        <w:t>After the meeting of April 19, 2012, in which the presence of HONDA is documented, there is express evidence of an email from an employee of that company (folios 1342 and 1343) in which he stated that he had received orders not to share information via email, proposing instead to do so on paper. This proposal, clearly violating competition rules, which indicates more of a mechanism for concealing the cartel than a manifestation of separation from it, would not be valid as evidence of HONDA's separation from the illicit conduct if it were not complemented by two undeniable additional facts. On one hand, the confirmation that it did not exchange further information via email and that it expressly opposed doing so, as can be verified in the emails of June 4, 2012, September 3, 2012, and November 27, 2012, and on the other hand, that, in line with its refusal to exchange information, it either did not attend the quarterly meetings or, if it did - as its presence in the meeting of May 21, 2013 is documented and which the DC considers key to maintaining its participation in the conduct - it stayed out of the meeting while the others proceeded to exchange the conflicting information.</w:t>
      </w:r>
    </w:p>
    <w:p>
      <w:r>
        <w:t>This Chamber considers that the existence of such emails along with its manner of proceeding in the meeting of May 23, 2013 can be understood as an express declaration, publicly and notoriously known by the other brands, of its non-participation in the exchange of information, and the end date of its conduct in the Brand Club should be modified to April 2012, as the company claims.</w:t>
      </w:r>
    </w:p>
    <w:p>
      <w:r>
        <w:t>Thus, in the excerpt from folio 1345: “..I thank you for the information you have sent me or were about to send me, but as I mentioned after the last meeting we had in Madrid, our brand will not participate in sending information via email. So please, regrettably, remove me from the group for sending information.”</w:t>
      </w:r>
    </w:p>
    <w:p>
      <w:r>
        <w:t>Thus, in the excerpt from folio 15298: “..thank you for sending me your data, but remember my email where I told you that we will not participate in sending information, so you can remove me from the folder you have with the BM's of all the brands.”</w:t>
      </w:r>
    </w:p>
    <w:p>
      <w:r>
        <w:t>Thus, in the excerpt from folio 15499: “..Regarding the issue of sending data, if I remember correctly, it was mentioned in the meeting that you would contact Toyota to clarify the issue of sending information (if they had a problem both in sending and receiving). In principle, we will continue sending it to everyone except Kia, Honda, and Toyota, unless the latter has told you something.”</w:t>
      </w:r>
    </w:p>
    <w:p>
      <w:r>
        <w:t>Thus, it is stated in the excerpt from the Additional Clarifications to the request for leniency of July 18, 2013 (folio 577): “…According to the information obtained by the Applicant, in the meeting of May 21, 2013, a seminar on cost reduction and budgeting was held. In this meeting, the representatives of Honda and VW stayed out of the meeting room while the representatives of the other brands exchanged commercial information and returned only to attend the seminar.”</w:t>
      </w:r>
    </w:p>
    <w:p>
      <w:r>
        <w:t>Finally, regarding ORIO, this Chamber refers to what is established below concerning the insufficient evidence of its participation in the conduct attributed to it.</w:t>
      </w:r>
    </w:p>
    <w:p>
      <w:r>
        <w:t>4.6. On the unique and continued nature of the infringement</w:t>
      </w:r>
    </w:p>
    <w:p>
      <w:r>
        <w:t>The brands argue that it is not possible to conclude that the behaviors analyzed in this file constitute a unique and continued infringement. They argue that the initiated proceedings indicate that the information exchange forums did not present a complementary link within the framework of a global plan aimed at a single objective. The brands allege that the affected period, the content of the exchanges, the methods employed, and the objective of the exchanges do not present a sufficient degree of identity to appreciate the existence of a unique and continued infringement. Nor would the effects produced, differentiated for each information scheme, allow, according to the initiators, to qualify the conduct as unique and continued.</w:t>
      </w:r>
    </w:p>
    <w:p>
      <w:r>
        <w:t>Response from the Competition Chamber:</w:t>
      </w:r>
    </w:p>
    <w:p>
      <w:r>
        <w:t>As is well known, elements to appreciate the existence of a unique and continued infringement include the identity of the objectives of the infringing practices, the products or services affected, the companies participating in the infringement, and the forms or methods of developing the conduct.</w:t>
      </w:r>
    </w:p>
    <w:p>
      <w:r>
        <w:t>This Chamber cannot share the common allegation of the brands and appreciates the existence of continuity in the infringement, given that the accredited facts indicate that there was a clear initial and renewed purpose to periodically exchange commercially sensitive information with the aim of restricting and distorting competition in the market.</w:t>
      </w:r>
    </w:p>
    <w:p>
      <w:r>
        <w:t>The Competition Chamber understands that the fact that the information exchanges were carried out within the framework of different forums (Brand Club, After-Sales Directors Forum, and Builders' Days) does not prevent the appreciation of the unity of the infringement, since it has been established that such exchanges of strategic information related to figures, margins, and results of the brands' dealership networks and after-sales activities were carried out in execution of a preconceived plan or taking advantage of the same occasion, using similar methods for the same infringing purpose, constituting a violation of Articles 1 of the LDC and 101 of the TFEU.</w:t>
      </w:r>
    </w:p>
    <w:p>
      <w:r>
        <w:t>Of the total of 24 brands for which the instructing body maintains its accusation, 14 have participated in the three schemes or information exchange forums (AUDI, BMW, CITROEN, FIAT, FORD, HYUNDAI, MAZDA, NISSAN, OPEL, PEUGEOT, SEAT, SKODA, TOYOTA, and VW). Seven in two of the three (CHEVROLET, HONDA, KIA, LEXUS, RENAULT, SAAB, and VOLVO). And four of the accused, in one of the forums (MITSUBISHI, MERCEDES, CHRYSLER, and PORSCHE). Such differentiation in participation, as well as the individualized dates of the start and end of the conduct, in cases where they do not coincide, should be reflected in the delimitation of the responsibility of each of the accused, but does not affect the continued and unique nature of the infringement.</w:t>
      </w:r>
    </w:p>
    <w:p>
      <w:r>
        <w:t>The Spanish Competition Authority has already had the opportunity to clarify that the identity of infringing subjects is not, evidently, undermined by the fact that some of them have joined the practice successively or subsequently (RCNC of March 2, 2011, Expte. S/0086/08, Professional Hairdressing, confirmed in this respect by the National Court). Likewise, the fact that some of the companies participating in the practice leave the cartel on different dates, prior to its end, does not prevent the qualification of the infringement as unique and continued (RCNMC of January 21, 2014, Expte. S/0404/12 AENA Commercial Services). Moreover, the longer the duration of the conduct, a frequent case in cartels, the greater the chances that its members enter or exit it.</w:t>
      </w:r>
    </w:p>
    <w:p>
      <w:r>
        <w:t>Furthermore, the fact that the exchanged information undergoes certain modifications in its exchange mechanism over time does not prevent the qualification of a unique and continued infringement. In fact, it is common for the exchanged information to become increasingly broad, detailed, and complete, as well as for the mechanisms for concealing the exchange of information to become more sophisticated as the practice extends over time.</w:t>
      </w:r>
    </w:p>
    <w:p>
      <w:r>
        <w:t>A global examination of the set of accredited facts clearly shows that the exchanges of information were carried out not as autonomous behaviors but in a connected manner, in terms of objectives, participants, methods, and operational procedures, with the common aim of eliminating uncertainty regarding results, actions, and the commercial and after-sales policy strategy of the brands participating in the cartel.</w:t>
      </w:r>
    </w:p>
    <w:p>
      <w:r>
        <w:t>It has also been established that the exchanges of information among the after-sales marketing executives were known by the rest of the executives of the companies participating in the Brand Club. Likewise, there are references to both consultancies, URBAN and SNAP-ON, in the context of meetings of the Brand Club.</w:t>
      </w:r>
    </w:p>
    <w:p>
      <w:r>
        <w:rPr>
          <w:b/>
        </w:rPr>
        <w:t>[Pages 64–66]</w:t>
      </w:r>
    </w:p>
    <w:p>
      <w:r>
        <w:t>It must therefore be concluded that the unique and continuous nature of the infringement constituted by the exchange of information carried out through the three outlined exchange schemes has been sufficiently established, each of which was intended to address one or several consequences of the normal functioning of competition, and that contributed, through interaction, to the realization of the set of anti-competitive effects sought by the participating brands, with the collaboration of the two initiated consultancies, within the framework of a global plan aimed at a single objective.</w:t>
      </w:r>
    </w:p>
    <w:p>
      <w:r>
        <w:t>4.7. On the role of SNAP-ON and URBAN as collaborators and facilitators in the conduct being analyzed</w:t>
      </w:r>
    </w:p>
    <w:p>
      <w:r>
        <w:t>Both consulting firms deny in their allegations that their services regarding the initiated brands can be classified as collaboration in a cartel. SNAP-ON defines its services as purely secretarial (meeting organization, hotel reservations, inviting external speakers) and therefore as inconsequential and merely accessory and tangential. This consultancy emphasizes the difference of its work compared to that carried out by other consultancies sanctioned as collaborators in infringements of competition regulations by Spanish authorities or the jurisprudence of the CJEU. SNAP-ON points out that its participation in only one of the accredited information exchanges demonstrates that its intervention cannot be considered part of a global plan to reduce uncertainty in the affected market.</w:t>
      </w:r>
    </w:p>
    <w:p>
      <w:r>
        <w:t>For its part, URBAN, in addition to denying that its conduct exceeds the strict provision of lawful benchmarking services, argues that the requirements established by European jurisprudence to consider that a company, not active in the affected market, has participated in the infringement are not met. This company insists in its allegations that its actions were limited to the after-sales market, in which the brands do not compete with each other, and therefore it could not have been a collaborator in anti-competitive restrictive agreements by their nature.</w:t>
      </w:r>
    </w:p>
    <w:p>
      <w:r>
        <w:t>Finally, in supplementary allegations to its allegations to the PR, SNAP-ON cites the conclusions presented by the Advocate General on May 21, 2015, in case C-194/14 AP AC Treuhand AG, to argue that since this consultancy does not operate in the affected markets, it cannot be considered included within the scope of the prohibition of Article 101 TFEU, since for that to be the case, this company would need to exert competitive pressure on the other participants in the cartel.</w:t>
      </w:r>
    </w:p>
    <w:p>
      <w:r>
        <w:t>Response from the Competition Chamber:</w:t>
        <w:br/>
        <w:t>This Chamber considers it established that SNAP-ON and URBAN, despite being entities external to the affected market, have actively participated in the infringement by collecting and facilitating the exchange of strategic information among the other initiated companies. Their role in facilitating the information has contributed to the maintenance of the cartel and, therefore, to restricting competition in the affected market.</w:t>
      </w:r>
    </w:p>
    <w:p>
      <w:r>
        <w:t>The services of SNAP-ON and URBAN have facilitated the execution and maintenance over time of the exchange of information among the initiated companies, so both consultancies must be considered co-authors of the infringement along with the other companies charged in this file.</w:t>
      </w:r>
    </w:p>
    <w:p>
      <w:r>
        <w:t>The strategic role played by consulting firms as intermediaries in the exchange of information constitutes a clear added value for the effectiveness of the exchange, in addition to being a characteristic element of this type of conduct, which is not novel to the Competition Authority. Such mechanisms for the exchange of information through economic study firms or consultancies are common in the practical development of cartels. In this sense, the Competition Authority has been sanctioning similar cooperation practices carried out by business associations or by companies external to the affected market in their role as organizers and facilitators of the prohibited conduct.</w:t>
      </w:r>
    </w:p>
    <w:p>
      <w:r>
        <w:t>The established facts clearly demonstrate the active role played by SNAP-ON in the exchanges of confidential, future, and strategic information in the area of Business Management, and, in the case of URBAN, in the area of After-sales, with both companies actively contributing to the maintenance of this cartel.</w:t>
      </w:r>
    </w:p>
    <w:p>
      <w:r>
        <w:t>SNAP-ON, in addition to organizing and managing meetings, had a direct participation in the anti-competitive behaviors analyzed, compiling and distributing among the brands the information sent by them. This consultancy even promoted the refinement and increase of the added value of the information exchange exercise, proposing additional reports with information added to what they were already exchanging. Likewise, it is documented in the file that SNAP-ON suggested modifying the name of the meeting "so that it is not so obvious," as well as offering alternatives for brands reluctant to send or receive information by email to send it by phone and have it delivered through other means.</w:t>
      </w:r>
    </w:p>
    <w:p>
      <w:r>
        <w:t>This Competition Chamber does not find plausible or consistent with the accredited facts the alternative explanation presented by SNAP-ON regarding its services, which it describes as "conduct consistent with the gratuitous provision of mere secretarial services for promotional purposes." This does not align with the activity of compiling and distributing among the brands the information sent by them, which has been documented in the file.</w:t>
      </w:r>
    </w:p>
    <w:p>
      <w:r>
        <w:t>Regarding URBAN, it has been documented in the file that this consultancy has played an active and significant role since 2010 in the preparation and submission of monthly, quarterly, and annual reports, with the information previously provided by the participating brands. URBAN itself provides a "Model Template for Interbrand After-sales" for the collection of the exchanged data. It is also noted how the recommendations regarding the anti-competitive nature collected in a report requested by URBAN were used, not to correct such behaviors, but to, with the brands' knowledge of the numerical identification assigned to each one, continue with the information exchange practices while trying to ensure the secrecy of the cartel.</w:t>
      </w:r>
    </w:p>
    <w:p>
      <w:r>
        <w:t>Once the argument regarding the merely accessory and lawful nature of the activity carried out by SNAP-ON and URBAN in the exchange of information among the brands has been rejected, it remains to be noted that their externality to the affected market does not preclude their responsibility in the infringing conduct, as the Competition Authority has stated on other occasions.</w:t>
      </w:r>
    </w:p>
    <w:p>
      <w:r>
        <w:t>This position fully coincides with what has been established in analogous cases resolved at the community level. Thus, in the Judgment of the Court of First Instance of July 8, 2008, case T-99/04, AC-Treuhand AG v. Commission, the Court states the following: “[...] any company that has adopted collusive behavior, including advisory firms that do not operate in the affected reference market, could reasonably foresee that the prohibition established by Article 81 EC, paragraph 1, was applicable to it in principle. In fact, such a company could not ignore, or it was possible for it to understand, that in the decision-making practice of the Commission and in previous community jurisprudence, the basis of the prohibition was already sufficiently clear and precise.”</w:t>
      </w:r>
    </w:p>
    <w:p>
      <w:r>
        <w:rPr>
          <w:b/>
        </w:rPr>
        <w:t>[Pages 67–69]</w:t>
      </w:r>
    </w:p>
    <w:p>
      <w:r>
        <w:t>express acknowledgment of the responsibility of a consulting company for a violation of Article 81 EC, paragraph 1, when that company actively and deliberately contributes to a cartel among producers operating in a market different from that in which the aforementioned company operates." This is corroborated by the General Court: "In the judgment AC-Treuhand I, the Court also held that any company that had engaged in collusive behavior, including consulting firms that do not operate in the affected reference market, such as the plaintiff in the present case, could reasonably foresee that the prohibition established by Article 81 EC, paragraph 1, was applicable to it in principle, since that company could not ignore, or it was possible for it to understand, that in the Commission's decision-making practice and in previous Community jurisprudence, the basis for the express acknowledgment of the responsibility of a consulting company for a violation of Article 81 EC, paragraph 1, when that company actively and deliberately contributes to a cartel among producers operating in a market different from that in which the aforementioned company operates, was already sufficiently clear and precise (judgment AC-Treuhand I, paragraph 150)."</w:t>
      </w:r>
    </w:p>
    <w:p>
      <w:r>
        <w:t>Although consultancies are not operators in the affected markets, they have played a strategically collaborative role in the development of the infringement, occupying a privileged position that reasonably obliged them to know the illicit nature of the exchanges of confidential, sensitive, and future information between competing companies to which they actively collaborated. The evidence gathered in the file overwhelmingly demonstrates the direct and active role played by both SNAP-ON and URBAN in the cartel, facilitating the analyzed exchanges of information, a role that exceeds that of mere secretarial work.</w:t>
      </w:r>
    </w:p>
    <w:p>
      <w:r>
        <w:t>Regarding the gratuitousness of SNAP-ON's services, this cannot be interpreted in any way as a factor in favor of the non-infringing behavior of the consultancies. In addition to the explanation linked to the marketing and promotion of their remaining consulting services in the sector (customer loyalty and increased prestige among brands), this Competition Chamber also understands that this gratuitousness can be interpreted as a means to avoid the possibility that, otherwise, the corresponding invoices to the brands would constitute an indication or trace of the implementation of the cartel.</w:t>
      </w:r>
    </w:p>
    <w:p>
      <w:r>
        <w:t>It is appropriate to bring up here the doctrine of the Court of Justice regarding the degree of knowledge by a participant in the cartel concerning the specific agreements thereof. Thus, in the Judgment of December 6, 2012, case C-441/11 P, Verhuizingen Coppens: “(43) Consequently, a company may have participated directly in all the anti-competitive behaviors that constitute the single and continuous infringement, in which case the Commission may legally attribute to it the responsibility for all those behaviors and, therefore, the aforementioned infringement in its entirety. Likewise, a company may have participated directly only in part of the anti-competitive behaviors that constitute the single and continuous infringement, but have been aware of all the other infringing behaviors anticipated or executed by the other participants in the cartel to achieve the same objectives or have been able to reasonably foresee them and have been willing to assume the risk. In such a case, the Commission may also lawfully attribute to that company the responsibility for all the anti-competitive behaviors that constitute such infringement and, consequently, for it in its entirety. (44) On the contrary, if a company has participated directly in one or several anti-competitive behaviors that constitute a single and continuous infringement, but it has not been established that, through its own behavior, it attempted to contribute to the entirety of the common objectives pursued by the other participants in the cartel and that it was aware of all the other infringing behaviors anticipated or executed by the aforementioned participants to achieve the same objectives or that it could reasonably have foreseen them and was willing to assume the risk, the Commission can only attribute to it the responsibility for the behaviors in which it directly participated and for the behaviors anticipated or executed by the other participants to achieve the same objectives as those it pursued and of which it is established that it was aware or could have reasonably foreseen and was willing to assume the risk. (45) However, this cannot lead to exempting that company from its responsibility for the behaviors in which it is recorded that it participated or for which it can effectively be considered responsible. Indeed, the fact that a company did not participate in all the constitutive elements of a collusive practice or that it played a minor role in the aspects in which it participated is not relevant when attributing an infringement, given that it is only appropriate to take such elements into account when assessing the seriousness of the infringement and, where appropriate, determining the fine (previously cited judgments Commission/Anic Partecipazioni, paragraph 90, as well as Aalborg Portland and others/Commission, paragraph 86).”</w:t>
      </w:r>
    </w:p>
    <w:p>
      <w:r>
        <w:t>Regarding SNAP-ON's allegation that it cannot be considered the author of a restrictive cartel practice, supported by the conclusions presented by the Advocate General on May 21, 2015, in case C-194/14 P AC Treuhand AG, it should be noted that in this case it has been established that SNAP-ON provided the cartel with services that exceed mere secretarial work. Furthermore, the cited conclusions are not supported by the corresponding judgment of the CJEU that adopts and confirms them, constituting, on the contrary, an interpretation opposed to that maintained by both the European Commission and the General Court.</w:t>
      </w:r>
    </w:p>
    <w:p>
      <w:r>
        <w:t>In short, this Chamber fully agrees with the responsibility attributed to the entities URBAN and SNAP-ON by the DC in its Proposal for Resolution, as cooperating companies of the cartel. In the case of SNAP-ON, its participation in the cartel corresponds to the organization and functioning of the exchanges of information carried out within the Brand Club, from November 2009 to July 2013. URBAN's participation is linked to the organization and functioning of the exchanges of information carried out within the Aftermarket Forum from March 2010 to August 2013.</w:t>
      </w:r>
    </w:p>
    <w:p>
      <w:r>
        <w:t>4.8. On the application of the Leniency Program</w:t>
        <w:br/>
        <w:t>Some parties involved make allegations about the unintended effects of the leniency program, regarding a possible interested presentation by the leniency applicant of the facts for the infringement to be classified as a cartel, as well as the positive bias of the DC towards the classification of the conduct as a cartel, to incentivize or not harm the Leniency Program (thus, VOLVO, CHRYSLER, FORD, RENAULT, CITROËN, PEUGEOT).</w:t>
      </w:r>
    </w:p>
    <w:p>
      <w:r>
        <w:t>Response from the Competition Chamber:</w:t>
        <w:br/>
        <w:t>This allegation, which questions whether the sanctioning file is processed with the procedural particularities provided for in Article 65 of the LDC, having been initiated as a result of a leniency application, cannot be accepted by this Competition Chamber. It has already been pointed out above that this Chamber does not share the allegation that the anti-competitive behaviors being analyzed have been improperly classified as a cartel. The instruction of the file has sufficiently demonstrated that the investigated exchanges of information meet the necessary premises and requirements to conclude that the parties involved, with the exceptions made in this resolution, constituted a cartel, with the objective of exchanging strategic and sensitive information in an orderly, stable, and regular manner, and with the consequence of replacing the inherent risk of a competitive dynamic and the independent determination of commercial policies with cooperation among competing companies.</w:t>
      </w:r>
    </w:p>
    <w:p>
      <w:r>
        <w:t>This Chamber therefore agrees with the DC that the circumstances present in this file allow for the legally valid use of the evidentiary information provided by the leniency applicant, with full respect for the principle of the presumption of innocence of the parties involved, since the prior condition of having informed the competition authority of the existence of a cartel and its participation in it is met. The evidentiary value of the documentation presented by the leniency applicant, as indicated above in point 4.4., in addition to its own intrinsic value, precisely allowed the DC to order the corresponding inspections in a more accurate manner, maximizing the usefulness of the documentation gathered therein, which, together with that provided by the parties involved in their responses to the information requests, corroborate, according to the criteria of this Competition Chamber, the classification of the conduct as a cartel.</w:t>
      </w:r>
    </w:p>
    <w:p>
      <w:r>
        <w:rPr>
          <w:b/>
        </w:rPr>
        <w:t>[Pages 70–72]</w:t>
      </w:r>
    </w:p>
    <w:p>
      <w:r>
        <w:t xml:space="preserve">4.9. On the anticompetitive effects of the conduct  </w:t>
        <w:br/>
        <w:t xml:space="preserve">The brands argue that the exchange of information did not have anticompetitive effects, as the characteristics of the affected markets and the information exchanged made such an effect impossible. On the contrary, according to the brands, the accredited exchanges allowed for an increase in the profitability of the dealers, which resulted in an increase in their capacity to compete aggressively in the market.  </w:t>
        <w:br/>
        <w:t xml:space="preserve">As a consequence of discussing the DC's consideration that we are facing conduct that fits the definition of a cartel, many of the accused argue the need for the instructing body to have detailed the effects of the alleged conduct, interpreting that there is no infringement by object. Likewise, some accused (CHRYSLER, FIAT, HONDA) cite the Judgment of the Court of Justice of September 11, 2014 (case C-67/13 Groupement des Cartes Bancaires) to argue that the criterion allowing for the consideration that coordination between companies entails a restriction of competition by object is that such coordination has a sufficient degree of harmfulness to competition, denying such a character to the information exchange carried out and arguing that the analyzed conduct has had pro-competitive effects.  </w:t>
        <w:br/>
        <w:t xml:space="preserve">Most of the accused claim that the DC has not proven that there has been an increase in prices or a real coordination of prices or commercial conditions in the affected markets. They argue that the evolution of various parameters (market shares, advertising investments and promotional campaigns, innovation, commercial policies, evolution of automobile prices) shows that there were no accommodation strategies as a result of the information exchange.  </w:t>
        <w:br/>
        <w:t xml:space="preserve">Response of the Competition Chamber:  </w:t>
        <w:br/>
        <w:t xml:space="preserve">As the Competition Authority has pointed out on previous occasions (see the Resolution of the CNC of July 31, 2010, Expte. S/0120/10, Freight Forwarders or the RCNMC of September 22, 2014, Expte. S/0428/12 Palés), in the assessment of collusive conduct, given its special potential to distort competition, proof of actual effects contrary to competition is not required when it has been determined that they are restrictive by their object. For the purposes of assessing the conduct provided for in Article 1 of the LDC, what is relevant is the ability to achieve the goal of distorting free competition, since the infringing type does not require that the purpose of violating free competition be achieved; it is sufficient that it tends toward that goal in the execution of the conduct, whether or not it is successful (thus, RCNMC of March 27, 2012, Expte, S/0237/10 Motorcycles, specifically endorsed in this regard by the recent SAN of April 29, 2015).  </w:t>
        <w:br/>
        <w:t xml:space="preserve">The citation made by some of the accused companies of the CJEU ruling of September 11, 2014, is therefore not pertinent, since the factual assumption being judged is not analogous to the facts analyzed here. In that case, it was a so-called two-sided market, and what the CJEU reproaches in its judgment is that in the specific case under review, only one dimension of it had been analyzed and not the possible effects of the alleged restriction on the other side. The doctrine derived from that judgment does not modify the established European jurisprudence regarding infringements by object, for which proof of actual effects contrary to competition is not required, but rather its ability to distort it, due to its inherent high degree of harmfulness.  </w:t>
        <w:br/>
        <w:t xml:space="preserve">As the Cartes Bancaires judgment itself states: “(48) It is appropriate to recall that to fall within the scope of the prohibition set out in Article 81 EC, paragraph 1, an agreement, a decision by an association of undertakings, or a concerted practice must have ‘as its object or effect’ to prevent, restrict, or distort competition within the internal market. (49) In this sense, from the case law of the Court of Justice, it follows that some types of coordination between companies reveal a degree of harmfulness to competition sufficient to consider that the examination of their effects is unnecessary (see, in this sense, in particular, the judgments Société Technique Minière, 56/65, EU:C:1966:38, 359 and 360; BIDS, EU:C:2008:643, paragraph 15, and Allianz Hungária Biztosító and others, C-32/11, EU:C:2013:160, paragraph 34 and cited case law). (50) This case law takes into account the circumstance that certain forms of coordination between companies can be considered, by their very nature, detrimental to the proper functioning of normal competition (see, in this sense, in particular, the judgment Allianz Hungária Biztosító and others, EU:C:2013:160, paragraph 35 and cited case law). (51) In this way, it has been determined that some collusive behaviors, such as those leading to the horizontal fixing of prices by cartels, can be considered to be so apt to generate negative effects, especially on prices, quantity, or quality of products or services, that it may be deemed unnecessary to demonstrate that they have concrete effects in the market for the purposes of applying Article 81 EC, paragraph 1 (see in this sense in particular, the judgment Clair, 123/83, EU:C:1985:33, paragraph 22). Indeed, experience shows that such behaviors lead to reductions in production and price increases that result in a poor allocation of resources to the detriment of consumers.” [emphasis added]  </w:t>
        <w:br/>
        <w:t xml:space="preserve">This Chamber agrees with the DC in considering that the conduct attributed to the brands and facilitating consulting firms is specifically apt, taking into account the legal and economic context in which it is framed, to restrict or distort the play of competition in the wholesale automobile distribution market.  </w:t>
        <w:br/>
        <w:t xml:space="preserve">This Chamber understands that what is relevant to conclude the anticompetitive nature of the information exchange is the concurrence of three cumulative elements: the finding that such conduct creates an artificial transparency in the market, that the information is limited to the parties, and, finally, that it is suitable to affect their competitive conduct. In the present case, this Chamber fully agrees with the DC in the assessment that the exchange of sensitive information has taken place and has allowed for a decrease in rivalry among the brands that agreed to such exchanges.  </w:t>
        <w:br/>
        <w:t xml:space="preserve">In response to the common allegation of many of the accused regarding the lack of sufficient economic analysis by the DC in its PR to justify its conclusions on the effects of the information exchange and its restrictive nature on competition, this Chamber considers it proven that the information exchanges subject to this file, by their very nature and in light of the circumstances in which they occurred, reduce or even eliminate uncertainty about strategic variables and generate and increase the likelihood that the participating companies align their commercial strategies, rather than compete in the market.  </w:t>
        <w:br/>
        <w:t>It is worth mentioning for its clarity the analysis of the Advocate General presented on December 11, 2014, in case C-286/13 P: “(113) In this regard, it should be noted that an exchange of information is not only tainted by an anti-competitive purpose when it directly concerns the prices applied in the market by the companies involved, since, as the Court of Justice has already stated, Article 81 EC (Article 101 TFEU) is aimed at protecting the structure of the market and, thus, competition as such. (Judgments T-Mobile Netherlands and others (EU:C:2009:343), paragraph 38, and GlaxoSmithKline Services/Commission (C-501/06 P, C-513/06 P, C-515/06 P and C-519/06 P, EU:C:2009:610), paragraph 63). Consequently, the verification that a concerted practice has an object contrary to competition cannot be subject to the verification of the existence of a direct relationship of that practice with consumer prices. (Judgment T-Mobile Netherlands and others (EU:C:2009:343), paragraphs 36 to 39.) Likewise, it is not necessary for there to be a direct relationship between the exchanged information and wholesale prices. Rather, to understand that there is an anti-competitive purpose, it is sufficient that information is exchanged among competitors regarding factors that are relevant to their respective pricing policies or (in general) to their behavior in the market. This assessment is supported, and to that extent is brought up here, by the aforementioned CJEU judgment of March 19, 2015, which resolves the same case C-286/13 P: “(121) Thus, the Court of Justice has stated that the exchange of information between competitors may be contrary to competition rules to the extent that it weakens or eliminates the degree of uncertainty about the functioning of the market in question, with the consequence that it restricts competition among the companies (judgments Thyssen Stahl/Commission, C-194/99 P, EU:C:2003:527, paragraph 86, and T-Mobile Netherlands and others, EU:C:2009:343, paragraph 35 and cited case law). (122) Specifically, an exchange of information that can eliminate the uncertainty that still exists between the parties regarding the date, scope, and modalities of the adaptation of behavior in the market that the companies in question will adopt must be considered to have an anti-competitive objective (see, in this sense, the judgment T-Mobile Netherlands and others, EU:C:2009:343, paragraph 41). (123) On the other hand, a concerted practice may have an anti-competitive object even if it does not have a direct relationship with consumer prices. Indeed, the wording of Article 81 EC, paragraph 1, does not allow for the consideration that...</w:t>
      </w:r>
    </w:p>
    <w:p>
      <w:r>
        <w:rPr>
          <w:b/>
        </w:rPr>
        <w:t>[Pages 73–75]</w:t>
      </w:r>
    </w:p>
    <w:p>
      <w:r>
        <w:t>only concerted practices that have a direct effect on the price that final consumers must pay are prohibited (see, in this regard, the judgment T-Mobile Netherlands and others, EU:C:2009:343, paragraph 36). […] (134) It follows that the General Court considered in paragraphs 553 and 585 of the contested judgment, without committing a legal error, that the Commission could assert that the communications prior to price setting, by allowing each of the participants to reduce uncertainty regarding the foreseeable behavior of their competitors, had the object of leading to competitive conditions that did not correspond to the normal market conditions, and thus resulted in a concerted practice aimed at restricting competition within the meaning of Article 81 EC."</w:t>
      </w:r>
    </w:p>
    <w:p>
      <w:r>
        <w:t>Notwithstanding the above, this Chamber considers that the DC has duly established during the investigation of the procedure that the behaviors carried out by the parties, in addition to constituting a significant restriction of the competitive process, and having an object contrary to competition, as analyzed in detail above, point 4.4., have caused a restrictive effect on it.</w:t>
      </w:r>
    </w:p>
    <w:p>
      <w:r>
        <w:t>This Chamber, based on the information available in the file, concludes that there are effects contrary to competition from the infringing conduct that, having occurred in the wholesale distribution market of vehicles by the main brands present in it, diminished rivalry among the companies participating in such exchanges, and also materialized in the linked retail distribution market operated by the dealers. The exchanges included the communication to competitors of the current and future commercial plans and actions of the participating brands regarding sales and after-sales through their dealer networks and official workshops, as well as the remuneration policies for said distribution network, affecting the homogenization and setting of the current and future commercial conditions and plans of the accused car brands. The exchanges revealed confidential and strategic information about the organization of the respective commercial networks of the brands, fundamental data for differentiating themselves from their competitors and effectively competing in the distribution market, with the consequent harm to competition.</w:t>
      </w:r>
    </w:p>
    <w:p>
      <w:r>
        <w:t>Regarding the exchanges of information on after-sales indicators, although the brands do not compete directly with each other in the after-sales market, there is competition among the official services of each brand (intra-brand competition) and between these and the after-sales services provided by independent operators. There is also a direct connection between the decisions to purchase a vehicle and the conditions of after-sales services. This means that what is agreed upon in the after-sales framework has a direct effect on the degree of competition of the brands in the wholesale distribution market of vehicles.</w:t>
      </w:r>
    </w:p>
    <w:p>
      <w:r>
        <w:t>As the DC points out in its PR, it is a common assertion among the brands in their allegations to the PCH that the exchanges of information related to after-sales affected their decisions regarding the organization of commercial activity and after-sales service, although the brands qualify it as pro-competitive effects of the exchange. However, it is not understood what lawful incentive the brands could have to share among themselves best practices and efficiency gains in their own dealer networks, as this implies relinquishing a competitive advantage. The only plausible explanation is that precisely through the exchange of information, they sought to reduce uncertainty by mitigating the strategic differences between the brands in the after-sales market.</w:t>
      </w:r>
    </w:p>
    <w:p>
      <w:r>
        <w:t>This Competition Chamber agrees with the DC that the exchanges of commercially sensitive information were regarding fundamental variables for the definition and adoption of the competitive strategy of each of the brands against the rest, and therefore should have been strictly confidential. The fact that they were shared reveals the intention not to compete or to do so in a mitigated manner, adopting accommodating behaviors.</w:t>
      </w:r>
    </w:p>
    <w:p>
      <w:r>
        <w:t>Moreover, contrary to what some of the accused have claimed, rather than generating pro-competitive effects, the information exchange cartel had as its object and effect to benefit exclusively the participating brands, to the detriment of customers and consumers and other competitors who did not participate in the exchange of confidential and strategic information.</w:t>
      </w:r>
    </w:p>
    <w:p>
      <w:r>
        <w:t>4.10. On the filing of the proceedings against PEUGEOT CITROËN AUTOMÓVILES ESPAÑA, S.A. and RENAULT ESPAÑA, S.A.</w:t>
      </w:r>
    </w:p>
    <w:p>
      <w:r>
        <w:t>The DC has proposed to this Competition Chamber the filing of the proceedings against PEUGEOT CITROËN AUTOMÓVILES ESPAÑA, S.A. and RENAULT ESPAÑA, S.A., pursuant to the provisions of Article 33.3 of the RDC, for not having established the commission of an infringement by these companies. Taking into account the main activity of these companies, the DC concludes that they are unrelated to the facts subject to investigation in this sanctioning file.</w:t>
      </w:r>
    </w:p>
    <w:p>
      <w:r>
        <w:t>In light of the DC's proposal, this Chamber considers that it is indeed appropriate to file the proceedings against PEUGEOT CITROËN AUTOMÓVILES ESPAÑA, S.A. and RENAULT ESPAÑA, S.A., for not having established the commission of an infringement by these companies.</w:t>
      </w:r>
    </w:p>
    <w:p>
      <w:r>
        <w:t>4.11. On the filing of the proceedings against ORIO SPAIN, S.L.</w:t>
      </w:r>
    </w:p>
    <w:p>
      <w:r>
        <w:t>Regarding the conduct of ORIO, this Competition Chamber of the Council does not share the attribution of responsibility to it made by the DC in its PR. The established facts regarding ORIO's participation in the exchanges of information with competitors in the context of the Brand Club and in the Builder Days do not allow for a conclusion, with the required degree of certainty, regarding this company's participation in the cartel infringement being analyzed. The degree of conviction regarding ORIO's involvement in the alleged facts based on the indications pointed out by the DC is insufficient to undermine the presumption of innocence regarding ORIO's conduct.</w:t>
      </w:r>
    </w:p>
    <w:p>
      <w:r>
        <w:t>It is recorded in the file that ORIO, previously named SAAB AUTOMOBILE SPAIN, S.L. and established in June 2010, has been marketing original spare parts and accessories of the SAAB brand since January 2012, since in April 2011 it ceased the manufacture of automobiles of the SAAB brand as a result of the bankruptcy of SAAB AUTOMOBILE, A.B., so ORIO has come to have as its sole activity the importation and marketing of original spare parts of the SAAB brand.</w:t>
      </w:r>
    </w:p>
    <w:p>
      <w:r>
        <w:t>The DC considers it established that SAAB began participating in the exchanges carried out within the framework of the Brand Club in September 2010, at which time communications from the representative of SAAB with the other participating brands are recorded. Regarding the conclusion of the exchange of information carried out by the business management responsible for the brands, the DC indicates that SAAB participated until February 2011. On the other hand, regarding the exchange of confidential information during the meetings of the After-Sales Marketing managers, called "Builder Days," the DC considers ORIO's participation established from April 2010 until March 2011.</w:t>
      </w:r>
    </w:p>
    <w:p>
      <w:r>
        <w:t>This Competition Chamber, however, considers that ORIO's claim regarding its establishment as a company in June 2010 should be taken into account, a date until which the marketing and after-sales of the SAAB brand corresponded to GENERAL MOTORS ESPAÑA, also accused in this file as a distributor of OPEL vehicles. Likewise, it must be taken into account that the transfer of the contracts of authorized distributor and repairer of the SAAB brand took place on August 31, 2010, being until that moment GENERAL MOTORS presumably the one who had access to the relevant information of the brand, extending that control of GENERAL MOTORS over the dealer network regarding vehicles acquired in the period prior to the acquisition of the SAAB brand by SAAB AUTOMOBILE SPAIN (ORIO).</w:t>
      </w:r>
    </w:p>
    <w:p>
      <w:r>
        <w:t>Furthermore, from the evidence collected, there is no indication of prior knowledge by the representative of ORIO of the content and purpose of the meetings, prior to their attendance at the brand meeting on October 20, 2010, the only one to which it is recorded that ORIO attended. Likewise, there is no information in the file provided by ORIO since the date of its establishment as a distributor company of the SAAB brand.</w:t>
      </w:r>
    </w:p>
    <w:p>
      <w:r>
        <w:t>Therefore, this Competition Chamber of the Council considers that ORIO's conduct as a participant in the cartel is not sufficiently established and that the proceedings against this company should be filed.</w:t>
      </w:r>
    </w:p>
    <w:p>
      <w:r>
        <w:t>4.12. On the proposal and determination of the sanction</w:t>
      </w:r>
    </w:p>
    <w:p>
      <w:r>
        <w:t>Through their allegations, some of the accused companies (NISSAN, TOYOTA) demand the application, regarding the content of the Proposal for Resolution,</w:t>
      </w:r>
    </w:p>
    <w:p>
      <w:r>
        <w:rPr>
          <w:b/>
        </w:rPr>
        <w:t>[Pages 76–78]</w:t>
      </w:r>
    </w:p>
    <w:p>
      <w:r>
        <w:t>of Article 135 LRJPAC and Article 18 of the Regulation of the procedure for the exercise of the Sanctioning Power, approved by Royal Decree 1398/1993, of August 4 (hereinafter, RD 1398/1993), which states that the proposal for resolution of sanctioning procedures must specify, among other issues, the proposed sanction to be imposed. It is argued that the parties involved have the right to know the exact responsibility for the financial liability attributed to them as well as to make allegations in this regard.</w:t>
      </w:r>
    </w:p>
    <w:p>
      <w:r>
        <w:t>On the other hand, some parties involved (CITRÖEN, PEUGEOT) argue that "the turnover corresponding to the marketing of automobiles takes into account a billing that is not at all related to the affected market. The wholesale distribution of automobiles, which is the market allegedly affected by the investigated behaviors, generates very high billing due to the extremely high unit value of the marketed product. However, the commercial margins obtained by the wholesale subsidiaries of the manufacturing brands bear no proportion to the aforementioned billing." These parties advocate that the fine be calculated based on the gross commercial margins obtained from the wholesale sale of automobiles during the corresponding periods.</w:t>
      </w:r>
    </w:p>
    <w:p>
      <w:r>
        <w:t>Response from the Competition Chamber:</w:t>
        <w:br/>
        <w:t>Regarding the necessary precision of the specific financial sanction proposed in the PR itself, the allegation must be dismissed. Article 1 of RD 1398/1993 establishes its supplementary application in the absence of specific procedures provided for in the corresponding sanctioning regulations. This means that all provisions related to the sanctioning procedure that are provided for in a specific regulation take precedence over the aforementioned Regulation and render it inapplicable. In this sense, Article 45 of the LDC provides for the prevailing nature of this law with respect to Law 30/92 and its implementing regulations, stating the following: "Administrative procedures in matters of competition defense shall be governed by the provisions of this law and its implementing regulations, and, supplementarily, by Law 30/1992, of November 26, on the Legal Regime of Public Administrations and the Common Administrative Procedure, without prejudice to what is provided in Article 70 of this Law."</w:t>
      </w:r>
    </w:p>
    <w:p>
      <w:r>
        <w:t>Therefore, when the LDC and its implementing regulations provide for the specificities of the sanctioning procedure in competition matters, it is not possible to resort to the general sanctioning regulations, as the Supreme Court itself has highlighted on several occasions.</w:t>
      </w:r>
    </w:p>
    <w:p>
      <w:r>
        <w:t>Having noted the above, it should be pointed out that the LDC establishes its own specific sanctioning procedure in matters of competition defense, as indicated by the aforementioned Article 45 of the LDC, and also Article 29.3 of the LCNMC in the following terms: "Specifically, the sanctioning procedure in matters of competition defense shall be governed by the specific provisions provided in Law 15/2007, of July 3."</w:t>
      </w:r>
    </w:p>
    <w:p>
      <w:r>
        <w:t>For its part, the sanctioning procedure provided for in the LDC is developed in the RDC, in which Article 34 specifies the minimum content that the Proposal for Resolution must have, in the following terms: "The proposal for resolution must contain the background of the file, the accredited facts, their authors, the legal qualification that the facts deserve, the proposal for declaration of the existence of an infringement and, where appropriate, the effects produced in the market, the responsibility corresponding to its authors, the aggravating and mitigating circumstances, and the proposal of the Directorate of Investigation regarding the exemption or reduction of the amount of the fine referred to in Articles 65 and 66 of Law 15/2007, of July 3. When the Directorate of Investigation considers that the existence of prohibited practices has not been accredited, it shall state this circumstance in its proposal for resolution."</w:t>
      </w:r>
    </w:p>
    <w:p>
      <w:r>
        <w:t>As can be seen, the regulation, when establishing the content of the Proposal for Resolution, does not require that a proposal regarding the amount of the sanction to be imposed in the final resolution of the procedure be included, the amount of which is reserved to the authority of the Competition Chamber of the Council, as provided in Article 53.2 of the LDC and 38.3 of the RDC.</w:t>
      </w:r>
    </w:p>
    <w:p>
      <w:r>
        <w:t>In light of the above, this allegation must be dismissed, as the special regulations governing sanctioning procedures in matters of competition include an express provision regarding the content that must be included in the proposal for resolution prepared by the DC, without requiring a proposal for the amount of the sanction to be imposed by the Competition Chamber of the Council.</w:t>
      </w:r>
    </w:p>
    <w:p>
      <w:r>
        <w:t>It should be additionally clarified that this Chamber does not perceive any lack of defense for the companies involved, as they have not been deprived at any time of their rights to participate in the sanctioning procedure, they can allege what they consider appropriate regarding the application to their individual case of the criteria for determining the amount of the sanction in Article 64 of the LDC, and in fact many do so.</w:t>
      </w:r>
    </w:p>
    <w:p>
      <w:r>
        <w:t>Regarding the turnover that should be taken as a reference for calculating the fine, for reasons of coherence and expositional order, this Chamber considers it more appropriate to address the issue related to the method of calculating the sanction in the Seventh Legal Basis, concerning the criteria for determining the fine, where such issues will be analyzed.</w:t>
      </w:r>
    </w:p>
    <w:p>
      <w:r>
        <w:t>FIFTH.- OTHER ISSUES RAISED IN THE RESOLUTION PHASE</w:t>
        <w:br/>
        <w:t>5.1. On the processing deadlines of the file</w:t>
        <w:br/>
        <w:t>RENAULT, GENERAL MOTORS, KIA, BMW, NISSAN, FORD, HYUNDAI, TOYOTA, CHEVROLET argue that the prolongation of the duration of the instruction phase of the file has deprived the interested parties of the deliberation and resolution phase, through the de facto exhaustion of the maximum deadline for the file, which would have affected the right of defense of the parties. The companies making this allegation argue that the extension, which they define as disproportionate, of the instruction period implies in turn "shortening to just over a month the period in which the Chamber must be aware of the file" (allegations from FORD, and similarly from the other cited companies). These parties involved believe that given the particularities of this file in terms of complexity and extent, the Council would not have sufficient time to conduct a calm and thorough analysis of it, and therefore cannot issue a true objective value judgment on the analyzed behavior, which they consider severely affects the separation of the functions of instruction and resolution.</w:t>
      </w:r>
    </w:p>
    <w:p>
      <w:r>
        <w:t>This Competition Chamber must reject this type of allegations. And this is for both formal and material considerations. From the perspective of the facts, as noted in the AH, on May 22, 2015, the DC submitted its Report and Proposal for Resolution to the Council of the CNMC. On June 2, 2015, it was agreed, in accordance with Article 37.2 c) of the LDC, to send the Proposal Report to the European Commission, which took place on June 3, 2015, which resulted in the suspension as of that date of the maximum deadline for resolving the file. As noted in the agreement lifting the suspension, dated July 3, 2015, the new expiration date of the file is August 7, 2015. This mandatory, foreseeable suspension linked to the report referred to in Article 37.2 c) of the LDC has resulted in the time available for resolution being greater than that indicated by the parties involved in their allegations.</w:t>
      </w:r>
    </w:p>
    <w:p>
      <w:r>
        <w:t>On the other hand, it should be remembered that the Competition Chamber has the authority to assess, in light of the file, whether the reasons justifying the exceptional extension of the maximum resolution deadline are present, as permitted by Article 37.4 LDC. This Competition Chamber has agreed to such an extension of the maximum duration of the procedure in other recent cases, considering that exceptional circumstances existed that required a time for evaluating the file that exceeded the remaining time for expiration in that case.</w:t>
      </w:r>
    </w:p>
    <w:p>
      <w:r>
        <w:t>Only the Chamber is in a position to determine whether the specific circumstances present in each case justify the exceptional adoption of the corresponding decision to extend the deadline for resolution. These concurrent circumstances encompass both issues related to the complexity and volume of the file in question, a circumstance that the parties involved are also aware of, as well as other elements linked to the set of files in the resolution phase before...</w:t>
      </w:r>
    </w:p>
    <w:p>
      <w:r>
        <w:rPr>
          <w:b/>
        </w:rPr>
        <w:t>[Pages 79–81]</w:t>
      </w:r>
    </w:p>
    <w:p>
      <w:r>
        <w:t xml:space="preserve">this Chamber. In this case, the Chamber has considered that it does not require such an extension to form its opinion on the present file and adopt a well-founded resolution.  </w:t>
        <w:br/>
        <w:t xml:space="preserve">5.2. On the practice of the proposed evidence and the request for a hearing  </w:t>
        <w:br/>
        <w:t xml:space="preserve">In their written submissions to the PR of the DC, the majority of the companies involved request the practice of different evidence so that this Chamber can clarify the issues necessary for forming its judgment.  </w:t>
        <w:br/>
        <w:t xml:space="preserve">Thus, a group of brands (BMW, CHEVROLET, FIAT, FORD, HONDA, HYUNDAI, KIA, NISSAN, GENERAL MOTORS, CITROËN, PEUGEOT, RENAULT, and TOYOTA) request that the report "Economic Analysis of the Exchange of Information between Brands in the Motor Vehicle Sector," prepared by the consultancy COMPASS LEXECON, be admitted as joint evidence, in which it is analyzed from an economic perspective whether the exchanged information (i) would be suitable in itself to weaken competition; (ii) whether it has produced any restrictive effect in the market; and (iii) whether it has a pro-competitive alternative explanation that can generate efficiencies in the market. The version provided by the majority of these companies constitutes the non-confidential version of the complete and confidential text (pages 30345 to 30451), which due to its confidential nature is submitted by the external lawyers of the same brands through a separate document (pages 30341 to 30344). Likewise, these brands propose that the Council agree as a complementary diligence the appearance of COMPASS LEXECON for the purpose of ratifying the conclusions of its expertise and clarifying any doubts or questions that the Council Chamber of the CNMC may have regarding its content.  </w:t>
        <w:br/>
        <w:t xml:space="preserve">Among the other evidence requested by the involved parties, many of which are reiterations of evidence already proposed or submitted in the instruction phase, we fundamentally find expert reports, reports or studies from sector organizations (FACONAUTO) and market research companies (GIPA), requests for the incorporation of documentation and information corresponding to other files, annex documents of various content such as media news, statements, presentations, letters, etc. Thus, the following can be summarized: (a) NISSAN reiterates the submission of the report dated February 25, 2015, prepared by RBB Economics titled "Analysis of the Information Exchanged by Nissan and Other Car Brands and Assessment of Its Effects on the Market." It also requests the appearance of the experts, not only from Compass Lexecon, as just mentioned, but also from RBB, for the purpose of ratifying their reports and addressing the questions that the Competition Chamber deems necessary to assess their conclusions; (b) RENAULT requests that the note dated May 19, 2015, prepared by RBB Economics titled "Analysis of the Observations Made in the Proposal for Resolution (S/0482/13 Car Manufacturers)" be evaluated, in which the observations of the DC in the PR are analyzed and responded to, specifically those made in sections 549 to 561 regarding RENAULT's reports "Analysis of the Information Exchanged by RECSA and Other Car Brands and Assessment of Its Effects on the Market," and "Analysis of the PCH of File S/0482/13 Car Manufacturers: the Excel file," both dated February 23, 2015, which it proposes to be re-evaluated along with the rest of the evidence already requested before the DC, in addition to the appearance of its economic experts; (c) KIA reiterates the evidence already requested in its submissions to the PCH consisting of completing the file with the relevant information on the first leniency application submitted by SEAT in File S/0471/13, Dealers AUDI/SEAT/VOLKSWAGEN, pending before the CNMC at the time KIA submitted its request; (d) BMW insists on the request already made in the instruction phase, consisting of examining the statistical information published by FACONAUTO on the margins and profitability of dealers, especially during 2009 and 2010, and the information on recognized comparison practices in the automotive sector, as well as the information published between 2010 and 2013 by the market research company GIPA, specialized in the after-sales sector, regarding the after-sales activities of dealers; (e) URBAN SCIENCE provides different documentation related to the relationship of one of its consultants with one of the brands participating in the exchange of information; (f) HYUNDAI, GENERAL MOTORS, and CHEVROLET request that the documentation they provide as annexes be admitted, including presentations, graphs, etc., and (g) TOYOTA requests that the evidence submitted through the written submissions to the PCH, which the DC grouped in section 524.7 of its PR, be taken into consideration.  </w:t>
        <w:br/>
        <w:t xml:space="preserve">On the other hand, HONDA, SNAP-ON, RENAULT, KIA, BMW, VOLVO, MAZDA, NISSAN, FIAT, FORD, TOYOTA, HYUNDAI, CITROËN, and PEUGEOT request the holding of an oral hearing before this Chamber of the Council of the CNMC.  </w:t>
        <w:br/>
        <w:t xml:space="preserve">Article 51.1 of the LDC regulates the practice by the Council of evidence requested by the parties, provided that they are different from those practiced in the instruction phase by the DC, or of complementary actions, whether ex officio or at the request of the interested parties, when such evidence or actions are considered by the Council to be necessary for the formation of the judgment in the decision-making process. That same legal provision, in its section 3, provides that at the proposal of the interested parties, the Council may agree to hold a hearing.  </w:t>
        <w:br/>
        <w:t xml:space="preserve">The LDC regulates the practice of evidence before the Council as an exceptional procedure. The Law establishes a single sanctioning procedure, in which the instruction phase carried out by the DC is clearly separated ("in which all necessary acts for clarifying the facts will be carried out and the contradiction and the right of defense of the accused will be guaranteed"), and the resolution phase that pertains to the Council, which adopts decisions based on the proposals made by the DC, eliminating the duplication of actions of the previous LDC, without detracting from the principle of legal certainty.  </w:t>
        <w:br/>
        <w:t xml:space="preserve">Therefore, in the framework of Law 15/2007, both the practice of evidence, at the proposal of the parties or ex officio by the Council, and the holding of a hearing, are discretionary actions of the Council, which will agree to them to the extent that it considers them necessary to clarify issues that are not recorded in the instruction, and that are necessary for the formation of its judgment before resolving (Article 51 LDC). Furthermore, in terms of evidence, in accordance with the doctrine of the Supreme Court, this Council has had the opportunity to indicate (RCNMC of December 26, 2013, File S/0423/12 MUNTERS) that it understands that only those that aim to refute the alleged facts, the participation of the involved companies in them, or the harmful effects on the market, as well as, where appropriate, those related to the dimension of the affected market or the turnover of the accused are admissible (for all, STS of September 26, 1997).  </w:t>
        <w:br/>
        <w:t xml:space="preserve">On one hand, regarding the reiteration of many of the pieces of evidence that the DC has already denied in its PR, this Chamber can only confirm the reasons stated by the DC and assert that such evidence lacks, on its own, the ability to undermine the analysis of the conduct attributed to the involved companies. Specifically, and regarding the expert reports submitted by NISSAN and RENAULT, this Chamber understands that the analysis of the facts carried out by them for the better defense of the position of the brands commissioning the report does not have sufficient weight to counter the exposition made by the DC nor to refute the reality of the exchanges of information accredited in the file. As for the evidence requested by KIA regarding the incorporation into the file of the leniency application submitted by SEAT in File S/0471/13 Dealers AUDI/SEAT/VOLKSWAGEN, which KIA claims is closely related to that presented in this file, this Chamber considers that, as stated in the Resolution of the Competition Chamber of the Council of the CNMC of March 5, 2015 (File S/0489/13 Dealers OPEL) regarding a request for evidence similar to that made here, such a request for the incorporation of information is inappropriate and unnecessary, since there is no identity either among the interested parties or among the facts, and therefore it must be denied as it lacks any substance to alter the final resolution in favor of the involved parties. Regarding the information published by FACONAUTO and GIPA, presented by BMW in relation to after-sales, this Chamber considers, in line with the DC, that such documentation has no relation to the information exchanged by the brands, and therefore does not provide added value regarding the elements of evidence in the file that have ultimately been fundamental to consider the facts under investigation and the attribution made to that company as accredited. Regarding URBAN SCIENCE, this Chamber understands that the documentation provided about the relationship of one of its consultants with one of the brands participating in the exchange of information does not succeed in proving a complete disconnection of that consultant from URBAN, since although he served as Business Management Manager at GENERAL MOTORS, he did so as a "displaced" person and that service had the support and collaboration of URBAN.  </w:t>
        <w:br/>
        <w:t xml:space="preserve">Finally, regarding the evidence already requested by HYUNDAI, GENERAL MOTORS, CHEVROLET, and TOYOTA in their respective written submissions to the PCH, this Chamber appreciates that such evidence, in general terms, is either unrelated to the exchanged information or in no way undermines the content and nature of that information, not providing added value concerning the information in the file.  </w:t>
        <w:br/>
        <w:t>On the other hand, regarding the evidence requested by the involved parties and different from those listed in their written submissions to the PCH, this Chamber considers that none of the documents incorporated into the file or the evidence proposed in the submissions to the PR are decisive in terms of defense. In light of the instruction carried out by the DC and the supporting documentation...</w:t>
      </w:r>
    </w:p>
    <w:p>
      <w:r>
        <w:rPr>
          <w:b/>
        </w:rPr>
        <w:t>[Pages 82–84]</w:t>
      </w:r>
    </w:p>
    <w:p>
      <w:r>
        <w:t>conducts attributed, this Chamber understands that all factual elements on which the declaration of infringement is based are available in the present file and the additional evidence requested does not exceed the necessary relevance judgment according to Article 24.2 of the CE (SSTC 192/87, 212/90, and 297/1993), insofar as they lack, on their own, sufficient capacity to undermine the analysis of the conduct attributed to the companies involved or to provide added value in terms of defense for the involved parties. The attribution made to the involved parties is based on the documents already in the file and their evidentiary value is greater than that resulting from the practice of the proposed evidence, which would in no way alter the assessment made by the DC in its PR.</w:t>
      </w:r>
    </w:p>
    <w:p>
      <w:r>
        <w:t>In particular, regarding the expert report proposed by a group of brands jointly titled "Economic Analysis of the Exchange of Information between Brands in the Motor Vehicle Sector," prepared by the consultancy COMPASS LEXECON and submitted separately by external lawyers due to its extreme confidentiality, this Chamber considers that it does not succeed in undermining the reality of the information exchanges documented in the file nor does it provide additional information to the arguments already presented in their allegations, thus it is deemed ineffective to modify the facts already sufficiently accredited by the instructing body and the qualification made thereof. The same can be noted, with equal or greater reason, regarding the non-confidential version of said report, provided by the majority of the companies that commissioned it, as it equally lacks exculpatory potential and is not suitable to undermine the conclusions reached by the Chamber in light of the other evidence in the file.</w:t>
      </w:r>
    </w:p>
    <w:p>
      <w:r>
        <w:t>Furthermore, the appearance of the experts from COMPASS LEXECON or the experts designated by some of the brands is also not considered appropriate, thus denying such a request made by several brands. Given the significance of the accreditation of facts, supported by various sources (leniency statement, documentation collected during inspections, and provided as a result of the corresponding information requests), the intervention of these technicians to reaffirm the conclusions of expert reports that, in their non-confidential version, have already been assessed, is clearly unnecessary to modify the conclusion reached based on the accredited factual data in the file.</w:t>
      </w:r>
    </w:p>
    <w:p>
      <w:r>
        <w:t>Finally, regarding the request for an oral hearing made by some of the involved parties in their written allegations, as we have seen, it should be noted that the hearing is established in the LDC as an action that the Council may agree to at its discretion, "when it considers it appropriate for the analysis and judgment of the object of the file" (art. 19.1 RDC). The Council, considering that it is within its power to agree to hold a hearing when it deems justified, does not find it necessary for the assessment of the present matter to grant the request for a hearing, without this denial leading to any kind of defenselessness for the parties, as has been repeatedly pointed out by the National Court, and given the ample opportunities utilized by the involved parties throughout the procedure to present allegations and confront the arguments of the DC.</w:t>
      </w:r>
    </w:p>
    <w:p>
      <w:r>
        <w:t>SIXTH.- ASSESSMENT OF THE COMPETITION CHAMBER OF THE COUNCIL</w:t>
        <w:br/>
        <w:t>In accordance with the above, this Competition Chamber considers that it has been established that the companies referred to in this resolution, with the clarifications established in the Fourth Ground, committed a single and continuous infringement consisting of a practice prohibited by Article 1 of the LDC and Article 101 TFEU.</w:t>
      </w:r>
    </w:p>
    <w:p>
      <w:r>
        <w:t>The infringement consists of the exchange of commercially sensitive, confidential information, both current and future, highly disaggregated. The information exchanges were part of a complex agreement, which subsumes multiple agreements for the exchange of information, executed under a preconceived plan, taking advantage of the same opportunity generated by specific marketing and after-sales forums, using methods and tracking systems for the same purpose, from February 2006 to August 2013.</w:t>
      </w:r>
    </w:p>
    <w:p>
      <w:r>
        <w:t>The information exchanged among the involved companies covered almost all activities carried out by these companies through their Dealer Network: sale of new and used vehicles, provision of workshop services, repair, maintenance, and sale of official spare parts.</w:t>
      </w:r>
    </w:p>
    <w:p>
      <w:r>
        <w:t>The assessment of the instruction carried out by the DC leads us to the conclusion of the existence of a cartel as the necessary prerequisites contained in the Fourth Additional Provision of the LDC are met.</w:t>
      </w:r>
    </w:p>
    <w:p>
      <w:r>
        <w:t>Regarding the subjective element required, it is evident that the parties in this procedure are companies competing in the same market for the distribution of motor vehicles and that they have entered into agreements during various periods depending on the affected participating companies, which include, depending on the cases, at least from the year 2006 until the inspections carried out by the DC from July 23 to 26, 2013.</w:t>
      </w:r>
    </w:p>
    <w:p>
      <w:r>
        <w:t>These agreements, consisting of the exchange of strategic and sensitive information, constitute conducts that both Article 1 of the LDC and Article 101 of the TFEU foresee as prohibited agreements deserving of sanction. It has also been established that the companies have carried out the information exchanges with manifest concealment and secrecy, using specific mechanisms to facilitate the exchange, with the participation for this purpose of two consultancy firms, URBAN and SNAP-ON.</w:t>
      </w:r>
    </w:p>
    <w:p>
      <w:r>
        <w:t>This Chamber considers that we are faced with an exchange of information that fully fits the characteristics of a collusive agreement restricting competition as described in the Guidelines on the applicability of Article 101 of the TFEU to horizontal cooperation agreements. As a consequence of the exchanged information, the participants were aware of the main figures and economic results obtained by their competitors in the sales markets (new and used) and after-sales (workshop and spare parts sales), the profits by departments in total amounts and percentages, the expense figures (in percentage and total), as well as the net profit before taxes (in percentage and total) and the commercial margins of the Dealer Network of the participating brands in the exchange.</w:t>
      </w:r>
    </w:p>
    <w:p>
      <w:r>
        <w:t>It is undeniable, based on what has been stated, that the type of information exchanged here must be considered strategic information of the companies, thus its disclosure to the rest of the competitors breaks with business logic and undermines the basic rules of proper competitive functioning of the market.</w:t>
      </w:r>
    </w:p>
    <w:p>
      <w:r>
        <w:t>From the documentation in the file from which this resolution arises, it is concluded that the parties carried out the described conducts, with the content of the emails obtained during the inspections, the handwritten notes of the companies, the meetings between competitors, the information provided in responses to information requests, the information provided by the leniency applicant, and the accreditation of other types of conducts carried out by the involved companies that are characteristic of habitual conducts constitutive of a cartel, such as the deliberate concealment of illicit agreements, being unequivocal evidence of this.</w:t>
      </w:r>
    </w:p>
    <w:p>
      <w:r>
        <w:t>Although the exchange of sensitive information as accredited and in the circumstances analyzed in this file constitutes a case of restriction of competition by its object and this is sufficient to appreciate the administrative illicit and determine the corresponding responsibilities, it has also been proven that the conduct has caused harmful effects on effective competition in the market, by provoking an artificial decrease in the uncertainty of the companies regarding the commercial policy of their competitors and a corresponding decrease in competition during the years in which the analyzed information exchanges occurred.</w:t>
      </w:r>
    </w:p>
    <w:p>
      <w:r>
        <w:t>Finally, it should be noted that the accredited conducts constitute a single and continuous infringement contrary to competition law, of a very serious nature, in accordance with Article 62.4.a) of the LDC, which considers very serious infringements the development of collusive conducts typified in Article 1 of the LDC that consist of cartels or other agreements, decisions, or collective recommendations, concerted practices or consciously parallel behaviors among competing companies that meet the requirements set forth in the second paragraph of the Fourth Additional Provision of the LDC to be classified as a cartel.</w:t>
      </w:r>
    </w:p>
    <w:p>
      <w:r>
        <w:t>Therefore, the following differentiated responsibilities are established:</w:t>
        <w:br/>
        <w:t>1. AUTOMÓVILES CITROËN ESPAÑA, S.A. as the distributor of CITROËN brand vehicles in Spain, for its participation in the information exchanges with competitors of the Brand Club from February 2006 to July 2013, from the After-sales Forum from March 2010 to February 2011, and from the Builders' Days from April 2010 to March 2011.</w:t>
        <w:br/>
        <w:t>2. B&amp;M AUTOMÓVILES ESPAÑA, S.A. as the distributor of MITSUBISHI brand vehicles in Spain, for its participation in the information exchanges with competitors in the After-sales Forum from March 2010 to August 2013.</w:t>
      </w:r>
    </w:p>
    <w:p>
      <w:r>
        <w:rPr>
          <w:b/>
        </w:rPr>
        <w:t>[Pages 85–87]</w:t>
      </w:r>
    </w:p>
    <w:p>
      <w:r>
        <w:t xml:space="preserve">3. BMW IBÉRICA, S.A.U. as the distributing company of BMW brand automobiles in Spain, for its participation in the exchange of information with competitors in the context of the Brand Club from June 2008 to November 2009, in the After-Sales Forum from March 2010 to August 2013, and in the Manufacturers' Meetings from April 2010 to March 2011.  </w:t>
        <w:br/>
        <w:t xml:space="preserve">4. CHEVROLET ESPAÑA, S.A.U. as the distributing company of CHEVROLET brand automobiles in Spain, for its participation in the exchange of information with competitors in the context of the Brand Club from February 2006 to July 2013 and in the After-Sales Forum from March 2010 to August 2013.  </w:t>
        <w:br/>
        <w:t xml:space="preserve">5. CHRYSLER ESPAÑA, S.L., as the distributing company of CHRYSLER, JEEP, and DODGE brand automobiles in Spain, for its participation in the exchange of information with competitors in the context of the Brand Club from April 2008 to July 2010.  </w:t>
        <w:br/>
        <w:t xml:space="preserve">6. FIAT GROUP AUTOMOBILES SPAIN, S.A., as the distributing company of FIAT, ALFA ROMEO, and LANCIA brand automobiles and since July 2010 of CHRYSLER, JEEP, and DODGE brands in Spain, for its participation in the exchange of information with competitors in the context of the Brand Club from February 2006 to July 2013, in the After-Sales Forum from March 2010 to August 2013, and in the Manufacturers' Meetings from April 2010 to March 2011.  </w:t>
        <w:br/>
        <w:t xml:space="preserve">7. FORD ESPAÑA, S.L., as the distributing company of FORD brand automobiles in Spain, for its participation in the exchange of information with competitors in the context of the Brand Club from February 2006 to July 2013, in the After-Sales Forum from April 2010 to February 2011, and in the Manufacturers' Meetings from April 2010 to March 2011.  </w:t>
        <w:br/>
        <w:t xml:space="preserve">8. GENERAL MOTORS ESPAÑA, S.L.U., distributing company of OPEL brand vehicles in Spain, for its participation in the exchange of information with competitors in the context of the Brand Club from February 2006 to July 2013, in the After-Sales Forum from March 2010 to January 2012, and in the Manufacturers' Meetings from April 2010 to March 2011.  </w:t>
        <w:br/>
        <w:t xml:space="preserve">9. HONDA MOTOR EUROPE LIMITED, BRANCH IN SPAIN, S.L., distributing company of HONDA brand automobiles in Spain, for its participation in the exchange of information with competitors in the context of the Brand Club from April 2009 to April 2012 and in the After-Sales Forum from March 2010 to August 2013.  </w:t>
        <w:br/>
        <w:t xml:space="preserve">10. HYUNDAI MOTOR ESPAÑA, S.L.U., distributing company of the HYUNDAI brand in Spain, for its participation in the exchange of information with competitors in the Brand Club from July 2011 to July 2013, in the After-Sales Forum from March 2010 to August 2013, and in the Manufacturers' Meetings in March 2011.  </w:t>
        <w:br/>
        <w:t xml:space="preserve">11. KIA MOTORS IBERIA, S.L., distributing company of the KIA brand in Spain, for its participation in the exchange of information with competitors in the Brand Club from March 2007 to November 2012 and in the After-Sales Forum from June 2010 to February 2012.  </w:t>
        <w:br/>
        <w:t xml:space="preserve">12. MAZDA AUTOMÓVILES ESPAÑA, S.A., distributor of the MAZDA brand in Spain, for its participation in the exchange of information with competitors in the After-Sales Forum from March 2010 to February 2012 and in the Manufacturers' Meetings in March 2011.  </w:t>
        <w:br/>
        <w:t xml:space="preserve">13. MERCEDES BENZ ESPAÑA, S.A., distributor of the MERCEDES brand in Spain, for its participation in the exchange of information with competitors in the After-Sales Forum from March 2010 to February 2011.  </w:t>
        <w:br/>
        <w:t xml:space="preserve">14. NISSAN IBERIA, S.A., as the distributing company of the NISSAN brand in Spain, for its participation in the exchange of information with competitors in the context of the Brand Club from June 2008 to July 2013, in the After-Sales Forum from March 2010 to August 2013, and in the Manufacturers' Meetings in March 2011.  </w:t>
        <w:br/>
        <w:t xml:space="preserve">15. PEUGEOT ESPAÑA, S.A., distributing company of PEUGEOT brand automobiles in Spain, for its participation in the exchange of information with competitors in the context of the Brand Club from February 2006 to July 2013, in the After-Sales Forum from March 2010 to December 2010, and in the Manufacturers' Meetings in April 2010.  </w:t>
        <w:br/>
        <w:t xml:space="preserve">16. PORSCHE IBÉRICA, S.A., distributing company of PORSCHE brand automobiles in Spain, for its participation in the exchange of information with competitors conducted in the After-Sales Forum from June 2010 to August 2013.  </w:t>
        <w:br/>
        <w:t xml:space="preserve">17. RENAULT ESPAÑA COMERCIAL, S.A., distributing company of RENAULT brand automobiles in Spain, for its participation in the exchange of information with competitors in the context of the Brand Club from February 2006 to July 2013 and in the Manufacturers' Meetings from April 2010 to March 2011.  </w:t>
        <w:br/>
        <w:t xml:space="preserve">18. SEAT, S.A., distributing company of SEAT brand automobiles in Spain, for its participation in the exchange of information with competitors in the Brand Club from February 2006 to January 2013, in the After-Sales Forum in September 2010, and in the Manufacturers' Meetings from April 2010 to March 2011.  </w:t>
        <w:br/>
        <w:t xml:space="preserve">19. TOYOTA ESPAÑA, S.L., distributing company of LEXUS and TOYOTA brand automobiles in Spain, for its participation in the exchange of information with competitors in the context of the Brand Club from February 2006 to September 2012, in the After-Sales Forum from March 2010 to August 2013, and in the Manufacturers' Meetings from April 2010 to March 2011.  </w:t>
        <w:br/>
        <w:t xml:space="preserve">20. VOLKSWAGEN AUDI ESPAÑA, S.A., distributing company of AUDI, SKODA, and VW brand automobiles in Spain, for its participation in the exchange of information with competitors in the context of the Brand Club from October 2008 regarding the VW brand, from April 2009 regarding the SKODA brand, and from September 2010 regarding the AUDI brand, until November 2012 regarding the SKODA brand and until May 2013 regarding the AUDI and VW brands, in the After-Sales Forum from March 2010 to June 2013, and in the Manufacturers' Meetings in April 2010.  </w:t>
        <w:br/>
        <w:t xml:space="preserve">21. VOLVO CAR ESPAÑA, S.A., distributing company of VOLVO brand automobiles in Spain, for its participation in the exchange of information with competitors in the After-Sales Forum from March 2010 to August 2013 and in the Manufacturers' Meetings in April 2010.  </w:t>
        <w:br/>
        <w:t xml:space="preserve">Regarding the participation of the companies URBAN and SNAP-ON, it represents an added value for the effectiveness of the exchange agreements, and furthermore, a characteristic element of this type of conduct that is not new to this Commission. Such mechanisms for managing the exchange of information are common in the operation of cartels, with the most common being those consisting of exchanges of information through auditing systems or using a censor, supervisor, or coordinator.  </w:t>
        <w:br/>
        <w:t xml:space="preserve">This Chamber therefore considers that SNAP-ON BUSINESS SOLUTIONS, S.L., is responsible, in the capacity of necessary collaborator, for its participation in the organization and functioning of the exchanges of information carried out in the context of the Brand Club from November 2009 to July 2013. For its part, URBAN SCIENCE ESPAÑA, S.L.U, is also responsible as a necessary collaborator for its participation in the organization and functioning of the exchanges of information carried out in the context of the After-Sales Forum from March 2010 to August 2013.  </w:t>
        <w:br/>
        <w:t xml:space="preserve">SEVENTH.- RESPONSIBILITIES AND DETERMINATION OF THE SANCTION  </w:t>
        <w:br/>
        <w:t xml:space="preserve">7.1.- Responsibility of the companies  </w:t>
        <w:br/>
        <w:t xml:space="preserve">The responsibility of the companies referred to in the Sixth Legal Basis of this Resolution is, in the opinion of this Competition Chamber, unquestionable in light of the accredited facts and the evidence and other elements of judgment contained in the file, which is why this Chamber agrees with the attribution of responsibility made by the DC in its resolution proposal, with the exceptions established in the Fourth Legal Basis.  </w:t>
        <w:br/>
        <w:t>The brands were aware of the illegality of the exchange of information carried out among them. In fact, during the cartel meeting held on April 19, 2012, the participants evaluated the fine imposed by the CNC in the sanctioning file S/0280/10 SUZUKI-HONDA, as reflected in the email subsequently sent by an executive of NISSAN to other executives of said...</w:t>
      </w:r>
    </w:p>
    <w:p>
      <w:r>
        <w:rPr>
          <w:b/>
        </w:rPr>
        <w:t>[Pages 88–90]</w:t>
      </w:r>
    </w:p>
    <w:p>
      <w:r>
        <w:t>the company and to SNAP-ON. HONDA proposed in an email dated April 20, 2012, to stop exchanging information via email and to do so on paper during the periodic meetings they held, referencing the data and brands with letters and numbers, although the brands would know this equivalence, following the comments from FORD and RENAULT regarding the fine imposed by the CNC on MONTESA-HONDA and SUZUKI for exchanging commercial information, announcing that it would no longer notify confidential information of its company via email.</w:t>
      </w:r>
    </w:p>
    <w:p>
      <w:r>
        <w:t>After some of the participating brands renounced continuing to exchange after-sales information, in mid-2012, the remaining companies decided almost unanimously to continue with this, although adopting measures to ensure the secrecy of the cartel, adopting a numerical identification code for each of the participating brands and sending the emails sent by the participants in the information exchange to the recipients in blind copy or directly in writing or by phone.</w:t>
      </w:r>
    </w:p>
    <w:p>
      <w:r>
        <w:t>It is established that those responsible for managing the distribution networks in each brand reported back and conveyed the exchanged information to their hierarchical superiors. In the case of the brands CITROEN, RENAULT, SEAT, HONDA, and CHEVROLET, it is even documented how the top executives occasionally requested the business management officials participating in the Brand Club to carry out certain exchanges of information with the rest of their competitors.</w:t>
      </w:r>
    </w:p>
    <w:p>
      <w:r>
        <w:t>Each of the participants in the respective exchanges were specialists in the subject, who determined the information required for the exchange and could evaluate the information provided by their direct competitors.</w:t>
      </w:r>
    </w:p>
    <w:p>
      <w:r>
        <w:t>It is worth mentioning here by analogy in the factual assumptions, the assessment made by the Supreme Court in its judgment of June 8, 2015 (Recuso 3253/2014, previously cited). “[...] and although the plaintiff alleges as a cause for exoneration of its liability that it has always acted in accordance with a reasonable interpretation of the norm, it is –as the CNC states– at least surprising that companies of the size of the accused, including multinationals, can claim that they did not know that it was contrary to competition rules to regularly meet 8 companies to exchange information and agree on strategies, so this allegation must be dismissed.”</w:t>
      </w:r>
    </w:p>
    <w:p>
      <w:r>
        <w:t>Some of the accused (thus, CHEVROLET and GENERAL MOTORS) request in their allegations to the PR that the fact that their internal legal compliance rules include a specific section on Competition Law, which prohibits all employees and executives of such brands from engaging in any anti-competitive practices, be considered as a mitigating factor.</w:t>
      </w:r>
    </w:p>
    <w:p>
      <w:r>
        <w:t>Regarding this allegation, the Competition Chamber considers in principle, generally, that all actions by companies aimed at fostering internal knowledge of competition rules and preventing and avoiding possible non-compliance are positive; in fact, the CNMC promotes such initiatives and programs in companies. However, as the CJEU has pointed out in its judgment of July 18, 2013 (Case C-501/11 Schindler Holding and others/Commission), the mere existence of these internal rules cannot be taken as a mitigating circumstance, especially in those cases where the accreditation of an infringement is clear evidence for the sanctioned companies of a failure to comply with such internal rules. In the present file, given the established facts, from which it is not possible to conclude the existence of a successful compliance program that effectively articulates and applies internal controls and severe disciplinary sanctions for non-compliance, this Chamber cannot share the view of the cited companies regarding the notion that such internal rules are proof of the genuine commitment of such brands and their executives –some involved in them– to comply with competition regulations, for the purposes of considering it as a mitigating factor.</w:t>
      </w:r>
    </w:p>
    <w:p>
      <w:r>
        <w:t>Consequently, and in accordance with the provisions of Article 61.2 of the LDC, there is intent or gross negligence in the conduct attributed, particularly manifested in the circumstances described that denote, as previously indicated, full knowledge of the unlawfulness, as well as the will to persist in the unlawful act.</w:t>
      </w:r>
    </w:p>
    <w:p>
      <w:r>
        <w:t>However, regarding the conduct of ORIO, as anticipated in the Fourth Ground (4.11), this Competition Chamber of the Council considers that it is not sufficiently accredited.</w:t>
      </w:r>
    </w:p>
    <w:p>
      <w:r>
        <w:t>7.2. Criteria for determining the fine and applicable law</w:t>
        <w:br/>
        <w:t>Article 62.4.a) of the LDC establishes that behaviors consisting of cartels or other agreements, decisions or collective recommendations, concerted practices or consciously parallel practices among competing companies, whether real or potential, will be classified as very serious infringements.</w:t>
      </w:r>
    </w:p>
    <w:p>
      <w:r>
        <w:t>Article 63.1 of the LDC grants the CNMC the authority to sanction companies and their associations that, deliberately or through negligence, violate the prohibition of collusive agreements. According to established jurisprudence, the principle of culpability is inherent to cartel infringements, but in addition to the proven facts of this Resolution, it is established that the companies were aware of the illicit nature of their anti-competitive conduct.</w:t>
      </w:r>
    </w:p>
    <w:p>
      <w:r>
        <w:t>Section c) of the same article states that very serious infringements may be punished with a fine of up to 10 percent of the total turnover of the infringing company in the financial year immediately preceding the imposition of the fine, and in cases where it is not possible to determine the turnover, section 3.c) states that the amount of the fine will be more than 10 million euros.</w:t>
      </w:r>
    </w:p>
    <w:p>
      <w:r>
        <w:t>Article 64 of the LDC states that the amount of the sanctions will be determined taking into account, among others, the following criteria: a) The size and characteristics of the market affected by the infringement; b) The market share of the responsible company or companies; c) The scope of the infringement; d) The duration of the infringement; e) The effect of the infringement on the rights and legitimate interests of consumers and users or on other economic operators; f) The illicit benefits obtained as a result of the infringement; g) The aggravating and mitigating circumstances that apply in relation to each of the responsible companies.</w:t>
      </w:r>
    </w:p>
    <w:p>
      <w:r>
        <w:t>In their allegations, some of the accused, citing various judgments from the National Court, argue that the maximum penalty that can be imposed would be 10% of the turnover obtained by the company in the economic activity area in which the infringement occurred (market affected by the infringement), in the financial year prior to the imposition of the fine.</w:t>
      </w:r>
    </w:p>
    <w:p>
      <w:r>
        <w:t>On this issue and regarding the nature of the 10% (whether it is the maximum of a sanctioning range, or whether it should be considered as a limit or leveling threshold), the Supreme Court has recently ruled in its judgment of January 29, 2015 (Recourse 2872/2013), a judgment that has already been analyzed in the latest resolutions of this Council. According to the Supreme Court, the process of determining the fine must necessarily adhere to the following premises:</w:t>
        <w:br/>
        <w:t> The percentage limits provided in Article 63.1 of the LDC must be conceived as the maximum level of a sanctioning range in which the penalties, depending on the severity of the conduct, must be individualized. The Chamber states that these limits "constitute, in each case, the ceiling of the...</w:t>
      </w:r>
    </w:p>
    <w:p>
      <w:r>
        <w:rPr>
          <w:b/>
        </w:rPr>
        <w:t>[Pages 91–93]</w:t>
      </w:r>
    </w:p>
    <w:p>
      <w:r>
        <w:t>the previous year, a sanción pecuniaria that is appropriate and proportionate to the infringement committed.</w:t>
      </w:r>
    </w:p>
    <w:p>
      <w:r>
        <w:t>7.3. Elements of graduation leading to the specification of the sanction scale</w:t>
        <w:br/>
        <w:t>As already noted, the infringement being analyzed here is classified by the LDC as very serious, to which a fine of up to 10% of the total turnover of the infringers in the year immediately preceding the imposition of the sanctions, that is, 2014, is associated.</w:t>
      </w:r>
    </w:p>
    <w:p>
      <w:r>
        <w:t>On the other hand, as also mentioned earlier, the Supreme Court has indicated that this 10% should be conceived as the maximum limit of a scale or sanction range. That percentage "marks the maximum of the sanctioning rigor for the sanction corresponding to the infringing conduct that, within the respective category, has the highest unlawful density." Thus, the 10% should be reserved as "the sanctioning response applicable to the most reprehensible infringement of those possible within its category." Consequently, based on the graduation criteria of Article 64.1 of the LDC and its manifestation in this specific file, it will be necessary to determine the percentage from which, within the minimum and maximum (10%) of the sanctioning scale provided for in the Law, to start in order to subsequently individualize the corresponding sanction for each responsible party.</w:t>
      </w:r>
    </w:p>
    <w:p>
      <w:r>
        <w:t>It is advisable in this regard to take into consideration the general or global factors of the conduct, leaving for a later analysis and specification (individualization) the specific factors relating to the conduct of each of the infringers, including, where appropriate, aggravating and mitigating circumstances of an individual nature.</w:t>
      </w:r>
    </w:p>
    <w:p>
      <w:r>
        <w:t>Some elements allow for the assessment of the degree of harm and the damaging nature of the conduct within those prohibited by Article 1 of the LDC. In this sense, the conduct has not materialized in an explicit fixing of prices or quantities by the participants, although there is no doubt that it constitutes an exchange of periodic, detailed, sensitive, and strategic information, identifying the brands, regarding commercial margins and compensation policies of the dealership networks to eliminate uncertainties about market developments and ensure their stability, which translates into a significant restriction of competition in the setting of final prices and in determining the commercial conditions of the automobiles distributed by the respective dealership networks, as well as the after-sales services provided therein.</w:t>
      </w:r>
    </w:p>
    <w:p>
      <w:r>
        <w:t>The conduct would have translated here into a reduction of the uncertainty that the brands would have faced, in the absence of the cartel, regarding the determining variables of the organization and management of their commercial and after-sales distribution networks, and those of the other competing brands participating in the information exchanges. The reduction of competition generated by such exchanges of information during the periods in which they occurred has been passed on to the final consumer in the form of lower discounts, less aggressive commercial policies by the brands, and less effort to distinguish themselves from other companies with higher quality services. The brands participating in the cartel thus enjoyed protection regarding their functioning in the market that is improper in a competitive environment in the absence of sensitive information exchange, illicitly benefiting from an artificial stability in their actions in the affected market.</w:t>
      </w:r>
    </w:p>
    <w:p>
      <w:r>
        <w:t>Moreover, the conduct has been carried out in an institutionalized manner, through the collaboration of consulting firms from a certain date, which have facilitated the development of the information exchange agreements. The institutionalization of the cartel endows it with characteristics of stability and homogeneity that constitute additional elements of reproach in a conduct such as the one described.</w:t>
      </w:r>
    </w:p>
    <w:p>
      <w:r>
        <w:t>Another important element of the conduct refers to what Article 64.1.c) of the LDC mentions regarding the "scope of the infringement." Considering the collusive behaviors analyzed in this file, the geographical market extends, regarding the practices carried out in relation to the brands involved, to the entire national territory, which must be taken into account when assessing the effects of the practice on other economic operators (operators present in retail distribution, official or independent workshops) and, especially, on the consumers and users harmed by the conducted actions.</w:t>
      </w:r>
    </w:p>
    <w:p>
      <w:r>
        <w:t>The joint market share of the brands participating in the behaviors analyzed in this sanctioning file would be around 91% of the automobile distribution in Spain, including almost all so-called generalist brands and some of the so-called Premium brands.</w:t>
      </w:r>
    </w:p>
    <w:p>
      <w:r>
        <w:t>On the other hand, Article 64.1.d) of the LDC refers to the duration of the conduct. Although the duration will serve as a parameter for individualization when considering the participation of each company in the infringement (which is not equal among each of the parties declared responsible), it is advisable that this factor also guide the general graduation of the sanctioning reproach for all companies, as the overall duration of the conduct also reveals to some extent its scope (art. 64.1.c) and effects (art. 64.1.e). In this regard, it has been established that the average duration of the conduct has exceeded sixty months (without prejudice, it is emphasized, to the specific modulation that this factor must receive in the duration attributed to each company), moving in a range from twelve months for the shortest duration (one single company) to nearly ninety months for the longest duration (thus, eight companies), although in almost all cases it exceeds thirty-six months by a wide margin.</w:t>
      </w:r>
    </w:p>
    <w:p>
      <w:r>
        <w:t>Various parties involved (CHRYSLER, FIAT) allege the situation of severe crisis in the automobile sector, in the context of a very unfavorable general economic situation, as a mitigating circumstance or as a factor for modulating the amount of the fine (NISSAN). This Competition Chamber, however, cannot accept such an allegation. While the list of mitigating circumstances included in Article 64.3 of the LDC is not exhaustive, it is clear that in contexts of economic crisis it is necessary to ensure a scrupulous application of competition rules, since the risks of anti-competitive behaviors in such recessive phases are often heightened, and their effects on consumers and markets are even more harmful, especially to the most disadvantaged citizens. Compliance with competition regulations aims to ensure, precisely, a more efficient behavior of economic agents, also contributing to providing better purchasing conditions for consumers.</w:t>
      </w:r>
    </w:p>
    <w:p>
      <w:r>
        <w:t>Following the aforementioned Supreme Court ruling, the set of factors presented here allows for the specification, within the legal scale that ranges from the minimum amount to 10% of the total turnover of each responsible party in the previous year, a pecuniary sanction that is appropriate and proportionate to the infringement committed.</w:t>
      </w:r>
    </w:p>
    <w:p>
      <w:r>
        <w:rPr>
          <w:b/>
        </w:rPr>
        <w:t>[Pages 94–96]</w:t>
      </w:r>
    </w:p>
    <w:p>
      <w:r>
        <w:t>2014, the assessment of the unlawful density of the conduct, and leads this Council to consider that, while the sanctioning reproach must indeed be deterrent, the principle of proportionality requires that the sanction be positioned in the lower range of the scale when taking into account both the characteristics of the infringement and the characteristics of the responsible companies. Indeed, we are dealing with companies whose turnover is particularly high, and as noted by the Supreme Court, although it is appropriate to the principle of proportionality and to the deterrent purpose to consider the total turnover of the company as a direct manifestation of its economic capacity132, it cannot be ruled out that in some cases the sanction imposed on companies with particularly high turnover should be adjusted to align with the principle of proportionality. In this regard, it is pertinent to take into account what is stated in the British Communication regarding fines133, in which note 16 reads:</w:t>
      </w:r>
    </w:p>
    <w:p>
      <w:r>
        <w:t>“In applying the steps to individual undertakings in multi-party cases, the OFT will observe the principle of equal treatment, which is articulated by the Court of First Instance (now the General Court) in the Tokai Carbon case as follows: ‘The fact nonetheless remains that … [the Commission] must comply with the principle of equal treatment, according to which it is prohibited to treat similar situations differently and different situations in the same way, unless such treatment is objectively justified (FETTCSA, paragraph 406).’ (See Case T-236/01 Tokai Carbon Co. Ltd and Others v Commission [2004] ECR II-1181, at paragraph 219). In doing so, the OFT will take account of the judgment of the Competition Appeal Tribunal (the CAT) in the Kier Construction judgment that, ‘…it is perfectly rational for a bigger undertaking to receive a more severe penalty than a smaller company… However, this does not mean that penalties should be precisely proportionate to the relative sizes of the undertakings on which they are imposed… it will not necessarily be fair or proportionate to impose on a bigger company a penalty which reflects the same proportion of its total worldwide turnover as a penalty imposed on a smaller company represents in relation to the latter’s turnover.’ (See Kier Group plc and others v Office of Fair Trading [2011] CAT 3, at [177]).” (emphasis added)</w:t>
      </w:r>
    </w:p>
    <w:p>
      <w:r>
        <w:t>Under such considerations, the sanctioning rate applied to the total sales volume in 2014 to determine the fine should be positioned in a medium or low range when acting otherwise leads to a clear disproportion of the resulting fines134. This will not prevent the necessary proportionality between the resulting fines for each of them from being maintained when individualizing the sanction corresponding to each company.</w:t>
      </w:r>
    </w:p>
    <w:p>
      <w:r>
        <w:t>132 In the STS of January 29, 2015, it can be read: “The volume or figure of business (or turnover, or sales) is an accounting data or indicator that reveals, we repeat, the capacity and economic situation of the infringing subject and, to that same extent, allows for the prior calculation of the maximum specific impact that a monetary sanction can have for it.”</w:t>
      </w:r>
    </w:p>
    <w:p>
      <w:r>
        <w:t>133 “OFT's guidance as to the appropriate amount of a penalty,” from September 2012, available at: &lt;www.gov.uk/government/uploads/system/uploads/attachment_data/file/284393/oft423.pdf&gt;</w:t>
      </w:r>
    </w:p>
    <w:p>
      <w:r>
        <w:t>134 In a similar sense, the Council of the CNMC has expressed itself in the resolution of February 26, 2015, Expte. S/0425/12 Dairy Industries.</w:t>
      </w:r>
    </w:p>
    <w:p>
      <w:r>
        <w:t>7.4. Individualization of sanctions</w:t>
      </w:r>
    </w:p>
    <w:p>
      <w:r>
        <w:t>The individualization of the sanction for each of the responsible subjects must be done taking into consideration the specific grading factors that can be specifically assessed for each company. Some initiated (thus, VOLVO) indicate that the instructing body places companies with very differentiated involvement and degree of participation on the same level of responsibility. It is now appropriate to establish differences based on the degree of participation of the different initiated parties.</w:t>
      </w:r>
    </w:p>
    <w:p>
      <w:r>
        <w:t>The determining factor, according to Article 64.1.a) and 64.1.d) of the LDC, is constituted by the dimension of the company's action in the market affected by the infringement, which is directly related both to the volume of the market affected by the infringement and to the duration of the conduct of each company. The responsible companies have been required135 to provide the value of the market affected by the conduct in each case, that is, the value corresponding to the marketing of automobiles of each brand and the performance of other after-sales activities (such as the marketing of original parts and spare parts for the brand's automobiles), as applicable to the attribution on each of them, during the infringing period attributed to each company. For these purposes, it is considered that the period runs from the beginning (depending on each of the areas) until August 2013 (August excluded, since the end term of the conduct coincides with the inspections from July 23 to 26), except for specific cases in which the conduct ends earlier, as specified in the Fourth Legal Basis.</w:t>
      </w:r>
    </w:p>
    <w:p>
      <w:r>
        <w:t>Next, the total value of the market affected during the conduct attributed to each of the involved companies is reproduced. The last column adds the percentage or share of participation of each of the companies in the infringement based on their sales during the months of the conduct attributed in the affected market.</w:t>
      </w:r>
    </w:p>
    <w:p>
      <w:r>
        <w:t>Value of the Share of</w:t>
        <w:br/>
        <w:t>Company affected market (€) participation in</w:t>
        <w:br/>
        <w:t>the conduct (%)</w:t>
        <w:br/>
        <w:t>AUTOMÓVILES CITROËN ESPAÑA, S.A. 11,626,215,667 14.2%</w:t>
        <w:br/>
        <w:t>B&amp;M AUTOMÓVILES ESPAÑA, S.A. 111,361,961 0.1%</w:t>
        <w:br/>
        <w:t>BMW IBÉRICA, S.A.U. 2,068,039,101 2.5%</w:t>
        <w:br/>
        <w:t>CHEVROLET ESPAÑA, S.A.U. 1,720,687,333 2.1%</w:t>
        <w:br/>
        <w:t>CHRYSLER ESPAÑA, S.L. 281,323,000 0.3%</w:t>
        <w:br/>
        <w:t>FIAT GROUP AUTOMOBILES SPAIN, S.A. 2,439,327,083 3.0%</w:t>
        <w:br/>
        <w:t>FORD ESPAÑA, S.L. 9,652,151,833 11.8%</w:t>
        <w:br/>
        <w:t>GENERAL MOTORS ESPAÑA, S.L.U. 7,836,254,917 9.6%</w:t>
        <w:br/>
        <w:t>HONDA MOTOR EUROPE LIMITED 415,651,500 0.5%</w:t>
        <w:br/>
        <w:t>HYUNDAI MOTOR ESPAÑA, S.L.U. 839,339,333 1.0%</w:t>
        <w:br/>
        <w:t>KIA MOTORS IBERIA, S.L. 1,508,774,000 1.8%</w:t>
        <w:br/>
        <w:t>MAZDA AUTOMÓVILES ESPAÑA, S.A. 40,494,422 0.0%</w:t>
        <w:br/>
        <w:t>MERCEDES BENZ ESPAÑA, S.A. 221,784,310 0.3%</w:t>
        <w:br/>
        <w:t>NISSAN IBERIA, S.A. 1,241,533,833 1.5%</w:t>
        <w:br/>
        <w:t>PEUGEOT ESPAÑA, S.A. 10,488,169,833 12.9%</w:t>
        <w:br/>
        <w:t>PORSCHE IBÉRICA, S.A. 41,559,000 0.1%</w:t>
        <w:br/>
        <w:t>RENAULT ESPAÑA COMERCIAL, S.A. 7,707,517,763 9.4%</w:t>
        <w:br/>
        <w:t>SEAT, S.A. 8,101,931,583 9.9%</w:t>
        <w:br/>
        <w:t>TOYOTA ESPAÑA, S.L. 6,107,020,667 7.5%</w:t>
        <w:br/>
        <w:t>VOLKSWAGEN AUDI ESPAÑA, S.A. 9,017,939,000 11.1%</w:t>
        <w:br/>
        <w:t>VOLVO CAR ESPAÑA, S.A. 131,293,043 0.2%</w:t>
      </w:r>
    </w:p>
    <w:p>
      <w:r>
        <w:t>The highest turnover in the market affected by the conduct denotes a greater intensity or participation in the conduct and, in particular, greater potential harm and greater illicit gain. Given this, it is considered appropriate to the principle of proportionality and to the necessary individualization of the fines to adjust the percentage of the sanction upwards or downwards based on the greater participation of each company in the overall turnover in the market affected by the conduct during the time it is accredited.</w:t>
      </w:r>
    </w:p>
    <w:p>
      <w:r>
        <w:t>On the other hand, the percentage applied to companies whose conduct has lasted less than the average has been reduced, particularly when it has been less than 36 months.</w:t>
      </w:r>
    </w:p>
    <w:p>
      <w:r>
        <w:t>Duration</w:t>
        <w:br/>
        <w:t>Company</w:t>
        <w:br/>
        <w:t>(months)</w:t>
        <w:br/>
        <w:t>AUTOMÓVILES CITROËN ESPAÑA, S.A. 90</w:t>
        <w:br/>
        <w:t>B&amp;M AUTOMÓVILES ESPAÑA, S.A. 41</w:t>
        <w:br/>
        <w:t>BMW IBÉRICA, S.A.U. 59</w:t>
        <w:br/>
        <w:t>CHEVROLET ESPAÑA, S.A.U. 90</w:t>
        <w:br/>
        <w:t>CHRYSLER ESPAÑA, S.L. 28</w:t>
        <w:br/>
        <w:t>FIAT GROUP AUTOMOBILES SPAIN, S.A. 90</w:t>
      </w:r>
    </w:p>
    <w:p>
      <w:r>
        <w:rPr>
          <w:b/>
        </w:rPr>
        <w:t>[Pages 97–99]</w:t>
      </w:r>
    </w:p>
    <w:p>
      <w:r>
        <w:t xml:space="preserve">FORD ESPAÑA, S.L. 90  </w:t>
        <w:br/>
        <w:t xml:space="preserve">GENERAL MOTORS ESPAÑA, S.L.U. 90  </w:t>
        <w:br/>
        <w:t xml:space="preserve">HONDA MOTOR EUROPE LIMITED 52  </w:t>
        <w:br/>
        <w:t xml:space="preserve">HYUNDAI MOTOR ESPAÑA, S.L.U. 41  </w:t>
        <w:br/>
        <w:t xml:space="preserve">KIA MOTORS IBERIA, S.L. 69  </w:t>
        <w:br/>
        <w:t xml:space="preserve">MAZDA AUTOMÓVILES ESPAÑA, S.A. 24  </w:t>
        <w:br/>
        <w:t xml:space="preserve">MERCEDES BENZ ESPAÑA, S.A. 12  </w:t>
        <w:br/>
        <w:t xml:space="preserve">NISSAN IBERIA, S.A. 62  </w:t>
        <w:br/>
        <w:t xml:space="preserve">PEUGEOT ESPAÑA, S.A. 90  </w:t>
        <w:br/>
        <w:t xml:space="preserve">PORSCHE IBÉRICA, S.A. 38  </w:t>
        <w:br/>
        <w:t xml:space="preserve">RENAULT ESPAÑA COMERCIAL, S.A. 90  </w:t>
        <w:br/>
        <w:t xml:space="preserve">SEAT, S.A. 84  </w:t>
        <w:br/>
        <w:t xml:space="preserve">TOYOTA ESPAÑA, S.L. 90  </w:t>
        <w:br/>
        <w:t xml:space="preserve">VOLKSWAGEN AUDI ESPAÑA, S.A. 57  </w:t>
        <w:br/>
        <w:t>VOLVO CAR ESPAÑA, S.A. 41</w:t>
      </w:r>
    </w:p>
    <w:p>
      <w:r>
        <w:t>Another element to consider in the individualization of the sanction relates to the participation of the companies in the three, two, or one of the analyzed information exchange schemes (Brand Club, After-sales Forum, and Manufacturers' Days). Thus, out of the total of 21 vehicle distributing companies on which this Competition Chamber endorses the accusation made by the instructing body, twelve have participated in all three schemes or information exchange forums (VOLKSWAGEN AUDI ESPAÑA –AUDI, VW, and SKODA–, BMW, CITROEN, FIAT, FORD, HYUNDAI, MAZDA, NISSAN, GENERAL MOTORS, PEUGEOT, SEAT, TOYOTA –TOYOTA and LEXUS–). Five in two of the three (CHEVROLET, HONDA, KIA, RENAULT, and VOLVO). And four of the initiated cases, in one of the forums (MITSUBISHI, MERCEDES, CHRYSLER, and PORSCHE).</w:t>
      </w:r>
    </w:p>
    <w:p>
      <w:r>
        <w:t>Finally, it has also been taken into consideration that some brands have withdrawn from all or some of the forums in which they participated (CITROËN, FORD, MERCEDES, and PEUGEOT regarding the After-sales Forum; BMW, GENERAL MOTORS, HONDA, and TOYOTA regarding the Brand Club; and KIA, MAZDA, SEAT, and VOLKSWAGEN regarding both).</w:t>
      </w:r>
    </w:p>
    <w:p>
      <w:r>
        <w:t xml:space="preserve">7.5. Proportionality Criteria  </w:t>
        <w:br/>
        <w:t>Taking into account the criterion of the illicit benefit obtained by the infringing companies (Article 64.1.f of the LDC) is particularly important in order to avoid "the commission of the classified infringements being more beneficial for the infringer than compliance with the infringed rules" (Article 131.2 of Law 30/1992), a criterion to which the aforementioned ruling of the Supreme Court of January 2015 pays special attention by stating that "the administrative sanctions provided for the exercise of economic activities [...] must be set at a sufficiently deterrent level so that, when making their own decisions, companies do not aspire to obtain economic benefits derived from the infringements that turn out to be greater than the costs (the sanctions) inherent to the repression of those." On the other hand, it is also necessary to consider this factor to ensure that the sanctions are not disproportionate in any case. From this perspective of proportionality criteria, once the type of starting point is placed in the lower range of the sanctioning scale, as indicated above, the resulting fines would be fully adjusted to any reasonable estimate or approximate calculation of the illicit benefit that the infringing companies could have perceived, including those based on especially prudent hypotheses of potential illicit benefit.</w:t>
      </w:r>
    </w:p>
    <w:p>
      <w:r>
        <w:t>Another factor that should also be taken into consideration in this file is that, according to FORD's allegations to the PR, the figures for the business volumes of the initiated cases are not homogeneous, due to the different corporate structures of the same, so they do not reflect the true presence of the brands in the market in which the conduct takes place, although they do reflect their payment capacity. Thus, some companies have separated the activities of manufacturing, distribution, and export into different companies, while others (such as FORD and GENERAL MOTORS) integrate those activities into a single company, with the corresponding impact in terms of comparative increase in business volume, which is used as a reference for determining the sanction. Indeed, due to the presence of this distorting factor, in the face of equivalent sanctioning percentages, these companies –and others in which something analogous occurs– would receive a higher sanction in absolute terms, which does not respect the principle of proportionality. Given this, this Competition Chamber understands that the percentages of the sanctions must be adjusted to correct this distortion.</w:t>
      </w:r>
    </w:p>
    <w:p>
      <w:r>
        <w:t>To address this circumstance, the registration quotas of passenger vehicles of each brand in the national territory have been taken into account as a proportionality factor.</w:t>
      </w:r>
    </w:p>
    <w:p>
      <w:r>
        <w:t xml:space="preserve">Registration  </w:t>
        <w:br/>
        <w:t xml:space="preserve">Vehicle Company  </w:t>
        <w:br/>
        <w:t xml:space="preserve">2013 (quota, %)  </w:t>
        <w:br/>
        <w:t xml:space="preserve">AUTOMÓVILES CITROËN ESPAÑA, S.A. 7.3%  </w:t>
        <w:br/>
        <w:t xml:space="preserve">B&amp;M AUTOMÓVILES ESPAÑA, S.A. 0.5%  </w:t>
        <w:br/>
        <w:t xml:space="preserve">BMW IBÉRICA, S.A.U. 3.8%  </w:t>
        <w:br/>
        <w:t xml:space="preserve">CHEVROLET ESPAÑA, S.A.U. 1.5%  </w:t>
        <w:br/>
        <w:t xml:space="preserve">CHRYSLER ESPAÑA, S.L. 0.0%  </w:t>
        <w:br/>
        <w:t xml:space="preserve">FIAT GROUP AUTOMOBILES SPAIN, S.A. 4.1%  </w:t>
        <w:br/>
        <w:t xml:space="preserve">FORD ESPAÑA, S.L. 6.7%  </w:t>
        <w:br/>
        <w:t xml:space="preserve">GENERAL MOTORS ESPAÑA, S.L.U. 6.9%  </w:t>
        <w:br/>
        <w:t xml:space="preserve">HONDA MOTOR EUROPE LIMITED 0.4%  </w:t>
        <w:br/>
        <w:t xml:space="preserve">HYUNDAI MOTOR ESPAÑA, S.L.U. 3.6%  </w:t>
        <w:br/>
        <w:t xml:space="preserve">KIA MOTORS IBERIA, S.L. 2.7%  </w:t>
        <w:br/>
        <w:t xml:space="preserve">MAZDA AUTOMÓVILES ESPAÑA, S.A. 0.7%  </w:t>
        <w:br/>
        <w:t xml:space="preserve">MERCEDES BENZ ESPAÑA, S.A. 3.7%  </w:t>
        <w:br/>
        <w:t xml:space="preserve">NISSAN IBERIA, S.A. 4.7%  </w:t>
        <w:br/>
        <w:t xml:space="preserve">PEUGEOT ESPAÑA, S.A. 9.2%  </w:t>
        <w:br/>
        <w:t xml:space="preserve">PORSCHE IBÉRICA, S.A. 0.1%  </w:t>
        <w:br/>
        <w:t xml:space="preserve">RENAULT ESPAÑA COMERCIAL, S.A. 11.8%  </w:t>
        <w:br/>
        <w:t xml:space="preserve">SEAT, S.A. 7.2%  </w:t>
        <w:br/>
        <w:t xml:space="preserve">TOYOTA ESPAÑA, S.L. 4.6%  </w:t>
        <w:br/>
        <w:t xml:space="preserve">VOLKSWAGEN AUDI ESPAÑA, S.A. 14.6%  </w:t>
        <w:br/>
        <w:t>VOLVO CAR ESPAÑA, S.A. 1.0%</w:t>
      </w:r>
    </w:p>
    <w:p>
      <w:r>
        <w:t>In cases where a disproportion is found between the total business volume of the company and its registration quota of passenger cars in Spain, the sanctioning percentage to be applied has been appropriately reduced to ensure the proportionality of the sanction among the infringing companies.</w:t>
      </w:r>
    </w:p>
    <w:p>
      <w:r>
        <w:t xml:space="preserve">7.6. Final Amount of the Fines  </w:t>
        <w:br/>
        <w:t>The following table shows the total business volume of the companies initiated in 2014; the appropriate sanctioning type for the illicit conduct of each company, within the sanctioning range indicated in Article 63.1 of the LDC, which has been set taking into account the considerations contained in this Legal Basis; and the monetary sanction resulting from applying the sanctioning type to the total business volume in the year prior to the sanction.</w:t>
      </w:r>
    </w:p>
    <w:p>
      <w:r>
        <w:t xml:space="preserve">Total Business  </w:t>
        <w:br/>
        <w:t xml:space="preserve">Company Volume Sanction (%) Sanction (€)  </w:t>
        <w:br/>
        <w:t xml:space="preserve">2014 (€)  </w:t>
        <w:br/>
        <w:t xml:space="preserve">AUTOMÓVILES CITROËN ESPAÑA, S.A. 1,136,075,000 1.30% 14,768,975  </w:t>
        <w:br/>
        <w:t xml:space="preserve">B&amp;M AUTOMÓVILES ESPAÑA, S.A. 119,386,460 0.65% 776,012  </w:t>
        <w:br/>
        <w:t xml:space="preserve">BMW IBÉRICA, S.A.U. 1,147,397,086 0.70% 8,031,780  </w:t>
        <w:br/>
        <w:t>CHEVROLET ESPAÑA, S.A.U. 13,858,000 1.00% 138,580</w:t>
      </w:r>
    </w:p>
    <w:p>
      <w:r>
        <w:rPr>
          <w:b/>
        </w:rPr>
        <w:t>[Pages 100–102]</w:t>
      </w:r>
    </w:p>
    <w:p>
      <w:r>
        <w:t xml:space="preserve">CHRYSLER ESPAÑA, S.L. 137 40,845 0.65% 265.50  </w:t>
        <w:br/>
        <w:t xml:space="preserve">FIAT GROUP AUTOMOBILES SPAIN, S.A. 580,687,817 1.20% 6,968,254  </w:t>
        <w:br/>
        <w:t xml:space="preserve">FORD ESPAÑA, S.L. 6,744,944,000 0.30% 20,234,832  </w:t>
        <w:br/>
        <w:t xml:space="preserve">GENERAL MOTORS ESPAÑA, S.L.U. 3,804,626,471 0.60% 22,827,759  </w:t>
        <w:br/>
        <w:t xml:space="preserve">HONDA MOTOR EUROPE LIMITED (*) 203,108,411 0.30% 609,325  </w:t>
        <w:br/>
        <w:t xml:space="preserve">HYUNDAI MOTOR ESPAÑA, S.L.U. 464,749,000 0.95% 4,415,116  </w:t>
        <w:br/>
        <w:t xml:space="preserve">KIA MOTORS IBERIA, S.L. 414,844,000 0.50% 2,074,220  </w:t>
        <w:br/>
        <w:t xml:space="preserve">MAZDA AUTOMÓVILES ESPAÑA, S.A. (*) 218,796,801 0.30% 656,390  </w:t>
        <w:br/>
        <w:t xml:space="preserve">MERCEDES BENZ ESPAÑA, S.A. 2,379,329,965 0.10% 2,379,330  </w:t>
        <w:br/>
        <w:t xml:space="preserve">NISSAN IBERIA, S.A. (*) 287,061,039 1.10% 3,157,671  </w:t>
        <w:br/>
        <w:t xml:space="preserve">PEUGEOT ESPAÑA, S.A. 1,209,434,000 1.30% 15,722,642  </w:t>
        <w:br/>
        <w:t xml:space="preserve">PORSCHE IBÉRICA, S.A. 122,600,000 0.20% 245,200  </w:t>
        <w:br/>
        <w:t xml:space="preserve">RENAULT ESPAÑA COMERCIAL, S.A. 1,516,951,831 1.20% 18,203,422  </w:t>
        <w:br/>
        <w:t xml:space="preserve">SEAT, S.A. 1,334,205,000 0.95% 12,674,948  </w:t>
        <w:br/>
        <w:t xml:space="preserve">TOYOTA ESPAÑA, S.L. (*) 824,477,429 1.05% 8,657,013  </w:t>
        <w:br/>
        <w:t xml:space="preserve">VOLKSWAGEN AUDI ESPAÑA, S.A. 2,526,000,000 1.05% 26,523,000  </w:t>
        <w:br/>
        <w:t xml:space="preserve">VOLVO CAR ESPAÑA, S.A. 213,260,391 0.80% 1,706,083  </w:t>
        <w:br/>
        <w:t xml:space="preserve">(*) For the cases of HONDA, MAZDA, NISSAN, and TOYOTA, whose financial years start on April 1 and end on March 31 of the following year, a business volume has been reflected resulting from a calculation that includes both a percentage of the figures provided from their closed fiscal years (April 1, 2013, to March 31, 2014) and the estimated figures by these companies for the last fiscal year not yet closed (April 1, 2014, to March 31, 2015), all in order to standardize with the rest of the cases initiated in the file that do provide the information of their corresponding VVNNT for the calendar year 2014.  </w:t>
        <w:br/>
        <w:t xml:space="preserve">7.7. Fine for the facilitating companies (SNAP-ON and URBAN)  </w:t>
        <w:br/>
        <w:t xml:space="preserve">Regarding SNAP-ON and URBAN, the consideration of their determining role, not as mere assistants or passive collaborators of the cartel, but as true active facilitators and key instruments of the exchange of information, knowing its illegality, leads to aggravating their fine compared to that determined for the brands. Given the particularities of their active intervention and fundamental role in achieving and stabilizing the cartel, a sanction of 2% of their total business volume in 2014 is considered appropriate (deterrent as well as proportionate).  </w:t>
        <w:br/>
        <w:t xml:space="preserve">137 The total business volume, as well as the amount of the fine, corresponding to this company has been rectified by means of a rectification agreement of errors dated July 30, 2015.  </w:t>
        <w:br/>
        <w:t xml:space="preserve">Volume of Type  </w:t>
        <w:br/>
        <w:t xml:space="preserve">Company total business (VT, sanctioning Fine (in €)  </w:t>
        <w:br/>
        <w:t xml:space="preserve">in €) in 2014 (%)  </w:t>
        <w:br/>
        <w:t xml:space="preserve">SNAP-ON BUSINESS SOLUTIONS, S.L. 2,639,250 2% 52,785  </w:t>
        <w:br/>
        <w:t xml:space="preserve">URBAN SCIENCE ESPAÑA, S.L.U. 3,501,979 2% 70,039  </w:t>
        <w:br/>
        <w:t xml:space="preserve">EIGHTH.- APPLICATION OF ARTICLE 65 OF THE LDC  </w:t>
        <w:br/>
        <w:t xml:space="preserve">On July 23, 2013, in application of the provisions of Article 65.1 a) of the LDC and Article 47.1 RDC, the DI granted SEAT, S.A., as well as its direct or indirect subsidiaries and the entities that make up the group to which SEAT belongs, a conditional exemption, for being the first company to provide evidence that, in the opinion of the instructing body, allowed it to order the development of an inspection regarding certain restrictive competition practices described in the exemption request submitted by the company.  </w:t>
        <w:br/>
        <w:t xml:space="preserve">In the opinion of this Competition Chamber, SEAT, S.A. meets the requirements of Article 65.1.a) LDC to benefit from the exemption from the payment of the fine that could have corresponded to it. SEAT, S.A. has been the first to provide evidence that has allowed inspections to be ordered in relation to the described cartel. The extensive information provided by this company in its exemption request has also been corroborated by the documentary evidence collected in these inspections and the information provided by the parties initiated at the request of the DC. Additionally, this Chamber considers that SEAT, S.A. has duly complied with the requirements set forth in Article 65.2 of the LDC regarding cooperation, cessation of participation in the conduct, non-destruction of evidence, and absence of pressure on other companies to participate in the infringing conduct.  </w:t>
        <w:br/>
        <w:t xml:space="preserve">Against what has been pointed out by some of the parties initiated, who question the application of the Leniency program, arguing that the conduct of information exchange being analyzed does not constitute a cartel, it has already been indicated above in the Fourth Ground that this Competition Chamber agrees with the assessment made by the DC in the PR that the accredited practices meet all the elements that allow classifying the infringement as a cartel.  </w:t>
        <w:br/>
        <w:t xml:space="preserve">For all these reasons, this Chamber, in accordance with the proposal of the DC, considers that SEAT, S.A., as well as all its direct or indirect subsidiaries and the entities that make up the group to which SEAT belongs, should be exempted from the payment of the sanction that would correspond to them according to what is stated in the Sixth and Seventh Legal Grounds.  </w:t>
        <w:br/>
        <w:t>Therefore, in view of the cited articles and the others of general application, the Competition Chamber of the Council of the National Commission of Markets and Competition,</w:t>
      </w:r>
    </w:p>
    <w:p>
      <w:r>
        <w:t xml:space="preserve">HAS RESOLVED  </w:t>
        <w:br/>
        <w:t xml:space="preserve">FIRST.- To declare that in this file an infringement of Article 1 of Law 15/2007, of July 3, on the Defense of Competition and Article 101 of the Treaty on the Functioning of the European Union has been accredited, in the terms set forth in the Sixth Legal Ground of this Resolution.  </w:t>
        <w:br/>
        <w:t xml:space="preserve">SECOND.- In accordance with the responsibility attributed in the Sixth and Seventh Legal Grounds, to declare the following companies responsible for the aforementioned infringements:  </w:t>
        <w:br/>
        <w:t xml:space="preserve">1. AUTOMÓVILES CITROËN ESPAÑA, S.A. as the distributor of CITROËN brand automobiles in Spain, for its participation in the cartel of exchanging confidential, future, and strategic information in the areas of business management, after-sales, and marketing, from February 2006 to July 2013, coinciding with the inspections carried out.  </w:t>
        <w:br/>
        <w:t xml:space="preserve">2. B&amp;M AUTOMÓVILES ESPAÑA, S.A. as the distributor of MITSUBISHI brand automobiles in Spain, for its participation in the cartel of exchanging confidential, future, and strategic information in the area of after-sales from March 2010 to August 2013.  </w:t>
        <w:br/>
        <w:t xml:space="preserve">3. BMW IBÉRICA, S.A.U. as the distributor of BMW brand automobiles in Spain, for its participation in the cartel of exchanging confidential, future, and strategic information in the areas of business management, after-sales, and marketing, from June 2008 to August 2013.  </w:t>
        <w:br/>
        <w:t xml:space="preserve">4. CHEVROLET ESPAÑA, S.A.U. as the distributor of CHEVROLET brand automobiles in Spain, for its participation in the cartel of exchanging confidential, future, and strategic information in the areas of business management and after-sales from February 2006 to August 2013.  </w:t>
        <w:br/>
        <w:t xml:space="preserve">5. CHRYSLER ESPAÑA, S.L., as the distributor of CHRYSLER, JEEP, and DODGE brand automobiles in Spain, for its participation in the cartel of exchanging confidential, future, and strategic information in the area of business management from April 2008 to July 2010.  </w:t>
        <w:br/>
        <w:t>6. FIAT GROUP AUTOMOBILES SPAIN, S.A., as the distributor of FIAT, ALFA ROMEO, and LANCIA brand automobiles and since July 2010 of CHRYSLER, JEEP, and DODGE brands in Spain, for its participation in the cartel of exchanging confidential, future, and strategic information in the areas of business management, after-sales, and marketing, from February 2006 to August 2013.</w:t>
      </w:r>
    </w:p>
    <w:p>
      <w:r>
        <w:rPr>
          <w:b/>
        </w:rPr>
        <w:t>[Pages 103–105]</w:t>
      </w:r>
    </w:p>
    <w:p>
      <w:r>
        <w:t xml:space="preserve">7. FORD ESPAÑA, S.L., as the distributor of FORD brand automobiles in Spain, for its participation in the cartel for the exchange of confidential, future, and strategic information in the areas of business management, after-sales, and marketing, from February 2006 to July 2013.  </w:t>
        <w:br/>
        <w:t xml:space="preserve">8. GENERAL MOTORS ESPAÑA, S.L.U., distributor of OPEL brand vehicles in Spain, for its participation in the cartel for the exchange of confidential, future, and strategic information in the areas of business management, after-sales, and marketing, from February 2006 to July 2013.  </w:t>
        <w:br/>
        <w:t xml:space="preserve">9. HONDA MOTOR EUROPE LIMITED, BRANCH IN SPAIN, S.L., distributor of HONDA brand automobiles in Spain, for its participation in the cartel for the exchange of confidential, future, and strategic information in the areas of business management and after-sales from April 2009 to August 2013.  </w:t>
        <w:br/>
        <w:t xml:space="preserve">10. HYUNDAI MOTOR ESPAÑA, S.L.U., distributor of the HYUNDAI brand in Spain, for its participation in the cartel for the exchange of confidential, future, and strategic information in the areas of business management, after-sales, and marketing, from March 2010 to August 2013.  </w:t>
        <w:br/>
        <w:t xml:space="preserve">11. KIA MOTORS IBERIA, S.L., distributor of the KIA brand in Spain, for its participation in the cartel for the exchange of confidential, future, and strategic information in the areas of business management and after-sales from March 2007 to November 2012.  </w:t>
        <w:br/>
        <w:t xml:space="preserve">12. MAZDA AUTOMÓVILES ESPAÑA, S.A., distributor of the MAZDA brand in Spain, for its participation in the cartel for the exchange of confidential, future, and strategic information in the areas of after-sales and marketing from March 2010 to February 2012.  </w:t>
        <w:br/>
        <w:t xml:space="preserve">13. MERCEDES BENZ ESPAÑA, S.A., distributor of the MERCEDES brand in Spain, for its participation in the cartel for the exchange of confidential, future, and strategic information in the area of after-sales from March 2010 to February 2011.  </w:t>
        <w:br/>
        <w:t xml:space="preserve">14. NISSAN IBERIA, S.A., as the distributor of the NISSAN brand in Spain, for its participation in the cartel for the exchange of confidential, future, and strategic information in the areas of business management, after-sales, and marketing, from June 2008 to August 2013.  </w:t>
        <w:br/>
        <w:t xml:space="preserve">15. PEUGEOT ESPAÑA, S.A., distributor of PEUGEOT brand automobiles in Spain, for its participation in the cartel for the exchange of confidential, future, and strategic information in the areas of business management, after-sales, and marketing, from February 2006 to July 2013.  </w:t>
        <w:br/>
        <w:t xml:space="preserve">16. PORSCHE IBÉRICA, S.A., distributor of PORSCHE brand automobiles in Spain, for its participation in the cartel for the exchange of confidential, future, and strategic information in the area of after-sales from June 2010 to August 2013.  </w:t>
        <w:br/>
        <w:t xml:space="preserve">17. RENAULT ESPAÑA COMERCIAL, S.A., distributor of RENAULT brand automobiles in Spain, for its participation in the cartel for the exchange of confidential, future, and strategic information in the areas of business management and marketing from February 2006 to July 2013.  </w:t>
        <w:br/>
        <w:t xml:space="preserve">18. SEAT, S.A., distributor of SEAT brand automobiles in Spain, for its participation in the cartel for the exchange of confidential, future, and strategic information in the areas of business management, after-sales, and marketing, from February 2006 to January 2013.  </w:t>
        <w:br/>
        <w:t xml:space="preserve">19. SNAP-ON BUSINESS SOLUTIONS, S.L., as a necessary collaborator, for its participation in the cartel for the exchange of confidential, future, and strategic information in the area of business management from November 2009 to July 2013.  </w:t>
        <w:br/>
        <w:t xml:space="preserve">20. TOYOTA ESPAÑA, S.L., distributor of LEXUS and TOYOTA brand automobiles in Spain, for its participation in the cartel for the exchange of confidential, future, and strategic information in the areas of business management, after-sales, and marketing, from February 2006 to August 2013.  </w:t>
        <w:br/>
        <w:t xml:space="preserve">21. URBAN SCIENCE ESPAÑA, S.L.U., as a necessary collaborator, for its participation in the cartel for the exchange of confidential, future, and strategic information in the area of after-sales from March 2010 to August 2013.  </w:t>
        <w:br/>
        <w:t xml:space="preserve">22. VOLKSWAGEN AUDI ESPAÑA, S.A., distributor of AUDI, SKODA, and VW brand automobiles in Spain, for its participation in the cartel for the exchange of confidential, future, and strategic information in the areas of business management, after-sales, and marketing, from October 2008 to June 2013.  </w:t>
        <w:br/>
        <w:t xml:space="preserve">23. VOLVO CAR ESPAÑA, S.A., distributor of VOLVO brand automobiles in Spain, for its participation in the cartel for the exchange of confidential, future, and strategic information in the areas of after-sales and marketing from March 2010 to August 2013.  </w:t>
        <w:br/>
        <w:t xml:space="preserve">THIRD.- Impose the following fines on the responsible authors of the infringing conduct:  </w:t>
        <w:br/>
        <w:t xml:space="preserve">1. AUTOMÓVILES CITROËN ESPAÑA, S.A.: €14,768,975.  </w:t>
        <w:br/>
        <w:t xml:space="preserve">2. B&amp;M AUTOMÓVILES ESPAÑA, S.A.: €776,012.  </w:t>
        <w:br/>
        <w:t xml:space="preserve">3. BMW IBÉRICA, S.A.U.: €8,031,780.  </w:t>
        <w:br/>
        <w:t xml:space="preserve">4. CHEVROLET ESPAÑA, S.A.U.: €138,580.  </w:t>
        <w:br/>
        <w:t xml:space="preserve">5. CHRYSLER ESPAÑA, S.L.: €265.50.  </w:t>
        <w:br/>
        <w:t xml:space="preserve">6. FIAT GROUP AUTOMOBILES SPAIN, S.A.: €6,968,254.  </w:t>
        <w:br/>
        <w:t xml:space="preserve">7. FORD ESPAÑA, S.L.: €20,234,832.  </w:t>
        <w:br/>
        <w:t xml:space="preserve">8. GENERAL MOTORS ESPAÑA, S.L.U.: €22,827,759.  </w:t>
        <w:br/>
        <w:t xml:space="preserve">9. HONDA MOTOR EUROPE LIMITED, SUCURSAL EN ESPAÑA, S.L.: €609,325.  </w:t>
        <w:br/>
        <w:t xml:space="preserve">10. HYUNDAI MOTOR ESPAÑA, S.L.U.: €4,415,116.  </w:t>
        <w:br/>
        <w:t xml:space="preserve">11. KIA MOTORS IBERIA, S.L.: €2,074,220.  </w:t>
        <w:br/>
        <w:t xml:space="preserve">12. MAZDA AUTOMÓVILES ESPAÑA, S.A.: €656,390.  </w:t>
        <w:br/>
        <w:t xml:space="preserve">13. MERCEDES BENZ ESPAÑA, S.A.: €2,379,330.  </w:t>
        <w:br/>
        <w:t xml:space="preserve">14. NISSAN IBERIA, S.A.: €3,157,671.  </w:t>
        <w:br/>
        <w:t xml:space="preserve">15. PEUGEOT ESPAÑA, S.A.: €15,722,642.  </w:t>
        <w:br/>
        <w:t xml:space="preserve">16. PORSCHE IBÉRICA, S.A.: €245,200.  </w:t>
        <w:br/>
        <w:t xml:space="preserve">17. RENAULT ESPAÑA COMERCIAL, S.A.: €18,203,422.  </w:t>
        <w:br/>
        <w:t xml:space="preserve">18. SEAT, S.A.: €12,674,948.  </w:t>
        <w:br/>
        <w:t xml:space="preserve">19. SNAP-ON BUSINESS SOLUTIONS, S.L.: €52,785.  </w:t>
        <w:br/>
        <w:t xml:space="preserve">20. TOYOTA ESPAÑA, S.L.: €8,657,013.  </w:t>
        <w:br/>
        <w:t xml:space="preserve">21. URBAN SCIENCE ESPAÑA, S.L.U.: €70,039.  </w:t>
        <w:br/>
        <w:t xml:space="preserve">22. VOLKSWAGEN AUDI ESPAÑA, S.A.: €26,523,000.  </w:t>
        <w:br/>
        <w:t xml:space="preserve">23. VOLVO CAR ESPAÑA, S.A.: €1,706,083.  </w:t>
        <w:br/>
        <w:t xml:space="preserve">FOURTH.- That the proceedings against PEUGEOT CITROEN AUTOMÓVILES ESPAÑA, S.A., RENAULT ESPAÑA, S.A., and ORIO SPAIN, S.L. be archived, pursuant to Article 33.3 of the RDC, for failure to establish the commission of an infringement by these companies.  </w:t>
        <w:br/>
        <w:t xml:space="preserve">FIFTH.- Declare that SEAT, S.A. as well as the other companies that are part of the Group to which it belongs, VOLKSWAGEN AUDI ESPAÑA, S.A. and PORSCHE IBÉRICA, S.A., meet the requirements set forth in Article 65 of the LDC and, consequently, exempt them from the payment of the fine corresponding to their participation in the infringing conduct.  </w:t>
        <w:br/>
        <w:t>SIXTH.- Urge the Competition Directorate of this National Commission of Markets and Competition to monitor and ensure the full compliance with this Resolution.</w:t>
      </w:r>
    </w:p>
    <w:p>
      <w:r>
        <w:rPr>
          <w:b/>
        </w:rPr>
        <w:t>[Pages 106–106]</w:t>
      </w:r>
    </w:p>
    <w:p>
      <w:r>
        <w:t>Communicate this Resolution to the Directorate of Competition of the National Commission of Markets and Competition and notify the interested parties, informing them that no administrative appeal can be filed against it, and that they may file a contentious-administrative appeal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