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https://www.cnmc.es/expedientes/s048613</w:t>
      </w:r>
    </w:p>
    <w:p>
      <w:r>
        <w:t>Pages translated : 84</w:t>
      </w:r>
    </w:p>
    <w:p/>
    <w:p>
      <w:r>
        <w:rPr>
          <w:b/>
        </w:rPr>
        <w:t>[Pages 1–3]</w:t>
      </w:r>
    </w:p>
    <w:p>
      <w:r>
        <w:t xml:space="preserve">RESOLUTION  </w:t>
        <w:br/>
        <w:t xml:space="preserve">(File S/0486/13 TOYOTA DEALERS)  </w:t>
        <w:br/>
        <w:t xml:space="preserve">COMPETITION CHAMBER  </w:t>
        <w:br/>
        <w:t xml:space="preserve">PRESIDENT  </w:t>
        <w:br/>
        <w:t xml:space="preserve">Mr. José María Marín Quemada  </w:t>
        <w:br/>
        <w:t xml:space="preserve">COUNSELORS  </w:t>
        <w:br/>
        <w:t xml:space="preserve">Ms. María Ortiz Aguilar  </w:t>
        <w:br/>
        <w:t xml:space="preserve">Mr. Benigno Valdés Díaz  </w:t>
        <w:br/>
        <w:t xml:space="preserve">Ms. Idoia Zenarrutzabeitia Beldarrain  </w:t>
        <w:br/>
        <w:t xml:space="preserve">SECRETARY  </w:t>
        <w:br/>
        <w:t xml:space="preserve">Mr. Tomás Suárez-Inclán González  </w:t>
        <w:br/>
        <w:t>In Madrid, on March 5, 2015</w:t>
      </w:r>
    </w:p>
    <w:p>
      <w:r>
        <w:t>The Competition Chamber of the National Commission of Markets and Competition (CNMC) has issued this Resolution in file S/0486/13 TOYOTA DEALERS, initiated by the now-defunct Directorate of Investigation (DI) of the National Competition Commission (CNC), against several companies for alleged restrictive practices of competition prohibited under Article 1 of Law 15/2007, of July 3, on the Defense of Competition (LDC).</w:t>
      </w:r>
    </w:p>
    <w:p>
      <w:r>
        <w:t xml:space="preserve">FACTUAL BACKGROUND  </w:t>
        <w:br/>
        <w:t xml:space="preserve">1. The DI, after having access to certain information related to possible anti-competitive practices in the market for the distribution of motor vehicles, consisting of price fixing and commercial and service conditions, as well as the exchange of commercially sensitive information in the Spanish market, initiated a reserved inquiry on April 30, 2013, in accordance with Article 49.2 of the LDC, in order to determine the existence of circumstances that would justify, if applicable, the initiation of a sanctioning file.  </w:t>
        <w:br/>
        <w:t xml:space="preserve">2. In the context of this reserved inquiry, the DI conducted inspections at the company A.N.T. SERVICALIDAD, S.L. on June 4 and 5, 2013, as well as a request for information to this same company and to A.E. LLORENTE, S.A. (AE LLORENTE), M. CONDE, S.A. (CONDE), COMAUTO SUR, S.A. (COMAUTO), HERBAMOTOR, S.A. (HERBAMOTOR), HISPANO JAPONESA MOTOR, S.L. (HISPANESA), JULIÁN GÓMEZ RODRÍGUEZ, S.A. (JUGORSA), KOBE MOTOR, S.L. (KOBE), KURUMA SPORT, S.A. (KURUMA), MADRID CARS 2000, S.A. (MADRID CARS), MOTOR ARJONA, S.L. (MOTOR ARJONA), and SUPRA GAMBOA, S.A. (SUPRA GAMBOA) regarding their corporate purpose, ownership structure and control, identification of the main executive positions, and about the market for the distribution of motor vehicles (pages 604 to 619), notified to them on July 26, 2013. On July 30, 2013, the response from HISPANESA was received (pages 620 to 642); on August 1, from CONDE (pages 643 to 653); on August 2, from KURUMA (pages 661 to 689) and SUPRA GAMBOA (pages 690 to 692); on August 5, from AE LLORENTE (pages 693 to 694) and COMAUTO (pages 695 to 697); on August 7, from MADRID CARS (pages 711 to 729), MOTOR ARJONA (pages 730 to 737), HERBAMOTOR (pages 738 to 902), and JUGORSA (pages 903 to 905); and finally, on August 8, from ANT (pages 908 to 915) and KOBE (pages 916 to 932).  </w:t>
        <w:br/>
        <w:t xml:space="preserve">3. On August 29, 2013, the then DI, considering the existence of reasonable indications of conduct prohibited by the LDC, agreed, in accordance with the provisions of Article 49.1 of the LDC, to initiate the sanctioning file S/0486/13 TOYOTA DEALERS, against ANT, AE LLORENTE, CONDE, COMAUTO, HERBAMOTOR, HISPANESA, JUGORSA, KOBE, KURUMA, MADRID CARS, MOTOR ARJONA, and SUPRA GAMBOA, for restrictive practices of competition prohibited under Article 1 of Law 16/1989 and Article 1 of the LDC (pages 933-934).  </w:t>
        <w:br/>
        <w:t xml:space="preserve">4. By Order ECC/1796/2013, of October 4, October 7, 2013, was determined as the date for the operation of the National Commission of Markets and Competition (CNMC), which integrates the activities and functions of the CNC, in accordance with the provisions of Law 3/2013, of June 4, creating the National Commission of Markets and Competition (LCNMC). Likewise, as established in Article 19 of Royal Decree 657/2013, of August 30, which approves the Organic Statute of the CNMC, the Directorate of Competition (hereinafter DC) is the body responsible for the functions of instruction of files, investigation, study, and preparation of reports of the CNMC regarding competition defense procedures, restrictive competition conduct, and control of concentrations regulated in the LDC.  </w:t>
        <w:br/>
        <w:t xml:space="preserve">5. On October 16, 2013, the DC notified SUPRA GAMBOA a request for information regarding the concession contract with TOYOTA ESPAÑA, S.L. (pages 1041-1043), which was answered by the company on the 25th of the same month (pages 1756 to 1991).  </w:t>
        <w:br/>
        <w:t xml:space="preserve">6. On May 7, 2014, the DC agreed to deduct testimony from file S/0471/13 AUDI/SEAT/VW Dealers, to incorporate certain information related to the subject of file S/0486/13 TOYOTA DEALERS regarding the confidentiality requested by CONDE (pages 2502 to 2511), in accordance with the provisions of Article 30 of Royal Decree 261/2008, of February 22, which approves the Competition Defense Regulation (hereinafter RDC).  </w:t>
        <w:br/>
        <w:t xml:space="preserve">7. On May 28, 2014, the DC notified a request for information to ANT (pages 2518 to 2520) regarding the services provided to companies related to the Spanish market for the distribution of motor vehicles of the TOYOTA brand, which was answered on June 16, 2014 (pages 2783 to 2802).  </w:t>
        <w:br/>
        <w:t xml:space="preserve">8. On June 4, 2014, the DC requested information from AE LLORENTE (pages 2537 to 2539) regarding its area of influence for the sales of TOYOTA passenger cars, number of registrations by area and province, information about the TOYOTA dealers association, as well as about the relationship with ANT and HORWATH AUDITORES ESPAÑA, which was answered on June 23, 2014 (pages 2855 to 2897).  </w:t>
        <w:br/>
        <w:t xml:space="preserve">9. On June 13, 2014, the DC notified KIOTOMOCION a request for information regarding its corporate purpose, ownership structure and control, identification of the main executive positions, about the market for the distribution of motor vehicles, about its area of influence for the sales of TOYOTA passenger cars, number of registrations by area and province, as well as about the relationship with ANT and HORWATH AUDITORES ESPAÑA (pages 2780 to 2782). The response to this request was received by the CNMC on June 26, 2014 (pages 2898 to 2908), being completed the next day (pages 2912 to 2926).  </w:t>
        <w:br/>
        <w:t xml:space="preserve">10. Likewise, on June 18, 2014, the DC requested ANT clarification regarding its commercial relationship with KIOTOMOCION (pages 2850 to 2852), which was answered by ANT on June 26, 2014 (pages 2909 to 2911).  </w:t>
        <w:br/>
        <w:t>11. On July 17, 2014, in accordance with the provisions of Article 50.3 of the LDC, the DC formulated a Statement of Facts (PCH) (pages 2944 to 3012), which was notified to the parties the following day. Likewise, the DC notified on July 24, 2014, to AE LLORENTE (pages 3093 to 3094), COMAUTO (pages 3096 to 3097), HERBAMOTOR (pages 3099 to 3100),</w:t>
      </w:r>
    </w:p>
    <w:p>
      <w:r>
        <w:rPr>
          <w:b/>
        </w:rPr>
        <w:t>[Pages 4–6]</w:t>
      </w:r>
    </w:p>
    <w:p>
      <w:r>
        <w:t>HISPANESA (folios 3102 a 3103), JUGORSA (folios 3105 a 3106), KOBE (folios 3108 a 3109), KURUMA (folios 3111 a 3112), MADRID CARS (folios 3114 a 3115), MOTOR ARJONA (folios 3117 a 3118) and SUPRA GAMBOA (folios 3120 a 3121) and on July 25, 2014, to CONDE (folios 3124 to 3125), a request for information regarding the total turnover and the turnover corresponding to the market for the distribution of motor vehicles of the TOYOTA brand, as well as on July 25, 2014, a request for information to ANT regarding its turnover (folios 3127 to 3128).</w:t>
      </w:r>
    </w:p>
    <w:p>
      <w:r>
        <w:t>12. The written submissions to the PCH were received at the CNMC headquarters on the following dates: on August 7, 2014, those of HERBAMOTOR (folios 3259 to 3470) and KURUMA (folios 3471 to 3613); on August 8, 2014, those of CONDE (folios 3614 to 3629) and COMAUTO (folios 3630 to 3766); on August 11, 2014, the submissions of ANT (folios 3777 to 3792), MADRID CARS (folios 3793 to 3998), and KOBE (folios 3999 to 4263); on August 13, 2014, those of MOTOR ARJONA (folios 4273 to 4311), AE LLORENTE (folios 4316 to 4353), HISPANESA (folios 4358 to 4395) and JUGORSA (folios 4400 to 4437), and finally, on August 14, 2014, the late submission of SUPRA GAMBOA (folios 4438 to 4466).</w:t>
      </w:r>
    </w:p>
    <w:p>
      <w:r>
        <w:t>13. The responses to the requests for information regarding the turnover were received at the CNMC on the following dates: on August 5, 2014, those of SUPRA GAMBOA (folios 3182 to 3191) and KURUMA (folios 3192 to 3211); on August 6, 2014, those of MADRID CARS (folios 3227 to 3231) and KOBE (folios 3232 to 3236); on August 7, 2014, those of ANT (folios 3237 to 3243) and HERBAMOTOR (folios 3246 to 3258), subsequently completed on September 11, 2014 (folio 4469); on August 12, 2014, those of COMAUTO (folios 4264 to 4266), CONDE (folios 4267 to 4268) and MOTOR ARJONA (folios 4269 to 4272) and on August 13, 2014, those of AE LLORENTE (folios 4312 to 4315), HISPANESA (folios 4354 to 4357) and JUGORSA (folios 4396 to 4399).</w:t>
      </w:r>
    </w:p>
    <w:p>
      <w:r>
        <w:t>14. On November 18, 2014, in accordance with the provisions of Article 33.1 of the RDC, the DC agreed to close the instruction phase (folio 4471), and on November 19, 2014, in accordance with the provisions of Article 50.4 of the LDC, it issued a Proposal for Resolution (PR) (folios 4485 to 4623).</w:t>
      </w:r>
    </w:p>
    <w:p>
      <w:r>
        <w:t>15. On November 25, 2014, a challenge was filed with the CNMC by SUPRA GAMBOA against the PR of November 19, 2014, regarding the submission within the established deadline for the allegations to the PCH, which was inadmissible by the Competition Chamber on December 11, 2014.</w:t>
      </w:r>
    </w:p>
    <w:p>
      <w:r>
        <w:t>16. The written submissions to the PR from five of the twelve initiated were received on the following dates: on December 11, 2014, those of COMAUTO (folios 4983 to 5153), CONDE (folios 5145 to 5157) and HERBAMOTOR (folios 5158 to 5253) and on December 12, 2014, those of ANT (folios 5254 to 5274) and KURUMA (folios 5275 to 5394).</w:t>
      </w:r>
    </w:p>
    <w:p>
      <w:r>
        <w:t>17. On December 15, 2014, under the protection of Article 50.5 of the LDC, the DC submitted its Report and Proposal for Resolution to the CNMC Council and forwarded the file to it for resolution.</w:t>
      </w:r>
    </w:p>
    <w:p>
      <w:r>
        <w:t>18. On that same date, the written submissions to the PR from AE LLORENTE (folios 5543 to 5683), HISPANESA (folios 5684 to 5824), MOTOR ARJONA (folios 5825 to 5965), JUGORSA (folios 5966 to 6106) and SUPRA GAMBOA (folios 6107 to 6341) were received at the CNMC, and on December 16, 2014, those from MADRID CARS (folios 6342 to 6508) and KOBE MOTOR (folios 6509 to 6676). However, all of them were submitted by mail on December 11, 2014, therefore, within the established deadline.</w:t>
      </w:r>
    </w:p>
    <w:p>
      <w:r>
        <w:t>19. On January 29, 2015, the Competition Chamber of the CNMC agreed to request information on the total turnover in 2014 of the companies involved, or the best available estimate. Likewise, for those companies that had not previously provided it, the turnover in Spain corresponding to the market for the distribution of motor vehicles of the TOYOTA brand regarding the affected vehicle models, for the years 2012, 2013 and 2014, differentiating the channel of sales of new vehicles to individuals from the other channels, suspending the deadline for resolution until all the required information was provided or the deadline granted for its provision elapsed. On February 16, 2015, it was agreed to lift the suspension effective February 14, 2015, notifying the parties and setting the new expiration date as March 13, 2015. The aforementioned requests for information were received on the following dates: on February 10, 2015, those from the representation of AE LLORENTE, HISPANESA, MOTOR ARJONA and JUGORSA (folios 6712 to 6742); on February 12, 2015, those from KURUMA (folios 6743 to 6757) and SUPRA GAMBOA (folios 6758 to 6763); on February 13, 2015, those from HERBAMOTOR (folios 6764 to 6767), COMAUTO (folios 6768 to 6775) and CONDE (folios 6776 to 6779); on February 16, those from MADRID CARS (folios 6780 to 6786) and KOBE MOTOR (folios 6787 to 6793). Although not requested, on February 17, 2015, ANT provided such information (folio 6808).</w:t>
      </w:r>
    </w:p>
    <w:p>
      <w:r>
        <w:t>20. The Competition Chamber of the CNMC Council deliberated and ruled on the matter in its meeting on March 5, 2015.</w:t>
      </w:r>
    </w:p>
    <w:p>
      <w:r>
        <w:t>21. The interested parties are:</w:t>
        <w:br/>
        <w:t>- A.N.T. SERVICALIDAD, S.L.</w:t>
        <w:br/>
        <w:t>- A.E. LLORENTE, S.A.</w:t>
        <w:br/>
        <w:t>- COMAUTO SUR, S.A.</w:t>
        <w:br/>
        <w:t>- M. CONDE, S.A.</w:t>
        <w:br/>
        <w:t>- HERBAMOTOR, S.A.</w:t>
        <w:br/>
        <w:t>- HISPANO JAPONESA MOTOR, S.L.</w:t>
        <w:br/>
        <w:t>- JULIÁN GÓMEZ RODRÍGUEZ, S.A.</w:t>
        <w:br/>
        <w:t>- KOBE MOTOR, S.L.</w:t>
        <w:br/>
        <w:t>- KURUMA SPORT, S.A.</w:t>
        <w:br/>
        <w:t>- MADRID CARS 2000, S.A.</w:t>
        <w:br/>
        <w:t>- MOTOR ARJONA, S.L.</w:t>
        <w:br/>
        <w:t>- SUPRA GAMBOA, S.A.</w:t>
      </w:r>
    </w:p>
    <w:p>
      <w:r>
        <w:t>PROVEN FACTS</w:t>
        <w:br/>
        <w:t>I. THE PARTIES</w:t>
        <w:br/>
        <w:t>The parties involved in the present file, as stated in the PCH of the DC, are as follows:</w:t>
        <w:br/>
        <w:t>1) A.N.T. SERVICALIDAD, S.L. (ANT)</w:t>
        <w:br/>
        <w:t>Company established in 2000, with its registered office in Elche, Alicante, equally owned by two individuals without any vertical or horizontal relationship with any other company or group of companies. Its corporate purpose consists, among other things, in providing customer service, market studies, and similar services to companies. Specifically, in relation to the types of</w:t>
      </w:r>
    </w:p>
    <w:p>
      <w:r>
        <w:rPr>
          <w:b/>
        </w:rPr>
        <w:t>[Pages 7–9]</w:t>
      </w:r>
    </w:p>
    <w:p>
      <w:r>
        <w:t>services that ANT offers to motor vehicle distribution companies, ANT has established the following categories of services:</w:t>
      </w:r>
    </w:p>
    <w:p>
      <w:r>
        <w:t>a. Conducting Mystery Shopper evaluations for automotive brands: in this type of service, ANT evaluates the quality of customer service and adherence to sales protocols, providing the client with a qualitative report on the complete sales process, from the potential buyer's call to schedule an appointment with the seller, to the quote provided by the salesperson and the follow-up call to ascertain the potential buyer's purchasing decision.</w:t>
      </w:r>
    </w:p>
    <w:p>
      <w:r>
        <w:t>b. Conducting Mystery Shopper evaluations for dealerships or groups of the same owner participating in the market with different brands: the quality of service to the potential buyer is analyzed, attaching to the results of their research the economic offer presented to the client so that they can verify how their salespeople act.</w:t>
      </w:r>
    </w:p>
    <w:p>
      <w:r>
        <w:t>c. Mystery Shopper evaluations for groups of dealerships: reports analyzing the complete performance of a salesperson during the vehicle sales process.</w:t>
      </w:r>
    </w:p>
    <w:p>
      <w:r>
        <w:t>d. Conducting Mystery Shopper evaluations for dealerships that want to assess their competition (other dealerships in their area) and understand the sales techniques they use and the offers they provide.</w:t>
      </w:r>
    </w:p>
    <w:p>
      <w:r>
        <w:t>e. Analysis of lost sales, to understand the reasons why a customer ultimately did not make a purchase.</w:t>
      </w:r>
    </w:p>
    <w:p>
      <w:r>
        <w:t>f. Recovery of workshop customers, through calls to offer a promotion and encourage them to return to the workshop for their maintenance.</w:t>
      </w:r>
    </w:p>
    <w:p>
      <w:r>
        <w:t>g. "Mystery calling" to workshops and sales, to evaluate the quality of telephone service, timelines for offering appointments, and the offers made.</w:t>
      </w:r>
    </w:p>
    <w:p>
      <w:r>
        <w:t>h. Training: offered through independent freelancers to help companies improve the weakest aspects identified in customer service.</w:t>
      </w:r>
    </w:p>
    <w:p>
      <w:r>
        <w:t xml:space="preserve">2) A.E. LLORENTE, S.A. (AE LLORENTE)  </w:t>
        <w:br/>
        <w:t>Official independent dealership of the TOYOTA brand, whose corporate purpose is the retail trade and repair of new and used motor vehicles, as well as after-sales service. Established in 1986, it is owned by four individuals, with its registered office in Madrid. It has three sales points, all located in the Madrid area.</w:t>
      </w:r>
    </w:p>
    <w:p>
      <w:r>
        <w:t xml:space="preserve">3) COMAUTO SUR, S.A. (COMAUTO)  </w:t>
        <w:br/>
        <w:t>Company owned by two individuals from the CONDE family, whose purpose is the marketing, distribution, and repair of all types of vehicles, as well as the marketing of spare parts and accessories. The activity carried out by the company is conducted in TOYOTA brand dealerships, in accordance with the conditions established in the brand's concession contract since its establishment in 2003, for the distribution of new vehicles. With its registered office in Madrid and a single sales point in the province, it controls SAKURAUTO, S.A., CHUYVAL SEIDO, S.L., official TOYOTA brand dealerships in Valencia, and COMAUTO PREMIUM, S.L., all of which are indirectly controlled by CONDE.</w:t>
      </w:r>
    </w:p>
    <w:p>
      <w:r>
        <w:t xml:space="preserve">4) M. CONDE, S.A. (CONDE)  </w:t>
        <w:br/>
        <w:t>Independent multi-brand dealership that works with 8 brands, including TOYOTA. Established in 1989, its purpose is the marketing, distribution, and repair of all types of vehicles, as well as the marketing of spare parts and accessories. In addition to the aforementioned COMAUTO SUR, S.A., it controls the companies A6 IBERAUTO, S.L., ANCRI, S.A., AUTOMOTORES MS CONDE, S.L., CHUYVAL SEIDO, S.L., COMAUTO PREMIUM, S.L., CONDE MOTOR, S.A., CUATRO VIENTOS SERVICIOS DEL AUTOMÓVIL, S.L., M CONDE PREMIUM, S.L., MACONDE INMOBILIARIA, S.L., MOTOR CUATRO VIENTOS, S.L., MULTICHAPA DEL SUR, S.L., NASUR MOTOR, S.L., SAKURAUTO, S.A., SERVICIOS COMPLETOS DE REPARACIONES, S.L., and SURMOCIÓN, S.A.</w:t>
      </w:r>
    </w:p>
    <w:p>
      <w:r>
        <w:t xml:space="preserve">5) HERBAMOTOR, S.A. (HERBAMOTOR)  </w:t>
        <w:br/>
        <w:t>Official independent dealership of the TOYOTA brand whose corporate purpose is the retail trade and repair of new and used motor vehicles, as well as after-sales service. The company was established in 1996 with its registered office located in Madrid, having three sales points in that city.</w:t>
      </w:r>
    </w:p>
    <w:p>
      <w:r>
        <w:t xml:space="preserve">6) HISPANO JAPONESA MOTOR, S.L. (HISPANESA)  </w:t>
        <w:br/>
        <w:t>Official independent dealership of the TOYOTA brand whose corporate purpose is the retail trade and repair of new and used motor vehicles, as well as after-sales service. Established in 1998, it is owned by three individuals, has its registered office in Madrid, and does not have any branches or other sales points.</w:t>
      </w:r>
    </w:p>
    <w:p>
      <w:r>
        <w:t xml:space="preserve">7) JULIÁN GÓMEZ RODRÍGUEZ, S.A. (JUGORSA)  </w:t>
        <w:br/>
        <w:t>Official independent dealership of the TOYOTA brand, whose corporate purpose is the retail trade and repair of new and used motor vehicles, as well as after-sales service. Established in 1987, it is a family-owned business owned by three individuals, with its registered office in Madrid and two sales points in that city.</w:t>
      </w:r>
    </w:p>
    <w:p>
      <w:r>
        <w:t xml:space="preserve">8) KOBE MOTOR, S.L. (KOBE)  </w:t>
        <w:br/>
        <w:t>Its corporate purpose is the retail marketing of motor vehicles, spare parts, and accessories, as well as their repair, as an authorized retail distributor (DMA) of the TOYOTA brand, that is, as a dealership. It has three sales points, all located in Madrid.</w:t>
      </w:r>
    </w:p>
    <w:p>
      <w:r>
        <w:t xml:space="preserve">9) KURUMA SPORT, S.A. (KURUMA)  </w:t>
        <w:br/>
        <w:t>Official independent dealership of the TOYOTA brand, whose corporate purpose is the retail trade and repair of new and used motor vehicles, as well as after-sales service. Established in 1986, its registered office is located in Madrid, with another sales point for used vehicles in that city.</w:t>
      </w:r>
    </w:p>
    <w:p>
      <w:r>
        <w:t xml:space="preserve">10) MADRID CARS 2000, S.A. (MADRID CARS)  </w:t>
        <w:br/>
        <w:t>Company established in 1999 whose corporate purpose is the retail marketing of motor vehicles, spare parts, and accessories, as well as their repair, as a DMA of the TOYOTA brand. Its registered office is located in Madrid, with three sales points, all in that city.</w:t>
      </w:r>
    </w:p>
    <w:p>
      <w:r>
        <w:t xml:space="preserve">11) MOTOR ARJONA, S.L. (MOTOR ARJONA)  </w:t>
        <w:br/>
        <w:t>Since its establishment in 1997, it has been engaged in both the sale and repair of TOYOTA brand vehicles and the sale of spare parts. It is owned by 3 individuals. Its registered office is located in Madrid, with three sales points, two in Madrid and the third in Guadalajara.</w:t>
      </w:r>
    </w:p>
    <w:p>
      <w:r>
        <w:t xml:space="preserve">12) SUPRA GAMBOA, S.A. (SUPRA GAMBOA)  </w:t>
        <w:br/>
        <w:t>Official independent dealership of the TOYOTA brand, whose corporate purpose is the retail trade and repair of new and used motor vehicles, as well as after-sales service. With its registered office in Madrid, it has 7 sales points in Madrid.</w:t>
      </w:r>
    </w:p>
    <w:p>
      <w:r>
        <w:rPr>
          <w:b/>
        </w:rPr>
        <w:t>[Pages 10–12]</w:t>
      </w:r>
    </w:p>
    <w:p>
      <w:r>
        <w:t>II. CHARACTERIZATION OF THE MARKET</w:t>
      </w:r>
    </w:p>
    <w:p>
      <w:r>
        <w:t>The automotive sector has great economic relevance in the EU, and thanks to the single market, consumers can purchase motor vehicles in other Member States and benefit from price differences among them, taking into account the high value of the product and the direct benefits, in the form of lower prices, that revert to consumers who buy motor vehicles elsewhere in the EU, whether through independent dealers of each brand's manufacturer, which can be official single-brand or multi-brand dealers, or through the manufacturer's own subsidiaries.</w:t>
      </w:r>
    </w:p>
    <w:p>
      <w:r>
        <w:t>This sector is considered strategic for the Spanish economy due to its significant weight in industry, employment, its spillover effect in other areas, and its contribution to exports. In fact, in 2009, the Council of Ministers approved the Comprehensive Automotive Plan, which is part of the Spanish Plan for the Stimulus of the Economy and Employment (Plan E), structured into five blocks: industrial measures and demand stimulation, labor measures, logistics stimulation measures, R&amp;D+i promotion measures, and financial measures.</w:t>
      </w:r>
    </w:p>
    <w:p>
      <w:r>
        <w:t>On the other hand, with the Efficient Vehicle Incentives Program (PIVE, PIVE 2, PIVE 3, and PIVE 4), aimed at replacing approximately 365,000 old vehicles with the same number of new vehicles, a reduction in national energy consumption has been promoted, encouraging the modernization of the vehicle fleet with high energy efficiency models, with lower fuel consumption and CO2 emissions, all framed within the Energy Savings and Efficiency Plan.</w:t>
      </w:r>
    </w:p>
    <w:p>
      <w:r>
        <w:t>During the instruction of this file, although the PIVE-6 PLAN was approved with a budget of 175 million euros, the PIVE-5 PLAN, established by Royal Decree 35/2014, of January 24, regulating the direct granting of subsidies from the "Efficient Vehicle Incentives Program (PIVE-5)," was in force. This Royal Decree maintained most of the criteria that were already included in previous calls of the Program related to the price limit of the vehicle to be acquired, the inclusion of models with lower absolute consumption, as well as those models with greater passenger transport capacity, although the requirements for communication and advertising of the new Plan that dealers or points of sale must comply with were strengthened. The financing of the PIVE is carried out from the contributions received by the Institute for Diversification and Energy Saving (IDAE), coming from the budget of the Secretary of State for Energy of the Ministry of Industry, Energy and Tourism, for a total amount of 175 million euros.</w:t>
      </w:r>
    </w:p>
    <w:p>
      <w:r>
        <w:t>1. Regulatory Framework</w:t>
      </w:r>
    </w:p>
    <w:p>
      <w:r>
        <w:t>The DC addresses, in paragraphs (50) to (60) of the PCH, the regulatory framework of the automotive sector, which has traditionally received special attention from competition authorities, being subject to specific regulations for exemption by categories since 1985.</w:t>
      </w:r>
    </w:p>
    <w:p>
      <w:r>
        <w:t>The vertical agreements subject to such exemptions would be those related to the purchase, sale, or resale of new motor vehicles, those related to the purchase, sale, or resale of spare parts for motor vehicles, and those related to the provision of repair and maintenance services for these vehicles when such agreements are concluded between non-competing companies, among certain competing companies, or by certain associations of retailers or repair shops.</w:t>
      </w:r>
    </w:p>
    <w:p>
      <w:r>
        <w:t>In this regard, at the European level, it is particularly noteworthy the Regulation (EU) No. 330/2010, of April 20, 2010, of the Commission, relating to the application of Article 101(3) of the Treaty on the Functioning of the European Union (TFEU) to certain categories of vertical agreements and concerted practices, as well as Regulation (EU) No. 461/2010, of May 27, 2010, relating to the application of Article 101(3) of the TFEU to certain categories of vertical agreements and concerted practices in the motor vehicle sector, which has been applicable since June 1, 2010, replacing Regulation (EC) No. 1400/2002 of the Commission of July 31, 2002, relating to the application of paragraph 3 of Article 81 of the EC Treaty to certain categories of vertical agreements and concerted practices in the motor vehicle sector, as well as the supplementary Guidelines on vertical restrictions included in agreements for the sale and repair of motor vehicles and the distribution of spare parts for motor vehicles, issued by the European Commission in 2010.</w:t>
      </w:r>
    </w:p>
    <w:p>
      <w:r>
        <w:t>These Guidelines establish that selective distribution is currently the predominant form of distribution in the motor vehicle sector, as well as in repair and maintenance and in the distribution of spare parts. Qualitative selective distribution involves the selection of distributors or repair shops solely based on objective criteria imposed by the nature of the product or service; quantitative selection adds other criteria that more directly limit the potential number of distributors or repair shops, either by directly setting their number or by requiring, for example, a minimum sales level. It is considered that networks based on quantitative criteria are generally more restrictive than those based solely on qualitative selection.</w:t>
      </w:r>
    </w:p>
    <w:p>
      <w:r>
        <w:t>In purely qualitative selective distribution, distributors and repair shops are selected solely based on objective criteria imposed by the nature of the product or service, such as the technical qualifications of sales personnel, the configuration of sales premises, sales techniques, and the type of sales service that the distributor must provide.</w:t>
      </w:r>
    </w:p>
    <w:p>
      <w:r>
        <w:t>The application of these criteria does not limit the number of distributors or repair shops admitted to the supplier's network. It is generally considered that purely qualitative selective distribution falls outside the scope of Article 101(1) of the TFEU due to lacking anti-competitive effects, provided that three conditions are met:</w:t>
        <w:br/>
        <w:t>− the nature of the product in question must require a selective distribution system, in the sense that such a system must constitute a legitimate necessity, given the nature of the product, to preserve its quality and ensure its proper use;</w:t>
        <w:br/>
        <w:t>− distributors or repair shops must be selected based on objective qualitative criteria, uniformly established for all potential resellers and that cannot be applied discriminatorily;</w:t>
        <w:br/>
        <w:t>− the established criteria must not exceed what is necessary.</w:t>
      </w:r>
    </w:p>
    <w:p>
      <w:r>
        <w:t>If selective distribution agreements fall within the scope of Article 101(1) of the TFEU, the parties will have to assess whether their agreements can benefit from the Block Exemption Regulations, or individually, from the exception of Article 101(3) of the TFEU.</w:t>
      </w:r>
    </w:p>
    <w:p>
      <w:r>
        <w:t>The Block Exemption Regulations exempt selective distribution agreements, regardless of whether quantitative or purely qualitative selection criteria are used, as long as the market shares of the parties do not exceed 30%. However, this exemption is conditioned on the agreement not containing any of the particularly serious restrictions contemplated in Article 4 of the General Block Exemption Regulation for Vertical Agreements and in Article 5 of the Block Exemption Regulation in the Motor Vehicle Sector, as well as none of the excluded restrictions described in Article 5 of the General Block Exemption Regulation for Vertical Agreements.</w:t>
      </w:r>
    </w:p>
    <w:p>
      <w:r>
        <w:t>Three of the particularly serious restrictions contemplated in the General Block Exemption Regulation for Vertical Agreements specifically refer to selective distribution:</w:t>
        <w:br/>
        <w:t>– Article 4(b) considers particularly serious the restriction of the territory in which, or the clientele to which, the buyer party to the agreement may sell the contractual goods or services, except for the</w:t>
      </w:r>
    </w:p>
    <w:p>
      <w:r>
        <w:rPr>
          <w:b/>
        </w:rPr>
        <w:t>[Pages 13–15]</w:t>
      </w:r>
    </w:p>
    <w:p>
      <w:r>
        <w:t>restriction of sales by members of a selective distribution system to unauthorized distributors in markets where such a system is applied.</w:t>
      </w:r>
    </w:p>
    <w:p>
      <w:r>
        <w:t>– Article 4(c) describes as particularly serious restrictions the agreements that restrict active or passive sales to end users by members of a selective distribution system operating at the retail level, without prejudice to the possibility of prohibiting a system member from operating outside an unauthorized place of establishment.</w:t>
      </w:r>
    </w:p>
    <w:p>
      <w:r>
        <w:t>– Article 4(d) refers to the restriction of cross-supplies between distributors within a selective distribution system, including between distributors operating at different levels of trade activity.</w:t>
      </w:r>
    </w:p>
    <w:p>
      <w:r>
        <w:t>In Spain, according to Royal Decree 2822/1998, of December 23, which approves the General Regulation of Vehicles, in its Annex II "DEFINITIONS AND CATEGORIES OF VEHICLES," a motor vehicle is defined as a vehicle equipped with an engine for its propulsion, excluding from this definition mopeds, trams, and vehicles for persons with reduced mobility. Among motor vehicles, automobiles are defined as motor vehicles that normally serve for the transport of persons or goods, or both at the same time, or for the traction of other vehicles for that purpose.</w:t>
      </w:r>
    </w:p>
    <w:p>
      <w:r>
        <w:t>As for the legal regime of dealers, they are governed by distribution contracts for vehicles and services agreed with the suppliers and manufacturers of the official brands, and until the new Law on distribution contracts provided for in Law 2/2011, of March 4, on Sustainable Economy is approved, Law 12/1992, of May 27, on Agency Contracts applies, with the exceptions provided for in its first additional provision, introduced by the Sustainable Economy Law, which refers to contracts for the distribution of motor and industrial vehicles, the application of which has also been suspended by virtue of the fourth final provision of Law 7/2011, of April 11, until the aforementioned commercial distribution law is approved.</w:t>
      </w:r>
    </w:p>
    <w:p>
      <w:r>
        <w:t>Thus, the operation of dealers is regulated through distribution and authorized service contracts, and in isolated cases, a spare parts distribution contract is used. The supplier sells its products to the distributor, and the distributor resells them to its customers applying a margin, which constitutes the source of income for its commercial activity.</w:t>
      </w:r>
    </w:p>
    <w:p>
      <w:r>
        <w:t>In the retail distribution of new automobiles, the distributing company of the vehicles of a brand communicates to the dealer a recommended selling price so that the dealer can freely establish the final selling price according to its expected or desired income. This practice of recommending a resale price to a reseller is covered by the aforementioned Block Exemption Regulation when the market share of each party to the agreement does not exceed the 30% threshold, provided that it does not imply a minimum or fixed selling price as a result of pressure or incentives offered by either party. In carrying out its economic activity, the distributor acts, in any case, in its own name and on its own account, assuming the risks that may arise from the business.</w:t>
      </w:r>
    </w:p>
    <w:p>
      <w:r>
        <w:t>Most car brands in Spain apply the distribution modality known as "selective distribution," which allows limiting the number of distributors and establishing qualitative selection criteria to preserve the quality and solvency of the companies integrated into the network. Dealers are small and medium-sized enterprises engaged in the distribution, sale, and after-sales service of automobiles from a manufacturer or importer as independent entrepreneurs, acting in their own name and under their own responsibility and risk, within the territorial area assigned to them by their supplier.</w:t>
      </w:r>
    </w:p>
    <w:p>
      <w:r>
        <w:t>However, the organization of commercial activity and after-sales service, and the distributor's overall business model, are configured according to the supplier's guidelines, which specify each of the processes of the concession and, in particular, the following, according to the FACONAUTO Report on the dealership sector in Spain dated December 31, 2012:</w:t>
      </w:r>
    </w:p>
    <w:p>
      <w:r>
        <w:t>− Standards, size, and quality of facilities, particularly regarding size, equipment, location, internal and external appearance, and corporate identification of their sales and after-sales service facilities.</w:t>
        <w:br/>
        <w:t>− Economic-financial structure of the dealer and the accounting plan.</w:t>
        <w:br/>
        <w:t>− Business model, both in sales and after-sales service.</w:t>
        <w:br/>
        <w:t>− Process audits, standards, and guarantees.</w:t>
        <w:br/>
        <w:t>− Number and professional qualifications of contracted personnel.</w:t>
        <w:br/>
        <w:t>− Employee training plan.</w:t>
        <w:br/>
        <w:t>− Business plans, objectives, and incentives.</w:t>
        <w:br/>
        <w:t>− Management and administration systems, including IT systems.</w:t>
      </w:r>
    </w:p>
    <w:p>
      <w:r>
        <w:t>2. Market Functioning</w:t>
      </w:r>
    </w:p>
    <w:p>
      <w:r>
        <w:t>In paragraphs (61) to (86) of the PCH, the DC describes in detail the functioning of the relevant market - product market (paragraph 61 of the PCH) and geographic market (paragraphs 62 to 71 of the PCH) - subsequently focusing on the structure of that market, exposing the supply (paragraphs 72 to 84 of the PCH) and the demand (paragraphs 85 and 86 of the PCH) within it.</w:t>
      </w:r>
    </w:p>
    <w:p>
      <w:r>
        <w:t>a) Product Market</w:t>
      </w:r>
    </w:p>
    <w:p>
      <w:r>
        <w:t>Thus, regarding the product market, according to the aforementioned Royal Decree 2822/1998, of December 23, which approves the General Regulation of Vehicles, among motor vehicles, automobiles are defined as motor vehicles that normally serve for the transport of persons or goods, or both at the same time, or for the traction of other vehicles for that purpose, and within automobiles, a distinction is made between passenger cars, which are automobiles intended for the transport of persons that have at least four wheels and that have, in addition to the driver's seat, a maximum of eight seats, and off-road vehicles.</w:t>
      </w:r>
    </w:p>
    <w:p>
      <w:r>
        <w:t>The DC defined the affected market in this sanctioning file as the distribution of new motor vehicles and accessories of the TOYOTA brand, through independent dealers of the brand. However, as detailed in the Fifth Legal Basis, the Competition Chamber of the CNMC Council considers that the delimitation of said market should be restricted to the Yaris Hybrid, Prius, Prius+, Auris Hybrid, and Auris Gasoline/Diesel models sold to individuals during the time the alleged conduct lasted.</w:t>
      </w:r>
    </w:p>
    <w:p>
      <w:r>
        <w:t>b) Geographic Market</w:t>
      </w:r>
    </w:p>
    <w:p>
      <w:r>
        <w:t>This market includes the area in which the affected companies carry out activities of supplying the products and providing the referenced services, with sufficiently homogeneous competitive conditions and which can be distinguished from other nearby geographic areas due to, in particular, the fact that the prevailing competitive conditions therein are significantly different from those. This has been defined both by the defunct CNC Council - in accordance with the Commission Communication regarding the definition of the relevant market for the purposes of Community competition law (97/C 372/03, OJ C 372 of December 9, 1997) - and reiterated case law of the CJEU.</w:t>
      </w:r>
    </w:p>
    <w:p>
      <w:r>
        <w:t>On the other hand, as pointed out by the CNC Council and confirmed by the National Court, the concept of the affected market by the infringing conduct, which may or</w:t>
      </w:r>
    </w:p>
    <w:p>
      <w:r>
        <w:rPr>
          <w:b/>
        </w:rPr>
        <w:t>[Pages 16–18]</w:t>
      </w:r>
    </w:p>
    <w:p>
      <w:r>
        <w:t>not coincide with the relevant product and geographic market, is not determined by the territory in which the competitive conditions are homogeneous, but by the geographic space in which the analyzed infringement has produced or is likely to produce effects on the conditions of effective competition.</w:t>
      </w:r>
    </w:p>
    <w:p>
      <w:r>
        <w:t>For cases like this, it must be taken into account that the supplier, according to the contract it signs with the dealers and which determines their operations, does not establish any clause that discriminates or conditions the dealers in their sales based on the place of residence of the end customer, nor from the establishment from which the dealer makes the sale, for the purposes of accepting or rejecting the dealer's orders.</w:t>
      </w:r>
    </w:p>
    <w:p>
      <w:r>
        <w:t>This is why in the official dealer locator on the TOYOTA website, when searching for dealers by provinces, those located in the province are included, as well as those located in neighboring provinces, since customers may travel to those locations if the offers from dealers in other provinces are more satisfactory to them (for example, in the dealer locator for the province of Ávila, the dealers located in that province are shown, as well as those from other neighboring provinces, such as Madrid).</w:t>
      </w:r>
    </w:p>
    <w:p>
      <w:r>
        <w:t>In fact, the territory referred to in the distribution and sale of the affected products can, in any case, be expanded to serve demanders from neighboring provinces, not necessarily part of the same Autonomous Community, as has been confirmed by the analysis of the official dealer locator on the TOYOTA website, thus supporting the supra-autonomous consideration of the relevant market for the case at hand.</w:t>
      </w:r>
    </w:p>
    <w:p>
      <w:r>
        <w:t>In this file, taking into account the analyzed behaviors, the DC found that the alleged anticompetitive practices were structured by geographic areas coinciding with the so-called "Influence Zones" of the dealers, namely "Madrid Zone," which included dealers located in the Autonomous Community of Madrid and certain provinces of the Autonomous Community of Castilla-La Mancha (Cuenca, Guadalajara, and Toledo, bordering Madrid) and the Autonomous Community of Castilla-León (specifically, Ávila and Segovia, also bordering Madrid); "Catalonia Zone," which included dealers located in the Autonomous Communities of Catalonia and Aragón; "Valencia Zone," which included dealers located in the Autonomous Communities of Valencia and Murcia, as well as the provinces of Albacete (Autonomous Community of Castilla-La Mancha) and Almería (Autonomous Community of Andalusia); and "Galicia Zone," which included dealers located in that Autonomous Community.</w:t>
      </w:r>
    </w:p>
    <w:p>
      <w:r>
        <w:t>For all these reasons, the DC confined the geographic market to the distribution/sale of new motor vehicles and accessories of the TOYOTA brand through independent retail distributors, dealers authorized by TOYOTA, in the Autonomous Communities of Madrid, Castilla-La Mancha, Castilla-León, Catalonia, Aragón, Valencia, Murcia, Andalusia, and Galicia, although, as will be seen later, the DC considered that the facts relating to certain dealers located in the so-called Zones of Catalonia, Valencia, and Galicia, even if they fit the type of infringement, had expired.</w:t>
      </w:r>
    </w:p>
    <w:p>
      <w:r>
        <w:t>Thus, the practices under investigation are confined to the so-called "Madrid Zone," and therefore the affected geographic market is that of the Autonomous Communities of Madrid, Castilla-La Mancha, and Castilla-León, both by the geographic delimitation made by the participating dealers in the cartel of this zone and by the effects on effective or potential competitors and on the consumers affected by the conducted behaviors.</w:t>
      </w:r>
    </w:p>
    <w:p>
      <w:r>
        <w:t>c) Market Structure</w:t>
      </w:r>
    </w:p>
    <w:p>
      <w:r>
        <w:t>On the supply side, according to the Report published at the end of 2012 by FACONAUTO "Report on the Dealer Sector in Spain," the 2,908 dealers (2,761 of passenger cars and SUVs and 169 of industrial vehicles) established in Spain fulfill a very relevant socioeconomic function in the Autonomous Communities where they are located. In 2012, dealers invoiced 22,120.35 million euros, which represents 2.1% of the Spanish GDP, according to the economic forecasts for Spain from the Foundation of Savings Banks (FUNCAS).</w:t>
      </w:r>
    </w:p>
    <w:p>
      <w:r>
        <w:t>Of the total number of dealers mentioned, there is a network of 79 dealers distributing the TOYOTA brand and 171 sales points, and despite the widespread decline in the number of dealers, mainly independent ones, as a result of the crisis, in the case of TOYOTA it has remained at stable levels.</w:t>
      </w:r>
    </w:p>
    <w:p>
      <w:r>
        <w:t>The business operation of the dealers is characterized by a management model based on volume. Thus, in the expansion period between 2004 and 2009, the profitability on the invoicing of the dealers remained on average between 0.8% and 2.3%, and in 2012 it was at -0.94% with a downward trend.</w:t>
      </w:r>
    </w:p>
    <w:p>
      <w:r>
        <w:t>According to the aforementioned FACONAUTO Report, dealers finance the stocks of vehicles, spare parts, and accessories from manufacturers, buying the vehicles at the "maximum recommended price" or "list price," which means paying the supplier an average of 15% more than the "retail" or final sale price, as the discounts applied by the dealers for various concepts (an average of 3,200 euros per vehicle) are not taken into account. Therefore, until they sell the vehicle to the end customer, dealers cannot begin to recover the applicable promotions and discounts, which means they continue to finance that differential for an additional 15 to 45 days.</w:t>
      </w:r>
    </w:p>
    <w:p>
      <w:r>
        <w:t>On the other hand, dealers make significant investments in land and facilities for display, warehouses, and workshops, etc. The average investment of a dealer located in a metropolitan area exceeds 6 million euros and is amortized over an average period of 15 to 20 years, but only serves for the distribution of vehicles of a specific brand due to the exclusivity of the specific standards required by each brand, as already indicated. Therefore, in the aforementioned FACONAUTO Report, it is stated that Spanish dealers guarantee a high level of competition among different brands and of concurrency within the distribution network in a mature market in which no manufacturer exceeded, in 2012, 10% of the market share of passenger cars and 25% of the market of industrial vehicles. The aforementioned Report concludes by indicating that the business operation of the dealers is characterized by a management model based on volume, which must assume excessively high risk, with leverage that doubles the company's own resources, to obtain a negative average profitability on invoicing in most networks, which is below 1% in the most solvent networks. Thus, in the expansion period of the automotive market in Spain, between 2004 and 2009, the profitability on the invoicing of the dealers remained, as we have seen, on average between 0.8% and 2.3% and in 2012 at -0.94%.</w:t>
      </w:r>
    </w:p>
    <w:p>
      <w:r>
        <w:t>In short, it is indicated in the aforementioned Report that the automotive sector is a sector with very low margins, based on an obsolete business model that links the return on investment to the volume of invoicing, which has led to its profitability gradually decreasing with the economic crisis until reaching the most negative records in June 2012. The aforementioned Report also indicates that it has an oversized service offering (for a market of 1,200,000 passenger cars) and that this excess of operators causes low profitability and other negative effects.</w:t>
      </w:r>
    </w:p>
    <w:p>
      <w:r>
        <w:t>However, the trend has reversed in the last two years, both in the new car market and in the used vehicle market, and this has been reflected in press reports in 2014 that echoed the increases in sales in a</w:t>
      </w:r>
    </w:p>
    <w:p>
      <w:r>
        <w:rPr>
          <w:b/>
        </w:rPr>
        <w:t>[Pages 19–21]</w:t>
      </w:r>
    </w:p>
    <w:p>
      <w:r>
        <w:t>percentage of 10% compared to 2013, thanks to the Plan PIVE-5, referring to data from the Spanish Association of Automobile and Truck Manufacturers (ANFAC), the National Association of Motor Vehicle Sellers, Repair and Spare Parts (GANVAN), and FACONAUTO.</w:t>
      </w:r>
    </w:p>
    <w:p>
      <w:r>
        <w:t>Regarding the distribution of TOYOTA vehicles in Spain, in 2012 TOYOTA Spain registered 36,034 units, increasing its market share to 5.3%, a rise of 0.3% compared to the 2011 fiscal year. In 2013, this trend continued with 37,285 units registered, 3.4% more than in 2012. The total registrations in Spain in 2012 of TOYOTA hybrid models, vehicles with electric and gasoline engines, reached 6,880 units, which represents 19% of the total, reaching 7,292 units registered in 2013, 6% more than in 2012 and continuing as the leader in the hybrid vehicle segment in the Spanish market. TOYOTA registrations from January to May 2014 have increased compared to the same period in 2013 by 19.6%:</w:t>
      </w:r>
    </w:p>
    <w:p>
      <w:r>
        <w:t>first quarter of the year with 202,128 passenger cars registered, 11.8% higher than the 180,725 from January-March 2013, reported the automotive associations of manufacturers (Anfac), sellers (Ganvam), and dealers (Faconauto). The sector attributes this recovery to the effect on demand from individuals of the fifth edition of the Plan PIVE” (El País, April 1, 2014).</w:t>
      </w:r>
    </w:p>
    <w:p>
      <w:r>
        <w:t>“Car registrations in Spain will grow by 14% in 2014 if there is an extension of the PIVE plan for vehicle purchase aids, according to estimates from the consulting firm MSI. With this boost, 830,000 cars will be sold throughout the year (…). If there is no extension of the PIVE plan (the current program is expected to run out in the summer), registrations will still grow by 11.6%, reaching 807,916 units sold. "The market is starting to show signs that it is moving on its own, slowly, but it is moving," it was pointed out. (…) Not only is the private channel growing, which is the one benefiting from the incentives of the PIVE plans. "The business channel and rental companies will also grow, which are sectors that do not have aids." (…) The business channel will increase by 12.89%, reaching 205,451 units. As for rental companies, 156,599 units will be sold in this channel, 17.01% more. For its part, the private channel will grow by 9.31%, reaching 445,866 vehicles without the PIVE plan” (CINCO DÍAS, April 24, 2014).</w:t>
      </w:r>
    </w:p>
    <w:p>
      <w:r>
        <w:t>In fact, in the top 10 registrations by brands, TOYOTA ranks ninth in the period from January to May 2014. Taking as a reference the latest available data from the General Directorate of Traffic, out of a total of 710,638 passenger car registrations in 2012, 35,497 correspond to TOYOTA. Of these, in the "Madrid Zone," - which includes the provinces of Ávila, Segovia, Cuenca, Guadalajara, Toledo, and Madrid, as we have already seen - there are a total of 11,112 registrations. With this data, the DC calculated the market shares of the companies involved - both regarding the share concerning national registrations of TOYOTA and regarding TOYOTA registrations in the so-called "Madrid Zone" - and to facilitate its understanding, it prepared the table attached below, where it can be observed that the largest market share, both nationally and in relation to the so-called "Madrid Zone," corresponds to SUPRA GAMBOA, followed by COMAUTO and KOBE, according to the information provided by the companies themselves, except for CONDE - which did not provide data on TOYOTA registrations in response to the information request - as well as HISPANESA and JUGORSA, which indicate that they do not have data on this matter:</w:t>
      </w:r>
    </w:p>
    <w:p>
      <w:r>
        <w:t>Company and Units Sold/Registered TOYOTA Market Share 2012 TOYOTA Spain Market Share 2012 (35,497) TOYOTA Madrid Zone Market Share 2012 (11,112)</w:t>
        <w:br/>
        <w:t>A.E. LLORENTE (591 units) 1.66% 5.31%</w:t>
        <w:br/>
        <w:t>COMAUTO (1,569 units) 4.42% 14.12%</w:t>
        <w:br/>
        <w:t>HERBAMOTOR (895 units) 2.52% 8.05%</w:t>
        <w:br/>
        <w:t>KOBE (1,000 units) 2.81% 9.00%</w:t>
        <w:br/>
        <w:t>KURUMA (313 registrations) 0.88% 2.82%</w:t>
        <w:br/>
        <w:t>MADRID CARS (655 units) 1.84% 5.89%</w:t>
        <w:br/>
        <w:t>MOTOR ARJONA (663 registrations) 1.87% 5.97%</w:t>
        <w:br/>
        <w:t>SUPRA GAMBOA (1,863 registrations) 5.25% 16.76%</w:t>
        <w:br/>
        <w:t>OTHERS 55.50% 32.08%</w:t>
      </w:r>
    </w:p>
    <w:p>
      <w:r>
        <w:t>It is, therefore, a mature market, relatively transparent, with a small number of dealers observed in the so-called "Madrid Zone," but with wide coverage by the companies involved in the file (almost 68% joint market share of these companies in that area, to which the shares of CONDE, HISPANESA, and JUGORSA should be added), with no entries of new competitors throughout the development of the alleged infringement.</w:t>
      </w:r>
    </w:p>
    <w:p>
      <w:r>
        <w:t>Regarding demand in this market, three channels can be distinguished: companies dedicated to renting motor vehicles, private company fleets, and individuals. Among these sales channels, the private channel stands out, followed by company fleets, and lastly, rental companies. By channels, until May 2014, the private channel has been strongly driving the market, thanks to the Plan PIVE 5, with an increase of 24.3% and a total of 183,921 registrations. For its part, the business channel experiences a growth of 7.7% and a total of 84,670 registrations during this period, and finally, the rental company channel with a 10.6% growth and a total of 96,190 units, although it should be noted that this channel is heavily influenced by the seasonal effect of Holy Week.</w:t>
      </w:r>
    </w:p>
    <w:p>
      <w:r>
        <w:rPr>
          <w:b/>
        </w:rPr>
        <w:t>[Pages 22–24]</w:t>
      </w:r>
    </w:p>
    <w:p>
      <w:r>
        <w:t>Regarding the demanded models of the TOYOTA brand, in the year 2012, the AURIS model and the YARIS model, with figures of 9,485 units and 7,165 units respectively, are positioned as the most demanded models of the brand in the Spanish market, with the AURIS being the best-selling model of the TOYOTA range in Spain in 2013 with 11,278 units, maintaining very similar figures to the YARIS. The entire new PRIUS range is in third position with registrations of 3,876 units. Among the hybrid models, the most demanded models in 2013 were the AURIS HYBRID with 2,851 units and YARIS HYBRID with 1,481 units.</w:t>
      </w:r>
    </w:p>
    <w:p>
      <w:r>
        <w:t>III. ACCREDITED FACTS</w:t>
      </w:r>
    </w:p>
    <w:p>
      <w:r>
        <w:t>Taking into account the information contained in the file, obtained by the DC both during the inspection carried out on June 4 and 5, 2013, at the headquarters of the consulting company ANT, as well as in the responses to the requests for information made, the DC considered the facts presented in sections (87) to (150) of the PCH to be accredited, which are, in general terms, as follows:</w:t>
      </w:r>
    </w:p>
    <w:p>
      <w:r>
        <w:t>The DC understands that the practices contrary to competition law that were allegedly carried out - consisting of agreements on price fixing and commercial and service conditions, in addition to an exchange of commercially sensitive information in the Spanish market for the distribution of motor vehicles of the Toyota brand, among official independent dealers of the said brand and with the direct collaboration of ANT - were structured by geographical areas delineated by their members.</w:t>
      </w:r>
    </w:p>
    <w:p>
      <w:r>
        <w:t>In each of the areas, different dealers participated, according to their geographical sphere of influence, with their behavior being homogeneous thanks to a common denominator, ANT, a facilitating and monitoring subject of the agreements adopted by the dealers in each area, controlling the selling price and commercial conditions agreed upon by them and facilitating the exchange of information, in compliance with the agreements adopted and conducting a follow-up of these.</w:t>
      </w:r>
    </w:p>
    <w:p>
      <w:r>
        <w:t>The services provided by ANT consisted of evaluating customer service and quality of the companies that contracted its services, under the brand "El Cliente Indiscreto," but aside from these evaluations carried out by the evaluators hired by ANT, the company also provided its services conducting so-called "price studies" or "market/marketing studies," as reflected in invoices issued to the dealers or in other documents related to ANT's methodology of action, in which, on the other hand, their confidential nature was indicated due to the "danger" of such studies.</w:t>
      </w:r>
    </w:p>
    <w:p>
      <w:r>
        <w:t>The objective of these was, as expressly specified by ANT, to eliminate price competition and homogenize discounts, identifying those dealers who violated the supposed price-fixing agreements adopted in this regard, offering cheaper prices and reporting such "incidents," that is, the violations, to all members of the cartel, thus facilitating the monitoring of compliance with the agreements adopted.</w:t>
      </w:r>
    </w:p>
    <w:p>
      <w:r>
        <w:t>To carry out this monitoring, ANT needed to know the price at which it could be sold and the campaigns included in these agreements, with such information reported by participating dealers, as specified by ANT itself.</w:t>
      </w:r>
    </w:p>
    <w:p>
      <w:r>
        <w:t>The involved dealers sent ANT the necessary information to carry out the monitoring of the adopted agreements, also indicating those campaigns that were excluded from these agreements, the so-called "free" ones, as evidenced in the documentation held at ANT's headquarters regarding the different commercial campaigns of TOYOTA.</w:t>
      </w:r>
    </w:p>
    <w:p>
      <w:r>
        <w:t>Regarding the methodology for monitoring these agreements, it was monitored through the evaluators hired by ANT, who collected information on the agreed vehicle models and subsequently exchanged this information with the dealers who were members of the cartel, identifying the prices offered by these dealers.</w:t>
      </w:r>
    </w:p>
    <w:p>
      <w:r>
        <w:t>Monthly, ANT's evaluators visited the participating dealers, posing as buyers, requesting information about the price of vehicles, accessories, discounts, etc., that had been agreed upon by the dealers in question. Subsequently, in order to obtain the best possible offer for a specific model, and proving the veracity of the purchase operation to obtain the information, they simulated the delivery of a monetary deposit for the purchase of a car, backed by ANT, completely unaware of the existence of the adopted agreements, acting according to the dictates of ANT, as evidenced in various documents collected during the inspection of the headquarters of said company. From these visits, the evaluators prepared reports for each visit made to each dealer, which they sent to ANT, which was responsible for compiling all the information, and then forwarding it to the involved dealers.</w:t>
      </w:r>
    </w:p>
    <w:p>
      <w:r>
        <w:t>With this information, ANT prepared a report for each dealer explaining how the visits had developed (two in general), whether the maximum price had been respected or whether discounts or gifts had been offered that did not fall within the agreement, checking whether the dealers complied with the established commercial policy, in which case such non-compliance was reported, labeling it as an "incident."</w:t>
      </w:r>
    </w:p>
    <w:p>
      <w:r>
        <w:t>The information shared with all members of each cartel, according to geographical area, was the information related to the prices offered by each dealer, on a specific model, the discounts applied, gifts offered, as well as the "incidents" or "irregularities" detected, with this exchange of information between ANT and the dealers being a key piece for controlling compliance with the agreements adopted by the cartels.</w:t>
      </w:r>
    </w:p>
    <w:p>
      <w:r>
        <w:t>Thus, ANT exchanged this information with the corresponding dealers for each geographical area of influence, through monthly emails, sending the reports that each evaluator had prepared for each dealer, as well as a summary table, for a specific model, with the identification of the dealer, reference price, final offer, difference, gifts, valuations, and, where applicable, the detected incidents.</w:t>
      </w:r>
    </w:p>
    <w:p>
      <w:r>
        <w:rPr>
          <w:b/>
        </w:rPr>
        <w:t>[Pages 25–27]</w:t>
      </w:r>
    </w:p>
    <w:p>
      <w:r>
        <w:t>regarding the breach of some of the terms of the agreements adopted, as can be seen in one of the summary tables sent, which is attached, as an example:</w:t>
      </w:r>
    </w:p>
    <w:p>
      <w:r>
        <w:t>Based on this exchanged information in which compliance with the adopted agreements was monitored, in the meetings held by the dealers, the so-called "Managers' Meetings," the measures to be adopted were determined in order to ensure compliance with the adopted agreements, which included the imposition of economic sanctions on non-compliant dealers, with ANT being the "treasurer" regarding such sanctions and charging for its monitoring services of the agreements until the dealer exited the supposed cartel or it ended:</w:t>
      </w:r>
    </w:p>
    <w:p>
      <w:r>
        <w:t>In the "Galicia Zone," there is evidence of the existence of an alleged cartel during 2007 and 2008, without any evidence supporting its continuity beyond 2008, and therefore, the DC considered this practice to be time-barred. In the so-called "Valencia Zone," there is also evidence of the existence of a supposed cartel regarding the dealers in that area in 2007 and 2008, with its termination noted in 2008, which is why the DC also considered this practice to be time-barred for this area. Thus, in the internal email from ANT dated June 12, 2008, the termination of this alleged cartel is evidenced. Finally, regarding the so-called "Catalonia Zone," there is evidence of participation by fourteen dealers from at least 2004 to 2009, with no evidence supporting continuity beyond 2009, which is why the DC also considered this practice to be time-barred for those companies.</w:t>
      </w:r>
    </w:p>
    <w:p>
      <w:r>
        <w:t>In the cartel of the "Madrid Zone," the DC pointed out evidence of participation from 2006 by certain dealers, but since their participation could not be confirmed beyond 2008, the DC considered this practice to be time-barred for them.</w:t>
      </w:r>
    </w:p>
    <w:p>
      <w:r>
        <w:t>As for the evidentiary elements of the cartel in the "Madrid Zone" subject to this file, the DC considers that with the documentation contained therein, particularly that gathered during the ANT inspection, the existence of a cartel in that area has been established, in which the dealers A.E. LLORENTE, COMAUTO, HERBAMOTOR, HISPANESA, JUGORSA, KOBE, KURUMA, MADRID CARS, MOTOR ARJONA, and SUPRA GAMBOA would be involved, with the collaboration of the consulting firm ANT.</w:t>
      </w:r>
    </w:p>
    <w:p>
      <w:r>
        <w:t>Furthermore, regarding CONDE, aside from its joint liability as a company controlling COMAUTO, the DC understands that it was aware of the systematic and methodology of the cartel, as evidenced by a chain of emails exchanged between ANT and COMAUTO on May 8, 2013, which explicitly states the existence of the cartel and CONDE's knowledge of it:</w:t>
      </w:r>
    </w:p>
    <w:p>
      <w:r>
        <w:t>“(...) I imagine you have some connection with [Manager CONDE]. You can talk to him. He can share his experience regarding the number of evaluations we conduct in other networks. It has nothing to do with the number of visits to be made but rather with the methodology to be employed.”</w:t>
      </w:r>
    </w:p>
    <w:p>
      <w:r>
        <w:t>As already indicated, the monitoring of compliance with the agreements adopted by the dealers was carried out by contracting the services of ANT. Thus, through the reports prepared by this company after the visits of its evaluators, compliance with the adopted agreements was monitored, sending the dealers comparative tables of the prices and the commercial conditions offered by them, detailing the so-called "incidents," that is, the breaches of some of the agreed terms, as evidenced by the information gathered during the inspection conducted at the ANT headquarters. Additionally, in response to the request for information made to ANT regarding the services provided to the companies related to the Spanish market for the distribution of motor vehicles of the TOYOTA brand, ANT has indicated that it has provided services to the dealers involved since July 2006, although this moment should be understood as the billing date, with preliminary contacts necessarily established until the materialization of the services provided by ANT to these companies, sending them the so-called "price studies." Thus, according to the information gathered during the ANT inspection, there is an electronic file dated April 18, 2006, titled "Letter_TOYOTA_MADRID," related to the methodology to be employed by ANT, which would lead, once the services of ANT were contracted, to the first market studies sent by ANT to the dealers of the so-called "Madrid Zone" starting from July 2006:</w:t>
      </w:r>
    </w:p>
    <w:p>
      <w:r>
        <w:t>“(...) The objective is to achieve the most economical offer possible for a certain model at a specific dealership. To do this, we use a procedure consisting of two visits to the dealership for the price study:</w:t>
      </w:r>
    </w:p>
    <w:p>
      <w:r>
        <w:t>Visit 1.- The evaluator shows interest in a certain vehicle, asking for general information about the car. As a result of this study, a report is obtained on the attention provided by the salesperson and an offer for that model. Confidential report for each dealership.</w:t>
      </w:r>
    </w:p>
    <w:p>
      <w:r>
        <w:t>Visit 2.- The same evaluator returns to the dealership, tells the salesperson who attended him the first time that he has a better offer from another dealership and that he would take the car if they give it to him at a lower price.</w:t>
      </w:r>
    </w:p>
    <w:p>
      <w:r>
        <w:t>On this second occasion, we mainly focus on obtaining the best offer.”</w:t>
      </w:r>
    </w:p>
    <w:p>
      <w:r>
        <w:rPr>
          <w:b/>
        </w:rPr>
        <w:t>[Pages 28–30]</w:t>
      </w:r>
    </w:p>
    <w:p>
      <w:r>
        <w:t>We will present a summary table for each concession with the complete offer (price, gifts, and valuation if applicable) provided by each dealer.</w:t>
      </w:r>
    </w:p>
    <w:p>
      <w:r>
        <w:t>Benefits of this study:</w:t>
        <w:br/>
        <w:t>(…) 2.- They will make their operations more profitable.</w:t>
      </w:r>
    </w:p>
    <w:p>
      <w:r>
        <w:t>To consider:</w:t>
        <w:br/>
        <w:t>1.- It is desirable that the price study closely aligns with the reality of the market. To achieve this, instead of conducting the same number of studies for all dealers, it is advisable to conduct a number of studies for each dealer proportional to their sales or objectives.</w:t>
      </w:r>
    </w:p>
    <w:p>
      <w:r>
        <w:t>(…) 4.- Transparency.- The quality data related to each dealer will only be known by each dealer. However, the information that will be shared will pertain to the offers obtained, which will be clearly and uniformly reflected in a summary table taking into account the total offer, that is, the complete model, the achieved price, the valuation amount if applicable, and the gifts obtained.</w:t>
      </w:r>
    </w:p>
    <w:p>
      <w:r>
        <w:t>Any type of important incident that may affect the offer will also be reflected in a section of "observations."</w:t>
      </w:r>
    </w:p>
    <w:p>
      <w:r>
        <w:t>5.- Confidentiality.- Given the "danger" of this type of work, it is conducted with the highest level of confidentiality. In our documentation, we will always refer to "Market Studies" and the offers obtained and incidents detected. None of our evaluators will truly know the final purpose of the study; they will simply conduct a market study and try to obtain a specific car model at a specific price, through a procedure they perfectly master (…)”.</w:t>
      </w:r>
    </w:p>
    <w:p>
      <w:r>
        <w:t>The file contains invoices issued by ANT to the participating dealers in the "Madrid Zone," in which these services are billed under the so-called "market studies," although as has been accredited, these reports corresponded to the monitoring of the agreements adopted by the cartel. In the invoices accessed by the DC, gathered during the ANT inspection, there is a similarity in dates and concepts such as "market studies conducted on the competition" for the different participating dealers, confirming that these are identical studies, contracted and conducted on the same date for these dealers to monitor compliance with the agreements adopted.</w:t>
      </w:r>
    </w:p>
    <w:p>
      <w:r>
        <w:t>According to this documentation gathered during the ANT inspection, it corroborates what ANT stated in response to the information request made by the DC regarding the services provided to the companies related to the Spanish market for the distribution of motor vehicles of the TOYOTA brand, indicating two time periods: the first, which would run from July 2006 to January 2008, and a second time period from November 2012, maintaining this last one at least until June 2013, coinciding with the inspection conducted at ANT's headquarters on June 4 and 5, 2013. The only company that maintained its contract with ANT uninterruptedly was AE LLORENTE from 2006 to 2010, regarding the evaluation of the services offered by that dealer and its competitors, within the activities that ANT lawfully provides, as also evidenced by the emails sent by ANT to AE LLORENTE during those years, attaching the evaluators' reports and the summary with the data obtained from the different visits to the dealers to be aware of the prices being offered by the competition for certain vehicle models.</w:t>
      </w:r>
    </w:p>
    <w:p>
      <w:r>
        <w:t>However, although ANT formally ceased to provide its services to the alleged cartel in this first period at the beginning of 2008 and, therefore, stopped conducting the so-called "market studies," contacts and meetings among the TOYOTA dealers in the "Madrid Zone" continued throughout 2008 and 2009, as evidenced by the handwritten notes gathered during the inspection conducted at ANT's headquarters – some dated and others undated – which reflect the successive meetings and contacts between these companies, which were communicated to ANT, although they also reflect the instability of the alleged cartel and that although attempts were made to maintain the agreement, there were discrepancies among the companies involved regarding the terms of the agreements to be adopted and their execution.</w:t>
      </w:r>
    </w:p>
    <w:p>
      <w:r>
        <w:t>By way of example, some of the notes:</w:t>
        <w:br/>
        <w:t>- "They have not dismissed it but things are not such that more expenses can be incurred because sales and profitability have fallen. He says to keep this in mind. Talk again in June" (notes from ANT after contacting AE LLORENTE, dated April 17, 2008).</w:t>
        <w:br/>
        <w:t>- "They met on June 9, 2008. He says there is nothing to be done, some do not want to talk about the issue. Why don’t they want to?: They want to have their hands free. More sales. More discounts. Invade other areas. Go for it" (notes from ANT after contacting AE LLORENTE).</w:t>
        <w:br/>
        <w:t>- "(…) Yes, he would enter if everyone would enter. They will talk to a couple of them to see what they say. They do not want to do it for now (…)” (notes from ANT after contacting MOTOR ARJONA, dated May 21, 2009).</w:t>
      </w:r>
    </w:p>
    <w:p>
      <w:r>
        <w:t>Information provided by ANT in response to the information request made (folios 2783 to 2802).</w:t>
        <w:br/>
        <w:t>For example, an email sent by ANT to AE LLORENTE dated December 30, 2009, with the subject "Reports December 2009" with attached documents (folios 1415 to 1436), gathered during the ANT inspection.</w:t>
      </w:r>
    </w:p>
    <w:p>
      <w:r>
        <w:t>Handwritten notes gathered during the ANT inspection (folios 378, 380, 387, 389, 391 to 393, 395 to 397, 399, 401, 404, 406, and 407).</w:t>
      </w:r>
    </w:p>
    <w:p>
      <w:r>
        <w:t>- "(…) There is nothing and it is a real disaster (…) Each one is going to their own war. Not even communications between them (…). A few months ago they met and nothing could come out of there. Some were absent. COMAUTO and GAMBOA. Idea to talk to those two (COMAUTO and GAMBOA)" (notes from ANT after contacting JUGORSA, undated).</w:t>
        <w:br/>
        <w:t>- "(…) It would be good but he sees it as extremely difficult. He has talked about other dealers and everyone protests but no one decides not to do it. He sees options (…)” (notes from ANT after contacting KURUMA, undated).</w:t>
      </w:r>
    </w:p>
    <w:p>
      <w:r>
        <w:t>In fact, in the email dated January 12, 2009, sent by ANT to the dealers participating in this cartel until 2008, ANT again offers its services:</w:t>
        <w:br/>
        <w:t>“Good morning everyone and HAPPY NEW YEAR,</w:t>
        <w:br/>
        <w:t>Given the difficult circumstances that the automotive sector is going through and considering that it has been some time since we stopped working, I take the liberty of sending you this email to offer you again the services of my company.</w:t>
        <w:br/>
        <w:t>(…) The year 2008 has not been precisely good and in my opinion, it may be interesting to propose again a common work so that we can better direct the year 2009.</w:t>
        <w:br/>
        <w:t>(…) I am therefore at your disposal to, if you consider it appropriate, collaborate again with you to ensure that your business has better results. You already know our working system, the methodology used, and ultimately our way of doing things regarding confidentiality, transparency, and objectivity.</w:t>
        <w:br/>
        <w:t>However, if you consider it appropriate, we can change something regarding the method used or the way of doing things; it is simply a matter of holding a meeting and outlining all aspects of the work to be done.</w:t>
        <w:br/>
        <w:t>I wish you all the best in this 2009 and remain at your disposal to discuss this matter with you.”</w:t>
      </w:r>
    </w:p>
    <w:p>
      <w:r>
        <w:t>However, despite this attempt by ANT, the aforementioned companies did not hire its services and, in fact, in internal ANT emails from 2011, the date of January 2008 is confirmed regarding the termination of the work carried out by ANT for the TOYOTA dealers in the so-called "Madrid Zone" involved in the alleged cartel:</w:t>
        <w:br/>
        <w:t>“(…) I have looked into the Toyota Madrid matter, and the last thing we did for that association was in JANUARY 2008. I have looked at the contacts I have, but</w:t>
      </w:r>
    </w:p>
    <w:p>
      <w:r>
        <w:rPr>
          <w:b/>
        </w:rPr>
        <w:t>[Pages 31–33]</w:t>
      </w:r>
    </w:p>
    <w:p>
      <w:r>
        <w:t>only the managers of each dealership appear, I do not have anyone from the headquarters, I have [Manager], from A.E. LLORENTE and thus the manager of each business name (…)”.</w:t>
      </w:r>
    </w:p>
    <w:p>
      <w:r>
        <w:t>However, regarding the TOYOTA brand dealers in the "Madrid Zone," it is noted that in 2011 contacts and meetings resumed between these dealers, as evidenced by the following handwritten notes gathered during the ANT inspection26:</w:t>
      </w:r>
    </w:p>
    <w:p>
      <w:r>
        <w:t>“(…) Strict in application. Forceful in sanction. Sanction can be used to pay for some reviews. Let us be the treasurers. If everyone goes, he also goes because they are throwing money (…). Anger even if Gamboa did not enter” (notes from the ANT meeting with HERBAMOTOR, dated February 18, 2011).</w:t>
      </w:r>
    </w:p>
    <w:p>
      <w:r>
        <w:t>Finally, and given the contacts that continued to be maintained between ANT and AE LLORENTE, there is an email sent by ANT to said company on November 2, 2012, attaching two documents, on one hand, the so-called “TOYOTA MADRID PROPOSAL,” indicating that it is the same one that had been sent a few months earlier and dated July 2012, and the “COMMERCIAL POLICY PRESENTATION,” with some sections of said presentation transcribed literally below, as they are extremely descriptive of the methodology used by the cartel27:</w:t>
      </w:r>
    </w:p>
    <w:p>
      <w:r>
        <w:t>“CURRENT SITUATION</w:t>
        <w:br/>
        <w:t>• LOW PROFITABILITY PER OPERATION</w:t>
        <w:br/>
        <w:t>• PRICE WAR</w:t>
        <w:br/>
        <w:t>• FEW SALES</w:t>
        <w:br/>
        <w:t>PURPOSE OF THIS ACTION</w:t>
        <w:br/>
        <w:t>• AVOID PRICE WAR</w:t>
        <w:br/>
        <w:t>• HOMOGENIZATION OF MAXIMUM DISCOUNTS</w:t>
        <w:br/>
        <w:t>ACHIEVING THEREBY……</w:t>
        <w:br/>
        <w:t>INCREASE THE COMMERCIAL MARGIN PER VEHICLE SOLD</w:t>
        <w:br/>
        <w:t>STUDY WE PROPOSE</w:t>
        <w:br/>
        <w:t>OUR EVALUATORS OR “DISCREET BUYERS”</w:t>
        <w:br/>
        <w:t>WILL VISIT YOUR DEALERSHIPS WITH THE OBJECTIVE OF OBTAINING THE BEST POSSIBLE OFFER FOR A SPECIFIC MODEL</w:t>
      </w:r>
    </w:p>
    <w:p>
      <w:r>
        <w:t>WE WILL VERIFY WHETHER ALL CONCESSIONS COMPLY WITH OR NOT THE ESTABLISHED COMMERCIAL POLICY</w:t>
      </w:r>
    </w:p>
    <w:p>
      <w:r>
        <w:t>ASPECTS TO CONSIDER:</w:t>
        <w:br/>
        <w:t>(…) INCIDENTS - ANY TYPE OF IMPORTANT INCIDENT THAT MAY AFFECT THE OFFER WILL BE REFLECTED IN A "OBSERVATIONS" SECTION.</w:t>
      </w:r>
    </w:p>
    <w:p>
      <w:r>
        <w:t>In the documentation gathered during the ANT inspection in a folder named "Toyota Madrid," there are handwritten notes dated November 14, 2012, indicating the models that were subject to the agreement, the "hybrid" models, and the rest of the "free" range, as well as the date from which the "work" resumes28:</w:t>
      </w:r>
    </w:p>
    <w:p>
      <w:r>
        <w:t>"11/14/2002 TOYOTA MADRID</w:t>
        <w:br/>
        <w:t>[Executives AE LLORENTE and SUPRA GAMBOA]</w:t>
        <w:br/>
        <w:t>• Hybrid Models, only in the commercial policy</w:t>
        <w:br/>
        <w:t>⇒ Prius</w:t>
        <w:br/>
        <w:t>⇒ “ +</w:t>
        <w:br/>
        <w:t>⇒ Yaris Hybrid</w:t>
        <w:br/>
        <w:t>⇒ from January (they notify) Auris Hybrid.</w:t>
        <w:br/>
        <w:t>• Rest of the Range ⇒ free.</w:t>
        <w:br/>
        <w:t>• From Already! 1st month ⇒ November.</w:t>
        <w:br/>
        <w:t>2nd “ ⇒ December.</w:t>
        <w:br/>
        <w:t>3rd “ ⇒ January and so monthly.</w:t>
        <w:br/>
        <w:t>Delivery November ⇒ Meeting in December</w:t>
        <w:br/>
        <w:t>(…)</w:t>
        <w:br/>
        <w:t>Rates ⇒ Ask [executive from JUGORSA].</w:t>
        <w:br/>
        <w:t>1) Model ⇒ Prius</w:t>
        <w:br/>
        <w:t>Discount 7%</w:t>
        <w:br/>
        <w:t>2) Taxi ⇒ fixed price</w:t>
        <w:br/>
        <w:t>(…)</w:t>
        <w:br/>
        <w:t>If within 15 days it breaks, each one pays for it.</w:t>
        <w:br/>
        <w:t>1 month of courtesy.</w:t>
        <w:br/>
        <w:t>Notify after canceling order”</w:t>
      </w:r>
    </w:p>
    <w:p>
      <w:r>
        <w:t>Thus, in the ANT inspection, a table was gathered indicating November 2012 as the start date and listing the three dealerships mentioned in these notes, namely, AE LLORENTE, SUPRA GAMBOA, and JUGORSA, identifying the contact persons of said dealerships, the models subject to agreements by the cartel, and specifying that the margin of error allowed by these dealerships is €30 and also that no fines are established29:</w:t>
      </w:r>
    </w:p>
    <w:p>
      <w:r>
        <w:rPr>
          <w:b/>
        </w:rPr>
        <w:t>[Pages 34–36]</w:t>
      </w:r>
    </w:p>
    <w:p>
      <w:r>
        <w:t>In the same folder "Toyota Madrid," there are other handwritten notes dated January 24, 2013, specifying the conditions and the methodology of the work to be carried out by ANT in relation to the alleged cartel30:</w:t>
      </w:r>
    </w:p>
    <w:p>
      <w:r>
        <w:t>“- Always individuals.</w:t>
        <w:br/>
        <w:t>− Auris ⇒ We include YES ⇒ 9% + campaigns 2013</w:t>
        <w:br/>
        <w:t>− Auris 2012 ⇒ free.</w:t>
        <w:br/>
        <w:t>From 1-02-13</w:t>
        <w:br/>
        <w:t>Yaris HSD ⇒ Campaign 450</w:t>
        <w:br/>
        <w:t>Prius ⇒ Campaign 550</w:t>
        <w:br/>
        <w:t>Prius + ⇒ Campaign 550</w:t>
        <w:br/>
        <w:t>Auris Hybrid 2013 ⇒ Campaign 550</w:t>
        <w:br/>
        <w:t>Auris gasoline/diesel 2013 ⇒ 9% 550</w:t>
        <w:br/>
        <w:t>They send us the definitive from JUGORSA (…).</w:t>
        <w:br/>
        <w:t>(…)</w:t>
        <w:br/>
        <w:t>Jugorsa ⇒ the one who gives us the tables.</w:t>
        <w:br/>
        <w:t>− Important ⇒ “January is already being done” ⇒ let it drop.</w:t>
        <w:br/>
        <w:t>− It is advisable to meet every month, around the 15th, we can attend the initial ones and those that are necessary (…).”</w:t>
      </w:r>
    </w:p>
    <w:p>
      <w:r>
        <w:t>In these notes, the executives of the dealerships AE LLORENTE, SUPRA GAMBOA, and JUGORSA are identified, indicating that the latter will provide ANT with the definitive information regarding campaigns and prices of certain TOYOTA models, information that was necessary to carry out the monitoring and control of the agreements adopted by ANT.</w:t>
      </w:r>
    </w:p>
    <w:p>
      <w:r>
        <w:t>The participation of COMAUTO is also recorded through notes dated January 25, 2013, which confirm that evaluations were being carried out by ANT since November 2012 following the agreed31:</w:t>
      </w:r>
    </w:p>
    <w:p>
      <w:r>
        <w:t>“(…) Comauto says that in 40 days the same mystery has been repeated and they caught us. I have checked and in December, November there were 6 different evaluators.”</w:t>
      </w:r>
    </w:p>
    <w:p>
      <w:r>
        <w:t>There is also an email sent on April 8, 2013, by the Sales Director of JUGORSA to ANT, indicating the conditions to be monitored from that day regarding certain models of the TOYOTA brand32:</w:t>
      </w:r>
    </w:p>
    <w:p>
      <w:r>
        <w:t>“(…) from today, in the afternoon, new conditions for the Auris range are being implemented, in its 90D and 130 (Gasoline) engines.</w:t>
        <w:br/>
        <w:t>In these two models, the discount can reach up to 11%</w:t>
        <w:br/>
        <w:t>If you have any questions, do not hesitate to let me know.</w:t>
        <w:br/>
        <w:t>Best regards,</w:t>
        <w:br/>
        <w:t>(Sales Director of JUGORSA)”</w:t>
      </w:r>
    </w:p>
    <w:p>
      <w:r>
        <w:t>It should be noted that the AURIS and YARIS models are the most demanded models of the TOYOTA brand in the Spanish market, with the AURIS model being the best-selling TOYOTA model in Spain in 2013, and the new PRIUS model ranking third. Among hybrid models, the most demanded in 2013 were the AURIS HYBRID and YARIS HYBRID, which coincide during that period with the models agreed upon by the participating TOYOTA dealerships in this cartel in the "Madrid Zone."</w:t>
      </w:r>
    </w:p>
    <w:p>
      <w:r>
        <w:t>Attached below, as an example, is one of the tables that were sent to the dealerships by ANT, specifying the models and recipients of the vehicles that were included in the agreements adopted by the participating TOYOTA dealerships in the cartel of the so-called "Madrid Zone," in this case, with the conditions to be monitored from February 1, 2013, regarding the models previously determined by the cartel, namely, YARIS, AURIS, and PRIUS33:</w:t>
      </w:r>
    </w:p>
    <w:p>
      <w:r>
        <w:t>In this same folder "Toyota Madrid," a list of dealerships has been gathered identifying the sales and number of visits to each dealership, identifying the dealerships that continued to participate in this alleged cartel of the so-called "Madrid Zone" from 2012, namely, the dealerships A.E. LLORENTE, COMAUTO –with the knowledge of CONDE–, HERBAMOTOR, HISPANESA, JUGORSA, KOBE, KURUMA, MADRID CARS, MOTOR ARJONA, KIOTOMOCIÓN, and SUPRA GAMBOA, with the collaboration of ANT for the monitoring of the agreements adopted by these TOYOTA dealerships34:</w:t>
      </w:r>
    </w:p>
    <w:p>
      <w:r>
        <w:t>In this list, certain dealerships that did participate during the first time period of this cartel in the "Madrid Zone" do not appear, which is why the DC considered this infringement to be time-barred for those companies, as their participation was not recorded beyond the year 2008.</w:t>
      </w:r>
    </w:p>
    <w:p>
      <w:r>
        <w:t>Although since the cartel was reinitiated in 2012, the same methodology agreed upon by the cartel was followed, with ANT carrying out the monitoring of compliance with the agreements adopted, as evidenced in this internal email from ANT in April 2013, it is evident that either it is reinforced through monthly or bi-monthly meetings or it could lead, as had already happened in the past, to the termination of said cartel35:</w:t>
      </w:r>
    </w:p>
    <w:p>
      <w:r>
        <w:t>“(…) It is essential that you bill Toyota for March as the reports are understood to be ready for delivery and I want this group to pay as soon as possible.”</w:t>
      </w:r>
    </w:p>
    <w:p>
      <w:r>
        <w:rPr>
          <w:b/>
        </w:rPr>
        <w:t>[Pages 37–39]</w:t>
      </w:r>
    </w:p>
    <w:p>
      <w:r>
        <w:t>(…) When will March be ready for delivery? I am thinking of calling a meeting to deliver the 3 months.</w:t>
      </w:r>
    </w:p>
    <w:p>
      <w:r>
        <w:t>On the other hand, we will start the visits in April a little later, when this matter is clarified because I see that this issue is cooling down. According to what [manager AE LLORENTE] has told me, he wants to scare the network a bit to see if we can reactivate it and manage to hold monthly or bimonthly meetings routinely (…).</w:t>
      </w:r>
    </w:p>
    <w:p>
      <w:r>
        <w:t>In fact, on April 19, 2013, HERBAMOTOR, through an email sent to AE LLORENTE and KOBE, with a copy to ANT, expresses its intention to end its participation from that date36:</w:t>
      </w:r>
    </w:p>
    <w:p>
      <w:r>
        <w:t>“Hello everyone. After the phone conversations held, I understand that the reporting service is not necessary for me, thus ending the service as of today, April 19. If possible, I would like to receive the reports from previous months. I hope this is communicated to the people involved.”</w:t>
      </w:r>
    </w:p>
    <w:p>
      <w:r>
        <w:t>Following what was stated in that email, on April 22, 2013, ANT sent HERBAMOTOR the reports of the studies conducted in February and March 201337, and the reports of the studies corresponding to the months of January to April 2013 are also included, which are attached below, evidencing the participation in this cartel of A.E. LLORENTE, COMAUTO, HERBAMOTOR, HISPANESA, JUGORSA, KOBE, KURUMA, MADRID CARS, MOTOR ARJONA, KIOTOMOCIÓN, and SUPRA GAMBOA, although from March 2013 a total of 10 dealers is already indicated, as KIOTOMOCIÓN does not appear, as reflected in the corresponding tables of those months, from January to April 2013, detailing the study data38:</w:t>
      </w:r>
    </w:p>
    <w:p>
      <w:r>
        <w:t>JANUARY 2013:</w:t>
        <w:br/>
        <w:t>NUMBER OF DEALERS EVALUATED: 11</w:t>
        <w:br/>
        <w:t>NUMBER OF STUDIES PER CONCESSION EVALUATION MODALITY: TWO VISITS</w:t>
        <w:br/>
        <w:t>1 SUPRA GAMBOA, S.A. 3 VISIT 1</w:t>
        <w:br/>
        <w:t>2 COMAUTO SUR, S.A. 3 CUSTOMER SERVICE EVALUATION, SHOWING INTEREST IN A MODEL IN</w:t>
        <w:br/>
        <w:t>3 HERSAMOTOR 3 PRIVATE.</w:t>
        <w:br/>
        <w:t>4 KOBE MOTOR 3 VISIT 2</w:t>
        <w:br/>
        <w:t>5 KURUMA 2 OBTAINING GIFTS AND/OR A LOWER PRICE THAN IN THE FIRST VISIT.</w:t>
        <w:br/>
        <w:t>6 MOTOR ARJONA, S.L. 2</w:t>
        <w:br/>
        <w:t>7 A.E. LLORENTE, S.A. 2</w:t>
        <w:br/>
        <w:t>8 MADRID CARS 2000, S.A. 2 REQUESTED MODELS</w:t>
        <w:br/>
        <w:t>9 HISPANO JAPONESA MOTOR, S.L. 1</w:t>
        <w:br/>
        <w:t>10 JUGORSA 2 TOYOTA PRIUS ADVANCE WITH TOUCH</w:t>
        <w:br/>
        <w:t>1 &amp;GO, ADVANCE PACK AND METALLIC PAINT</w:t>
        <w:br/>
        <w:t>11 KIOTO MOTOR, S.A. 2</w:t>
        <w:br/>
        <w:t>GIFTS</w:t>
        <w:br/>
        <w:t>TOYOTA YARIS HYBRID ACTIVE WITH</w:t>
        <w:br/>
        <w:t>ARE CONSIDERED ONLY AS GIFTS 2 TECH PACK, TOUCH &amp; GO AND METALLIC PAINT</w:t>
        <w:br/>
        <w:t>THOSE THAT REPRESENT A SIGNIFICANT IMPROVEMENT IN THE OFFER. THEREFORE, GIFTS SUCH AS TRIANGLES AND VESTS (SAFETY KIT) ARE NOT TAKEN INTO ACCOUNT.</w:t>
      </w:r>
    </w:p>
    <w:p>
      <w:r>
        <w:t>FEBRUARY 2013:</w:t>
        <w:br/>
        <w:t>NUMBER OF DEALERS EVALUATED: 11</w:t>
        <w:br/>
        <w:t>NUMBER OF STUDIES PER CONCESSION EVALUATION MODALITY: TWO VISITS</w:t>
        <w:br/>
        <w:t>1 SUPRA GAMBOA, S.A. 3 VISIT 1</w:t>
        <w:br/>
        <w:t>2 COMAUTO SUR, S.A. 3 CUSTOMER SERVICE EVALUATION, SHOWING INTEREST IN A MODEL IN</w:t>
        <w:br/>
        <w:t>3 HERSAMOTOR 3 PRIVATE.</w:t>
        <w:br/>
        <w:t>4 KOBE MOTOR 3 VISIT 2</w:t>
        <w:br/>
        <w:t>5 KURUMA 2 OBTAINING GIFTS AND/OR A LOWER PRICE THAN IN THE FIRST VISIT.</w:t>
        <w:br/>
        <w:t>6 MOTOR ARJONA, S.L. 2</w:t>
        <w:br/>
        <w:t>7 A.E. LLORENTE, S.A. 2</w:t>
        <w:br/>
        <w:t>8 MADRID CARS 2000, S.A. 2 REQUESTED MODELS</w:t>
        <w:br/>
        <w:t>9 JUGORSA 2</w:t>
        <w:br/>
        <w:t>10 KIOTO MOTOR, S.A. 2 TOYOTA AURIS HYBRID ACTIVE, COMFORT PACK +17", TOUCH &amp; GO AND METALLIC PAINT</w:t>
        <w:br/>
        <w:t>11 HISPANO JAPONESA MOTOR, S.L. 1</w:t>
        <w:br/>
        <w:t>GIFTS</w:t>
        <w:br/>
        <w:t>TOYOTA PRIUS ADVANCE WITH TOUCH &amp;</w:t>
        <w:br/>
        <w:t>ARE CONSIDERED ONLY AS GIFTS 2 GO, ADVANCE PACK AND METALLIC PAINT</w:t>
        <w:br/>
        <w:t>THOSE THAT REPRESENT A SIGNIFICANT IMPROVEMENT IN THE OFFER. THEREFORE, GIFTS SUCH AS TRIANGLES AND VESTS (SAFETY KIT) ARE NOT TAKEN INTO ACCOUNT.</w:t>
      </w:r>
    </w:p>
    <w:p>
      <w:r>
        <w:t>MARCH 2013:</w:t>
        <w:br/>
        <w:t>NUMBER OF DEALERS EVALUATED: 10</w:t>
        <w:br/>
        <w:t>NUMBER OF STUDIES PER CONCESSION EVALUATION MODALITY: TWO VISITS</w:t>
        <w:br/>
        <w:t>1 SUPRA GAMBOA, S.A. 3 VISIT 1</w:t>
        <w:br/>
        <w:t>2 COMAUTO SUR, S.A. 3 CUSTOMER SERVICE EVALUATION, SHOWING INTEREST IN A MODEL IN</w:t>
        <w:br/>
        <w:t>3 HERSAMOTOR 3 PRIVATE.</w:t>
        <w:br/>
        <w:t>4 KOBE MOTOR 3 VISIT 2</w:t>
        <w:br/>
        <w:t>5 KURUMA 2 OBTAINING GIFTS AND/OR A LOWER PRICE THAN IN THE FIRST VISIT.</w:t>
        <w:br/>
        <w:t>6 MOTOR ARJONA, S.L. 2</w:t>
        <w:br/>
        <w:t>7 A.E. LLORENTE, S.A. 2</w:t>
        <w:br/>
        <w:t>8 MADRID CARS 2000, S.A. 2 REQUESTED MODELS</w:t>
        <w:br/>
        <w:t>9 JUGORSA 2</w:t>
        <w:br/>
        <w:t>10 HISPANO JAPONESA MOTOR, S.L. 1 TOYOTA YARIS HYBRID ACTIVE WITH</w:t>
        <w:br/>
        <w:t>1 TECH PACK, TOUCH &amp; GO AND METALLIC PAINT</w:t>
        <w:br/>
        <w:t>GIFTS</w:t>
        <w:br/>
        <w:t>ARE CONSIDERED ONLY AS GIFTS TOYOTA AURIS 90D ACTIVE COMFORT DRIVE (DIESEL) 90CV, 5 DOORS,</w:t>
        <w:br/>
        <w:t>2 MANUAL GEAR SHIFT, LOOK PACK, COMFORT PACK, TOUCH &amp; GO AND METALLIC PAINT.</w:t>
      </w:r>
    </w:p>
    <w:p>
      <w:r>
        <w:rPr>
          <w:b/>
        </w:rPr>
        <w:t>[Pages 40–42]</w:t>
      </w:r>
    </w:p>
    <w:p>
      <w:r>
        <w:t>APRIL 2013:</w:t>
        <w:br/>
        <w:t>NUMBER OF DEALERS EVALUATED: 10</w:t>
        <w:br/>
        <w:t>NUMBER OF STUDIES PER CONCESSION EVALUATION MODALITY: TWO VISITS</w:t>
        <w:br/>
        <w:t>1 SUPRA GAMBOA, S.A. 3</w:t>
        <w:br/>
        <w:t>VISIT 1</w:t>
        <w:br/>
        <w:t>2 COMAUTO SUR, S.A. 3 CUSTOMER SERVICE EVALUATION,</w:t>
        <w:br/>
        <w:t>SHOWING INTEREST IN A MODEL IN</w:t>
        <w:br/>
        <w:t>3 HERSAMOTOR 3 PARTICULAR.</w:t>
        <w:br/>
        <w:t>4 KOBE MOTOR 3</w:t>
        <w:br/>
        <w:t>VISIT 2</w:t>
        <w:br/>
        <w:t>5 KURUMA 2</w:t>
        <w:br/>
        <w:t>OBTAINING GIFTS AND/OR A LOWER PRICE THAN IN THE FIRST VISIT.</w:t>
        <w:br/>
        <w:t>6 MOTOR ARJONA, S.L. 2</w:t>
        <w:br/>
        <w:t>7 A.E. LLORENTE, S.A. 2</w:t>
        <w:br/>
        <w:t>8 MADRID CARS 2000, S.A. 2 REQUESTED MODELS</w:t>
        <w:br/>
        <w:t>9 JUGORSA 2</w:t>
        <w:br/>
        <w:t>NEW TOYOTA AURIS 90D ACTIVE</w:t>
        <w:br/>
        <w:t>10 HISPANO JAPONESA MOTOR, S.L. 1 COMFORT DRIVE (DIESEL) 90HP, 5</w:t>
        <w:br/>
        <w:t>DOORS, MANUAL TRANSMISSION, LOOK PACK, COMFORT PACK,</w:t>
        <w:br/>
        <w:t>TOUCH &amp; GO AND METALLIC PAINT.</w:t>
        <w:br/>
        <w:t>GIFTS</w:t>
        <w:br/>
        <w:t>ONLY THOSE THAT REPRESENT A SIGNIFICANT IMPROVEMENT IN THE OFFER ARE CONSIDERED AS GIFTS. THEREFORE, GIFTS SUCH AS TRIANGLES AND VESTS (SAFETY KIT) ARE NOT TAKEN INTO ACCOUNT.</w:t>
        <w:br/>
        <w:t>Through the study of these tables, the DC deemed the homogeneity of market prices and those of the offers made by participating dealers to be evident, with differences being practically non-existent. This is evidenced, for example, in the market study corresponding to February 2013 on the TOYOTA AURIS HYBRID ACTIVE model, COMFORT PACK +17", TOUCH &amp; GO AND METALLIC PAINT:</w:t>
        <w:br/>
        <w:t>39 Internal email from ANT, dated May 6, 2013, and attached documents, gathered during the ANT inspection (pages 1573 to 1577).</w:t>
      </w:r>
    </w:p>
    <w:p>
      <w:r>
        <w:t>PRICE VARIATIONS MODEL POPULATION NAME ADDRESS OFFER DIFFERENCE</w:t>
        <w:br/>
        <w:t>(IF ANY) MARKET</w:t>
        <w:br/>
        <w:t>SUPRA GAMBOA, PEARL PAINT, WITHOUT</w:t>
        <w:br/>
        <w:t>MADRID C/ Doctor Esquerdo, 120 22,225.00 22,225.00 0.00</w:t>
        <w:br/>
        <w:t>S.A. TOUCH &amp; GO</w:t>
        <w:br/>
        <w:t>COMAUTO SUR, Avda. Carlos Sainz, 11 -</w:t>
        <w:br/>
        <w:t>LEGANÉS 0.00 22,724.98 22,575.00 -149.98</w:t>
        <w:br/>
        <w:t>S.A. Ciudad del Automovil</w:t>
        <w:br/>
        <w:t>COMAUTO SUR, Avda. Carlos Sainz, 11 -</w:t>
        <w:br/>
        <w:t>LEGANÉS 0.00 22,724.98 22,575.00 -149.98</w:t>
        <w:br/>
        <w:t>S.A. Ciudad del Automovil</w:t>
        <w:br/>
        <w:t>COLMENAR Ctra. Madrid - Colmenar</w:t>
        <w:br/>
        <w:t>HERSAMOTOR 0.00 22,724.98 22,725.00 0.02</w:t>
        <w:br/>
        <w:t>VIEJO Viejo, Km. 28,400</w:t>
        <w:br/>
        <w:t>MADRID HERSAMOTOR C/ Alberto Alcocer, 31 0.00 22,724.98 22,725.00 0.02</w:t>
        <w:br/>
        <w:t>HSD PERSONALIZATION</w:t>
        <w:br/>
        <w:t>MAJADAHONDA KOBE MOTOR C/ Ciruela nº 4 22,764.14 22,764.00 -0.14</w:t>
        <w:br/>
        <w:t>FOR KEY</w:t>
        <w:br/>
        <w:t>C/ Cabo Rufino Lázaro</w:t>
        <w:br/>
        <w:t>LAS ROZAS KOBE MOTOR 0.00 22,724.98 22,725.00 0.02</w:t>
        <w:br/>
        <w:t>18, P.E. Európolis</w:t>
        <w:br/>
        <w:t>MADRID KURUMA C/ Isla de Java, 3 0.00 22,724.98 22,725.00 0.02</w:t>
        <w:br/>
        <w:t>C/ MÉJICO, 35 -</w:t>
        <w:br/>
        <w:t>MOTOR ARJONA,</w:t>
        <w:br/>
        <w:t>GUADALAJARA POL.IND. EL PEARL PAINT 22,824.99 22,825.00 0.01</w:t>
        <w:br/>
        <w:t>S.L.</w:t>
        <w:br/>
        <w:t>BALCONCILLO</w:t>
        <w:br/>
        <w:t>A.E. LLORENTE,</w:t>
        <w:br/>
        <w:t>MADRID Calle Gral. Moscardó, 37 0.00 22,724.98 22,725.00 0.02</w:t>
        <w:br/>
        <w:t>S.A.</w:t>
        <w:br/>
        <w:t>MADRID CARS</w:t>
        <w:br/>
        <w:t>MADRID C/ Julio Camba 3 0.00 22,724.98 22,725.00 0.02</w:t>
        <w:br/>
        <w:t>2000, S.A.</w:t>
        <w:br/>
        <w:t>Av de La Cantueña, 1 P.I.</w:t>
        <w:br/>
        <w:t>FUENLABRADA JUGORSA 0.00 22,724.98 22,725.00 0.02</w:t>
        <w:br/>
        <w:t>LA CANTUEÑA</w:t>
        <w:br/>
        <w:t>KIOTO MOTOR, Avenida Santa Eugenia,</w:t>
        <w:br/>
        <w:t>MADRID 0.00 22,724.98 22,724.99 0.01</w:t>
        <w:br/>
        <w:t>S.A. nº6</w:t>
        <w:br/>
        <w:t>Thus, the cartel continued for a few more months, as evidenced by the emails exchanged between ANT and COMAUTO dated May 8, 2013, in which the meetings held among the dealers in the "Madrid Zone," with the attendance of ANT, are confirmed, and the continuity of the alleged cartel as of that date, with ANT continuing to monitor compliance with the agreements adopted by it. The following is the email sent by the Commercial Director of ANT to the Manager of COMAUTO, responding to the email previously sent by that dealer to ANT, respecting both its literal tenor and its form, although to facilitate the identification of what the executives of those companies indicate, in addition to being differentiated by color, as done in the aforementioned email, these companies are also referenced in each case throughout that email:</w:t>
        <w:br/>
        <w:t>“(ANT): Good afternoon [Manager COMAUTO],</w:t>
        <w:br/>
        <w:t>I am responding to your email from this morning. My comments are in blue, responding to your comments, written in black.</w:t>
        <w:br/>
        <w:t>(COMAUTO: Dear [ANT executive], as we were in the Dealers meeting yesterday, I mention that for the month of May you will perform only one mystery shopping. Whether there is an agreement or not.</w:t>
        <w:br/>
        <w:t>In May I will only pay you for one unit of mystery shopping.</w:t>
        <w:br/>
        <w:t>(ANT): OK.</w:t>
        <w:br/>
        <w:t>(COMAUTO): I want to mention that in your report for April 2013 you have two where it says 609.12 for Prius Advance for individuals which is mentioned to have an additional discount of 2.1%, and that is not the case, we are in agreement.</w:t>
        <w:br/>
        <w:t>(ANT): [Manager COMAUTO], I attach to this email the scanned budgets. I have called them “OFFER 1” and “OFFER 2.” They apply the Touch &amp; Go discounts and advance pack as well as the Toyota Hybrid subsidy and the PIVE plan. All of this is fine, but there is also an additional discount, which you have circled in blue and is explained as being 2.1%.</w:t>
        <w:br/>
        <w:t>With the information we have, this amount exceeds what can be done. If you disagree, I think it is most convenient for your sales manager to contact [ANT executive], who is the person in charge of these matters within my company. [ANT executive] has already been notified and is copied on this email (…)</w:t>
        <w:br/>
        <w:t>(COMAUTO): I attach the agreement sheet.</w:t>
        <w:br/>
        <w:t>(ANT): According to the information we have, the information you send us has changed. We have a document from February 1 in which PRIUS AND PRIUS + are mentioned, and these should only apply the campaign, without discount. On the other hand, with the AURIS 90 DIESEL AND 130 GASOLINE, you can go up to 11%.</w:t>
        <w:br/>
        <w:t>I attach those documents to this email. The files are named “UPDATED EMAIL” AND “DISCOUNT TABLE.”</w:t>
        <w:br/>
        <w:t>(COMAUTO): That you can leave a deposit and you don’t leave it due to the situation is false, the sellers have communicated to the customer to bring their offer in writing, which they have never done, and none of the sellers has</w:t>
        <w:br/>
        <w:t>40 Emails exchanged between ANT and COMAUTO, dated May 8, 2013 (pages 1598 to 1599 and 1602 to 1606), gathered during the ANT inspection.</w:t>
      </w:r>
    </w:p>
    <w:p>
      <w:r>
        <w:rPr>
          <w:b/>
        </w:rPr>
        <w:t>[Pages 43–45]</w:t>
      </w:r>
    </w:p>
    <w:p>
      <w:r>
        <w:t xml:space="preserve">given, they only wanted it in writing for commercial purposes to gauge the situation regarding the possibility of another dealer bypassing the agreement.  </w:t>
        <w:br/>
        <w:t xml:space="preserve">(ANT): I want to tell you that our policy is not to tell lies. We have been working on this for quite some time and we would not be where we are if we were making up the data.  </w:t>
        <w:br/>
        <w:t xml:space="preserve">I hope you understand that we cannot provide other offers from other concessions, among other things because we do not have them and also it is not of general interest because it will only create more conflicts and friction among you.  </w:t>
        <w:br/>
        <w:t xml:space="preserve">I insist that the offer was verbally assured and that we did not make the down payment because the expected date for it was after you told us that this matter was being put on hold. This happened on April 19 and the down payment was scheduled for April 22. This is as true as I am writing this email right now.  </w:t>
        <w:br/>
        <w:t xml:space="preserve">You can interpret it however you want, you are free to do so, but I can assure you that what is stated in the report is not a lie and neither is what I said yesterday in the meeting. I want you to know that both personally and professionally, honesty is the value I hold most dear. It is possible that on some occasions, without intending to, we may make mistakes in carrying out a job or not interpret the words of a seller correctly, but what I can assure you is that I DO NOT LIE.  </w:t>
        <w:br/>
        <w:t xml:space="preserve">(COMAUTO): I believe that by coming so many times, you do not have professional people to carry out this work, which is why having only one presentation, you will make me a monthly visit.  </w:t>
        <w:br/>
        <w:t xml:space="preserve">(ANT): I imagine you have some relationship with [Manager CONDE]. You can talk to him. He can share his experience regarding the number of evaluations we conduct in other networks. It has nothing to do with the number of visits to be made but rather with the methodology to be employed. On the other hand, it must be taken into account at what moment the evaluator is identified. I also do not understand that if they identify the evaluators, they then produce bad reports or even there are declines.  </w:t>
        <w:br/>
        <w:t xml:space="preserve">What has happened here is that there have been no meetings and I have not even had the opportunity to explain the details, limitations, and specifics of the work. Yesterday I touched on some of these points but it was after you left.  </w:t>
        <w:br/>
        <w:t>This work is not just about doing it and billing the invoice; it requires follow-up and discussion of certain aspects of the procedure to be followed, that everyone does what you have done in this email, but in the meeting, so that I can personally explain the reasons why things are done one way or another.</w:t>
      </w:r>
    </w:p>
    <w:p>
      <w:r>
        <w:t xml:space="preserve">I can assure you that if this work is done well, you will all be very satisfied with the results, but giving it the follow-up and importance it deserves.  </w:t>
        <w:br/>
        <w:t xml:space="preserve">(COMAUTO): I believe you have created an alarm among dealers that is out of touch with reality, as the agreement is functioning perfectly in taxis and I do not have any paid file outside the agreement.  </w:t>
        <w:br/>
        <w:t xml:space="preserve">(ANT): It is very good that there are no incidents; in fact, I saw yesterday that the results are not bad since although there are some incidents, they are not many.  </w:t>
        <w:br/>
        <w:t xml:space="preserve">(...) I do not think at all that we have created any alarm; we have simply obtained some offers and we have recorded them, according to the data we have. I respect your opinion, of course, but this is one of those things that should come up in meetings and be said in person so that I can study them and see who is right. I always go to meetings with the incidents of each concession in writing. I had them yesterday and could have commented on them, but there was no time for that as you left very early.  </w:t>
        <w:br/>
        <w:t xml:space="preserve">I ask, please, that for the next meeting, a little more time be granted to this topic and also that there be more representation from concessions.  </w:t>
        <w:br/>
        <w:t xml:space="preserve">(COMAUTO): I would ask you to take note and not send people who are unprepared and who are less in touch with reality.  </w:t>
        <w:br/>
        <w:t xml:space="preserve">(ANT): (...) I insist that you talk to (CONDE) so that he can tell you about his experience with other brands since it works differently. The only difference is the periodic meetings and the willingness to do things well, among all of us. It was a shame that yesterday most of you left just when I arrived.  </w:t>
        <w:br/>
        <w:t xml:space="preserve">It is easy to criticize the one who is not there and then not give him the opportunity to defend his work.  </w:t>
        <w:br/>
        <w:t xml:space="preserve">In fact, there was harsh criticism for not having sent the reports, and you yourselves insisted in the January meeting on seeing the reports in the meeting. I have tried time and again to send them, but I have not been authorized.  </w:t>
        <w:br/>
        <w:t xml:space="preserve">(COMAUTO): I am at your disposal.  </w:t>
        <w:br/>
        <w:t>(ANT): Believe me, (Manager COMAUTO), I am also at your disposal. I regret what happened, I accept your criticism but I also defend my work. Please, it would be advisable for your sales manager to speak with (ANT executive) or for you to give me his name so that (ANT executive) can locate him and discuss this matter.</w:t>
      </w:r>
    </w:p>
    <w:p>
      <w:r>
        <w:t xml:space="preserve">If there is anything else I can do to improve, just let me know as I only believe in a job well done, with the appropriate follow-up (...)  </w:t>
        <w:br/>
        <w:t xml:space="preserve">I am sure that if this matter is handled better from now on, you will end up very satisfied with the work of my company (...).  </w:t>
        <w:br/>
        <w:t xml:space="preserve">In fact, the contacts between the participating companies in the so-called "Madrid Zone" are maintained, at least, until June 2013, coinciding with the inspection carried out at the ANT headquarters on June 4 and 5, 2013, as evidenced by the emails gathered in that inspection, which refer to the meeting scheduled by the members, precisely for June 4, 2013, although it is true that at that time it was being considered whether to continue or not with this type of agreements.  </w:t>
        <w:br/>
        <w:t xml:space="preserve">Thus, for example, there is an email dated May 30, 2013, that ANT sent to JUGORSA, in which ANT seeks to confirm whether or not there is a call for the meeting on June 4, to which JUGORSA indicates that they are waiting for the rest of the dealers to respond:  </w:t>
        <w:br/>
        <w:t xml:space="preserve">After ANT reiterated whether it should attend the aforementioned meeting of the dealers of the so-called "Madrid Zone" scheduled for June 4, 2013, JUGORSA replied on June 3, 2013, indicating to ANT that despite being one day away from the possible meeting, they were not clear whether it would be held but referred to the unnecessary nature of their presence until the matter was clarified.  </w:t>
        <w:br/>
        <w:t xml:space="preserve">Finally, on the same June 3, 2013, the Commercial Director of ANT sent an email to the dealers who continued to participate in the cartel, namely, to SUPRA GAMBOA, COMAUTO, HERBAMOTOR, KOBE, KURUMA, AE LLORENTE, MADRID CARS, HISPANESA, and JUGORSA, indicating the following:  </w:t>
        <w:br/>
        <w:t xml:space="preserve">“Good morning,  </w:t>
        <w:br/>
        <w:t>In the last meeting I attended with you, it was established that we would meet tomorrow, June 4, at 10 a.m. at the AC Hotel in Rivas Vaciamadrid. It was also established that we would continue with the Mystery evaluations. A few days later, the evaluations were canceled.”</w:t>
      </w:r>
    </w:p>
    <w:p>
      <w:r>
        <w:rPr>
          <w:b/>
        </w:rPr>
        <w:t>[Pages 46–48]</w:t>
      </w:r>
    </w:p>
    <w:p>
      <w:r>
        <w:t>Therefore, I am not clear on how the situation stands and I have no notice regarding the possible meeting tomorrow. I do not know whether there is a meeting or not, or if I should attend.</w:t>
      </w:r>
    </w:p>
    <w:p>
      <w:r>
        <w:t>In the event that there is a meeting and they are clear about resuming the mystery services of my company, I consider it very important that I attend that meeting as we need to give this matter the appropriate shape.</w:t>
      </w:r>
    </w:p>
    <w:p>
      <w:r>
        <w:t>Thus, I await confirmation on whether I should go to the meeting tomorrow… if there is one (…)”.</w:t>
      </w:r>
    </w:p>
    <w:p>
      <w:r>
        <w:t>From this date, no further evidence of the participation of these companies in the cartel has been found, coinciding with the inspection carried out at the ANT headquarters on June 4 and 5, 2013.</w:t>
      </w:r>
    </w:p>
    <w:p>
      <w:r>
        <w:t>For all that has been seen, the DC considered it proven by the documentation in the file, in particular, that gathered during the ANT inspection, the existence of a cartel in the "Madrid Zone," based on price fixing and commercial and service conditions, as well as the exchange of commercially sensitive information in the market for the distribution of motor vehicles of the TOYOTA brand, distinguishing two time periods: the first, from July 2006 to January 2008 - although as the participation of the involved dealers could not be proven beyond 2008, the DC considered that this infringement was time-barred - and a second time period from November 2012 to at least June 2013, coinciding with the inspection at the ANT headquarters on June 4 and 5, 2013, among the dealers AE LLORENTE, COMAUTO –with the knowledge of CONDE–, HERBAMOTOR, HISPANESA, JUGORSA, KIOTOMOCION, KOBE, KURUMA, MADRID CARS, MOTOR ARJONA, SUPRA GAMBOA, with the collaboration of ANT.</w:t>
      </w:r>
    </w:p>
    <w:p>
      <w:r>
        <w:t>LEGAL GROUNDS</w:t>
      </w:r>
    </w:p>
    <w:p>
      <w:r>
        <w:t>FIRST.- COMPETENCY ENABLEMENT</w:t>
      </w:r>
    </w:p>
    <w:p>
      <w:r>
        <w:t>In accordance with the provisions of the first additional provision of Law 3/2013, of June 4, creating the National Commission of Markets and Competition, by Order ECC/1796/2013, of October 4, October 7, 2013, was determined as the date for the operation of the CNMC.</w:t>
      </w:r>
    </w:p>
    <w:p>
      <w:r>
        <w:t>According to the second additional provision of the same Law “the references that the current legislation contains to the National Commission of Competition […] will be understood as made to the National Commission of Markets and Competition […]” and “The references that Law 15/2007, of July 3, contains to the Investigation Directorate of the National Commission of Competition will be understood as made to the Competition Directorate of the National Commission of Markets and Competition”.</w:t>
      </w:r>
    </w:p>
    <w:p>
      <w:r>
        <w:t>On the other hand, in accordance with Article 5.1(c) of Law 3/2013, the CNMC is responsible for “applying the provisions of Law 15/2007, of July 3, regarding behaviors that prevent, restrict, and distort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In the present sanctioning file, this Chamber must resolve, based on the instruction carried out by the DC, which is included in the Report and Proposal for Resolution, whether the investigated behaviors constitute anticompetitive practices consisting of agreements to fix prices and commercial conditions affecting the retail distribution sector of vehicles of the TOYOTA brand in the so-called Madrid Zone.</w:t>
      </w:r>
    </w:p>
    <w:p>
      <w:r>
        <w:t>The DC considers that the analyzed behavior is a practice prohibited by Article 1 of the LDC, which prohibits agreements that have as their object, produce or may produce the effect of fixing, directly or indirectly, prices or other commercial or service conditions in all or part of the national market, opposing any direct or indirect contact between competitors that has as its object or effect to influence the behavior of a real or potential competitor, or to reveal to that competitor the behavior that has been decided to adopt or is intended to adopt in the market.</w:t>
      </w:r>
    </w:p>
    <w:p>
      <w:r>
        <w:t>The DC understands that the behavior attributed corresponds to the definition of a cartel in that it consisted of the adoption and implementation of agreements consisting of price fixing and commercial and service conditions, as well as the exchange of strategic and sensitive information to that effect. It would therefore be a very serious infringement, extending in time from November 2012 to June 2013.</w:t>
      </w:r>
    </w:p>
    <w:p>
      <w:r>
        <w:t>The DC points out in its proposal for resolution (paragraphs 151 and 152) that “The behaviors described above fall within Article 1 of Law 16/1989 and Article 1 of the LDC, in that the agreements adopted by the analyzed cartel for price fixing and other commercial conditions and the exchange of sensitive information between dealers of vehicles of the TOYOTA brand, with the collaboration of ANT, were carried out in the so-called “Madrid Zone” from 2006 to 2008, subsequently restarting in 2012 and maintaining until the inspections at the ANT headquarters in June 2013. Therefore, these are behaviors carried out during the validity of Law 16/1989 and Law 15/2007, although this Competition Directorate considers the actions carried out during the validity of Law 16/1989 to be time-barred, given that it has not been possible to prove that these practices continued uninterruptedly from 2006 to 2013, noting, on the contrary, that the cartel was interrupted in January 2008 and restarted in November 2012.”</w:t>
      </w:r>
    </w:p>
    <w:p>
      <w:r>
        <w:t>In light of the time-bar of the alleged behaviors carried out during the validity of Law 16/1989, Law 15/2007 is the applicable norm to the present sanctioning procedure.</w:t>
      </w:r>
    </w:p>
    <w:p>
      <w:r>
        <w:t>THIRD.- LEGAL ASSESSMENT OF THE INSTRUCTING BODY</w:t>
      </w:r>
    </w:p>
    <w:p>
      <w:r>
        <w:t>Upon completion of the instruction of the file, the DC understands that the existence of agreements adopted and implemented by the investigated companies to fix prices and commercial conditions has been proven, conducting a follow-up of such agreements through the exchange of strategic and commercially sensitive information, which leads to a homogenization in the marketing conditions of the TOYOTA brand in the so-called “Madrid Zone,” and to the restriction of competition in the retail distribution sector of vehicles of that brand.</w:t>
      </w:r>
    </w:p>
    <w:p>
      <w:r>
        <w:t>Based on Article 50.4 of the LDC, the DC has proposed to the Council the following:</w:t>
      </w:r>
    </w:p>
    <w:p>
      <w:r>
        <w:t>“- First. That the existence of a practice prohibited by Article 1 of the LDC be declared, due to the agreements adopted and implemented by A.E. LLORENTE, S.A., M. CONDE, S.A., COMAUTO SUR, S.A., HERBAMOTOR, S.A., HISPANO JAPONESA MOTOR, S.L., JULIÁN GÓMEZ RODRÍGUEZ, S.A., KIOTOMOCIÓN, S.L., KOBE MOTOR, SL., KURUMA SPORT, S.A., MADRID CARS 2000, S.A., MOTOR ARJONA, S.L. and SUPRA GAMBOA, S.A. through contacts and meetings between representatives of these companies, dealers of vehicles of the TOYOTA brand, with the collaboration of A.N.T. SERVICALIDAD, S.L., from November 2012 to June 2013.</w:t>
      </w:r>
    </w:p>
    <w:p>
      <w:r>
        <w:t>- Second. That this collusive behavior be classified, for the purposes of determining the sanction to be imposed, as a very serious infringement of Article 62.4(a) of the LDC.”</w:t>
      </w:r>
    </w:p>
    <w:p>
      <w:r>
        <w:t>It also proposes that all the companies identified in point One be declared responsible for these infringements, in accordance with Article 61 of the LDC, except for KIOTOMOCIÓN, S.L., considering what has been stated by the DC regarding “Evidence of the participation of KIOTOMOCIÓN, S.L. in this cartel has also been found, although since a liquidation order for this company was issued on May 28, 2014, this Competition Directorate considers that it is not appropriate to initiate proceedings against it.”</w:t>
      </w:r>
    </w:p>
    <w:p>
      <w:r>
        <w:rPr>
          <w:b/>
        </w:rPr>
        <w:t>[Pages 49–51]</w:t>
      </w:r>
    </w:p>
    <w:p>
      <w:r>
        <w:t>Taking into account the information contained in the file, the DC considers that the existence of agreements adopted and implemented by the parties involved has been sufficiently demonstrated through contacts and meetings between representatives of these companies, dealers of Toyota vehicles in the so-called "Madrid Zone," with the collaboration of the consulting company ANT, from November 2012 until at least June 2013. The DC states in its resolution proposal that it has been established that the dealers adopted agreements to set prices and commercial conditions, monitoring the agreements adopted through the exchange of strategic and commercially sensitive information carried out by ANT, which was contracted by these dealers to monitor compliance with the agreements adopted, resulting in a homogenization of the marketing conditions of Toyota vehicles in the repeated "Madrid Zone," thereby restricting competition in the retail distribution sector of vehicles of that brand.</w:t>
      </w:r>
    </w:p>
    <w:p>
      <w:r>
        <w:t>FOURTH.- ALLEGATIONS PRESENTED TO THE RESOLUTION PROPOSAL</w:t>
      </w:r>
    </w:p>
    <w:p>
      <w:r>
        <w:t>On November 27, 2014, the DC submitted its Report with a resolution proposal to the Council of the CNMC, in which it proposes, as previously anticipated, that the existence of a practice prohibited by Article 1 of the LDC be declared, and that the collusive conduct it understands to be proven be classified, for the purposes of determining the sanction to be imposed, as a very serious infringement of Article 62.4(a) of the LDC.</w:t>
      </w:r>
    </w:p>
    <w:p>
      <w:r>
        <w:t>The companies involved have presented allegations to the resolution proposal, which are subsequently addressed by this Competition Chamber.</w:t>
      </w:r>
    </w:p>
    <w:p>
      <w:r>
        <w:t>4.1. On the incorrect delimitation of the affected market and the lack of competence of the CNMC</w:t>
      </w:r>
    </w:p>
    <w:p>
      <w:r>
        <w:t>Various involved companies (namely, SUPRA GAMBOA, HERBAMOTOR, KURUMA, COMAUTO, MADRID CARS, KOBE, AE LLORENTE, HISPANESA, JUGORSA, and MOTOR ARJONA) agree in arguing in their written allegations to the PR, as they did at the time regarding the PCH, that the relevant market delimitation made by the DC is not correct. Thus, KOBE points out (folios 6529-30 and folio 6554) that the market that should be considered to assess the impact of the alleged conduct is the broader market for new vehicles, not limited to certain vehicles of the Toyota brand.</w:t>
      </w:r>
    </w:p>
    <w:p>
      <w:r>
        <w:t>In turn, regarding the geographical market, while the DC defines the affected market as the distribution of passenger motor vehicles of the TOYOTA brand through independent dealers of the manufacturer in the Autonomous Communities of Madrid, Castilla-León, and Castilla-La Mancha, various parties involved indicate that the relevant geographical market for this file would be Madrid, and therefore the competent authority for its instruction would also be the regional one. In this regard, it is alleged (namely, JUGORSA, MOTOR ARJONA, HISPANESA, and AE LLORENTE) the identity of facts between the present file and the one initiated against the Nissan dealers located in the Community of Madrid (file S/0485/13), archived and referred to the Competition Defense Service of the Community of Madrid. Other parties involved, however, consider that the market in which the conduct should be assessed would not be the so-called Madrid Zone, but "the entire national scope, since there are no barriers for customers to purchase their vehicles in other Autonomous Communities" (KOBE, folio 6555).</w:t>
      </w:r>
    </w:p>
    <w:p>
      <w:r>
        <w:t>Response from the Competition Chamber of the Council:</w:t>
      </w:r>
    </w:p>
    <w:p>
      <w:r>
        <w:t>Even though in this case, given that it concerns a collusive practice prohibited by Article 1 LDC, it would not have been necessary to carry out a delimitation of the relevant market since it is not an essential element of the infringing type, it should be noted that the market definition contained in the resolution proposal is, in the opinion of this Chamber, accurate.</w:t>
      </w:r>
    </w:p>
    <w:p>
      <w:r>
        <w:t>The notions of relevant market and affected market are clearly differentiated in the PR prepared by the DC, with the latter being delimited by the accreditation of the facts and the content of the agreements. The affected market coincides with the market in which the infringing conduct materializes, that is, for which the analyzed agreements are taken, which in this file corresponds to the distribution of passenger motor vehicles of the TOYOTA brand, models Yaris Hybrid, Prius, Prius+, Auris Hybrid, and Auris Gasoline/Diesel, through independent dealers of the manufacturer.</w:t>
      </w:r>
    </w:p>
    <w:p>
      <w:r>
        <w:t>Since it is the companies and entities themselves that, with their anticompetitive conduct, determine the scope affected by the infringement (Resolution of the CNC Council of July 30, 2013, File S/0380/11 Rental Cars and Resolution of the CNMC of September 22, 2014, File S/0428/12 Pallets), this Chamber considers that it has been sufficiently evidenced in the present file that the affected market is the distribution of passenger motor vehicles of the TOYOTA brand through independent dealers of the manufacturer. The facts accredited in the file have been developed exclusively by official independent dealers of the brand and the relevant agreements were adopted regarding the sales of new vehicles corresponding to five models of the aforementioned brand in the so-called "Madrid Zone," which corroborates the validity of the affected market definition made by the DC.</w:t>
      </w:r>
    </w:p>
    <w:p>
      <w:r>
        <w:t>Regarding the identity of facts between the present file and the one initiated against the Nissan dealers located in the Community of Madrid (file S/0485/13), archived and referred to the Competition Defense Service of the Community of Madrid, this Chamber also fully agrees with the analysis carried out with the DC in concluding that the conduct subject to the present file has the potential to produce effects on competition in part of the Spanish market, reaching a supra-regional scope, affecting the Autonomous Communities of Madrid, Castilla León, and Castilla-La Mancha. This is because, although most of the involved dealers are based in the Community of Madrid, the conduct attributed is likely to disrupt free competition in a supra-regional scope, given that the operational scope of the accused companies exceeds the perimeter of the province in which they are located and reaches demanders from bordering provinces outside the Autonomous Community of Madrid. From the information contained in the present file, contrary to what occurred in File S/0485/13, it is inferred that the conduct subject to it has the potential to affect a scope greater than that of the Autonomous Community of Madrid. Therefore, it is the CNMC that has the competence to instruct and resolve the present sanctioning file.</w:t>
      </w:r>
    </w:p>
    <w:p>
      <w:r>
        <w:t>These issues, raised by the parties also in their allegations to the PCH, have already been, in the opinion of this Chamber, duly addressed by the DC in the resolution proposal, and there are no new data or reasons that could provoke a response different from that already expressed at that time and that justify further analysis.</w:t>
      </w:r>
    </w:p>
    <w:p>
      <w:r>
        <w:t>4.2. On the lack of accreditation of the facts</w:t>
      </w:r>
    </w:p>
    <w:p>
      <w:r>
        <w:t>All the involved companies agree in alleging that the DC has not sufficiently accredited the practices described in the PR, and that the accusation is based on mere indications, already prescribed facts, or on the transference to this file of considerations and facts corresponding to other files in the field of vehicle distribution different from the present one. It is also an allegation.</w:t>
      </w:r>
    </w:p>
    <w:p>
      <w:r>
        <w:rPr>
          <w:b/>
        </w:rPr>
        <w:t>[Pages 52–54]</w:t>
      </w:r>
    </w:p>
    <w:p>
      <w:r>
        <w:t>the infringement is considered to have begun, and the end date is set at the latest possible point, which is April 2013, as argued by the defendants (AE LLORENTE, HISPANESA, JUGORSA, and MOTOR ARJONA). The defendants argue that there is no information in the file that proves, as the DC claims, that the infringement continued until the inspection at the ANT headquarters in June 2013.</w:t>
      </w:r>
    </w:p>
    <w:p>
      <w:r>
        <w:t>Response from the Competition Chamber:</w:t>
        <w:br/>
        <w:t>The DC establishes, regarding the duration of the infringement, the most favorable conclusion possible for the defendants, in light of the information available in the file. Indeed, the start date of the infringement, November 2012, is set at the most favorable limit for the defendants, which is the date when the infringement is considered to have begun, and the end date is set at the latest possible point, which is April 2013.</w:t>
      </w:r>
    </w:p>
    <w:p>
      <w:r>
        <w:rPr>
          <w:b/>
        </w:rPr>
        <w:t>[Pages 55–57]</w:t>
      </w:r>
    </w:p>
    <w:p>
      <w:r>
        <w:t>communications between the parties for the purpose of articulating the follow-up of what was agreed by the cartel through the services of ANT. Although rationality suggests that the cartel should predate these actions, the DC limits the start of the infringement, with a criterion deemed correct by this Chamber, to such a finding based on the evidentiary proof in the file.</w:t>
      </w:r>
    </w:p>
    <w:p>
      <w:r>
        <w:t>Regarding the conclusion of the cartel, this Chamber also considers appropriate the conclusion that the inspection carried out at one of the cartel companies in June 2013 reasonably marks its end. Both dates are sufficiently close in time to the accredited facts to affirm the continuity of the infringement since November 2012.</w:t>
      </w:r>
    </w:p>
    <w:p>
      <w:r>
        <w:t>In this regard, it is pertinent to cite the community jurisprudence that states that the lack of evidence of the execution of an agreement by a company during a certain period does not allow for the deduction of the non-existence of an infringement by that company during the period in question. Thus: “[...] the Court of Justice has already stated that, in most cases, the existence of a practice or agreement contrary to competition is inferred from certain coincidences and indications that, considered as a whole, can constitute, in the absence of a coherent explanation, proof of an infringement of competition rules (judgments Aalborg Portland and others/Commission, previously cited, paragraph 57, as well as from September 21, 2006, Nederlandse Federatieve Vereniging voor de Groothandel op Elektrotechnisch Gebied/Commission, C-105/04 P, Rec. p. I-8725, paragraph 94). (71) Such indications and coincidences, evaluated globally, can not only reveal the existence of agreements or practices contrary to competition but also the duration of continued collusive practices and the period of application of agreements made against competition rules (see, in this sense, the judgment Nederlandse Federatieve Vereniging voor de Groothandel op Elektrotechnisch Gebied/Commission, previously cited, paragraphs 95 and 96). (72) Regarding the lack of evidence on the existence of an agreement during certain specific periods or, at least, regarding its execution by a company during a specific period, it should be recalled that the fact that such evidence has not been provided for certain specific periods does not prevent considering that the infringement existed during a longer overall period than those periods, provided that such verification is based on objective and consistent indications. In the context of an infringement lasting several years, the fact that the manifestations of the agreement occur in different periods, which may be separated by more or less long intervals, does not affect the existence of that agreement, as long as the different actions that are part of this infringement pursue a single purpose and are framed within a single and continuous infringement (see, in this sense, the judgment Nederlandse Federatieve Vereniging voor de Groothandel op Elektrotechnisch Gebied/Commission, previously cited, paragraphs 97 and 98).” (Judgment of the CJEU of December 6, 2012, case C-441/11 P)</w:t>
      </w:r>
    </w:p>
    <w:p>
      <w:r>
        <w:t>European jurisprudence53 and precedents from resolutions of the Spanish Competition Authority, validated in contentious proceedings54, support the DC's criterion, which this Competition Chamber fully shares, of granting relevance, for the purposes of determining the duration of the infringement, to the fact that there is no record that any of the companies, prior to the inspection carried out at the ANT headquarters in June 2013, had unequivocally expressed to the other members of the cartel their intention or decision to end their participation in it.</w:t>
      </w:r>
    </w:p>
    <w:p>
      <w:r>
        <w:t>However, in the case of HERBAMOTOR, it can reasonably be deduced according to what is stated in section III of the Established Facts of this Resolution55, that its participation in the cartel ends in April 2013.</w:t>
      </w:r>
    </w:p>
    <w:p>
      <w:r>
        <w:t>4.4. On the non-existence of a cartel or the lack of participation of the companies in it.</w:t>
      </w:r>
    </w:p>
    <w:p>
      <w:r>
        <w:t>Several parties involved (AE LLORENTE, HISPANESA, JUGORSA, and MOTOR ARJONA) agree in alleging that the DC has not proven in this file a cartel infringement, as there is no establishment of specific prices but, at most, a supposed agreement to coordinate the maximum discount policy on the prices of certain TOYOTA brand vehicles.</w:t>
      </w:r>
    </w:p>
    <w:p>
      <w:r>
        <w:t>It is a common allegation of the parties involved to highlight the peculiarities of the automobile distribution market, which distance it from the more usual parameters of the distribution sector in general and which would prevent, according to the parties involved, each dealer from actually setting the final sale prices of new vehicles to individuals.</w:t>
      </w:r>
    </w:p>
    <w:p>
      <w:r>
        <w:t>It has already been anticipated that the parties involved, as an alternative explanation to the accusation made by the DC and to the evidence in the file, state that the relationship with ANT and the services contracted with it referred to the evaluation of the performance of the dealers' salespeople in the sales processes, or reports contracted by the dealers to assess their competition, or finally, reports to control the quality of the services provided by the dealers and to try to meet the objectives set by the brand. Thus, for example, it is explained that the joint hiring by the dealers of ANT's services referred exclusively to the mystery shopper, in light of the imminent signing of the extension of the concession contract with the brand (KOBE, folio 6531).</w:t>
      </w:r>
    </w:p>
    <w:p>
      <w:r>
        <w:t xml:space="preserve">53 For all, judgment of the Court of Justice of January 7, 2004, Aalborg Portland and others/Commission. </w:t>
        <w:br/>
        <w:t xml:space="preserve">54 Resolutions of the CNC Council of January 12, 2012, File S/0179/09, Concrete and related products and judgment of the National Court of December 12, 2013. </w:t>
        <w:br/>
        <w:t>55 In particular, email sent by HERBAMOTOR to AE LLORENTE, KOBE, and ANT, dated April 19, 2013, gathered during the ANT inspection (folios 1528 and 1529).</w:t>
      </w:r>
    </w:p>
    <w:p>
      <w:r>
        <w:t>Response of the Competition Chamber:</w:t>
      </w:r>
    </w:p>
    <w:p>
      <w:r>
        <w:t>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the direct or indirect fixing of prices or other commercial or service conditions.</w:t>
      </w:r>
    </w:p>
    <w:p>
      <w:r>
        <w:t>This Chamber agrees with the DC in considering that the existence of the concordance of wills constituting the illicit agreement attributed to the parties involved has been proven, a price-fixing cartel and other commercial and service conditions and an exchange of commercially sensitive information, as a mechanism used by the cartel to verify compliance with the agreements adopted, as well as the participation in it of the companies charged in the present file.</w:t>
      </w:r>
    </w:p>
    <w:p>
      <w:r>
        <w:t>It can only be concluded that a maximum discount fixing among competing dealers members of a selective distribution network of vehicles of a certain brand, when the discount is applied to the same recommended retail price set by the brand, constitutes a price-fixing agreement, through which it is intended to preserve or guarantee certain commercial margins and weaken the necessary competitive tension.</w:t>
      </w:r>
    </w:p>
    <w:p>
      <w:r>
        <w:t>Despite the peculiarities, reiterated by the parties involved, of the automobile distribution market, this Competition Chamber of the Council agrees with the DC in concluding that there is room for action by the dealers to freely set the final price to the customer.</w:t>
      </w:r>
    </w:p>
    <w:p>
      <w:r>
        <w:t>In this sense, the allegations of some of the parties involved regarding the existence of differences in the prices applied to TOYOTA vehicles relevant for the purposes of this file must be addressed. The experience of this Competition Authority, as well as that derived from the community scope, allows affirming the existence of a diversity of behaviors regarding the coordinated application of prices that differ from the traditional agreement of identical or symmetrical price fixing. As the CNC Council has previously pointed out, “[...] the practice considered prohibited in this case does not consist of the companies having set uniform prices, but rather that they have set the order of magnitude of the increases to be applied to the rates that serve as a basis, according to the companies themselves, for negotiation with their clients” (RCNC of July 31, 2010, File S/0120/08 Freight Forwarders). This analysis has been endorsed by the National Court in its judgment of April 16, 2014: “The fact that there have been different prices, not rates, when applied to customers, admitting in this sense the expert reports provided by the plaintiff does not prevent, as understood by the contested resolution (f. 97, when it indicates that there are...</w:t>
      </w:r>
    </w:p>
    <w:p>
      <w:r>
        <w:rPr>
          <w:b/>
        </w:rPr>
        <w:t>[Pages 58–60]</w:t>
      </w:r>
    </w:p>
    <w:p>
      <w:r>
        <w:t>this Chamber considers that in the present case it has been sufficiently evidenced that the affected market is the distribution of passenger motor vehicles of the TOYOTA brand through independent dealers of the manufacturer. The facts accredited in the file have been developed exclusively by official independent dealers of the brand and the relevant agreements were adopted regarding the sales of new vehicles corresponding to five models of the aforementioned brand in the so-called "Madrid Zone," which corroborates the validity of the affected market definition made by the DC.</w:t>
      </w:r>
    </w:p>
    <w:p>
      <w:r>
        <w:t>Regarding the identity of facts between the present file and the one initiated against the Nissan dealers located in the Community of Madrid (file S/0485/13), the Chamber considers that the analysis of competitive conduct must be carried out as a whole, since behaviors that could be justified or not present profiles of anticompetitive infringement when presented in isolation, when analyzed as a whole, reveal a global agreement of a marked anticompetitive nature.</w:t>
      </w:r>
    </w:p>
    <w:p>
      <w:r>
        <w:t>The accused parties have also not provided any evidence that they have distanced themselves clearly and expressly from the controversial agreements, communicating this to the other participants in the cartel.</w:t>
      </w:r>
    </w:p>
    <w:p>
      <w:r>
        <w:t>4.5. On the effects in the market of the conduct and its impact on the sanction. On the application of the de minimis rule.</w:t>
      </w:r>
    </w:p>
    <w:p>
      <w:r>
        <w:t>As a consequence of questioning the DC's consideration that we are facing conduct that fits the definition of a cartel, many of the accused interpret that there is no infringement by object in this case and argue the need to establish the effects of the conduct attributed.</w:t>
      </w:r>
    </w:p>
    <w:p>
      <w:r>
        <w:t>Some of the accused (JUGORSA, MOTOR ARJONA, HISPANO JAPONESA, AE LLORENTE) argue that the DC has not proven that there has been an increase in prices, and the consequent harm to the consumer, even defining the conduct analyzed in the present file as of lesser importance.</w:t>
      </w:r>
    </w:p>
    <w:p>
      <w:r>
        <w:t>Some accused (KOBE, pages 6546-7) argue that the duration of the alleged agreement attributed is only six months, which means a time "barely susceptible of producing effects in the market."</w:t>
      </w:r>
    </w:p>
    <w:p>
      <w:r>
        <w:t>Response from the Competition Chamber:</w:t>
      </w:r>
    </w:p>
    <w:p>
      <w:r>
        <w:t>As the Council of the CNC has pointed out on previous occasions (see, among others, the CNC Resolution of July 31, 2010, File S/0120/10, Freight Forwarders) and has reiterated this Competition Chamber of the Council (RCNMC of September 22, 2014, File S/0428/12 Palés), in the assessment of collusive conduct, given its special potential to distort competition, proof of actual effects contrary to competition is not required when it has been determined that they are restrictive by their object. For the purposes of assessing the conduct provided for in Article 1 of the LDC, what is relevant is the ability to achieve the goal of distorting free competition, since the infringing type does not require that the purpose of violating free competition be achieved, but it is sufficient that it is aimed at that end in the execution of the conduct, whether or not it is successful (CNC Council Resolution of March 27, 2012, File S/0237/10 Motorcycles).</w:t>
      </w:r>
    </w:p>
    <w:p>
      <w:r>
        <w:t>It is well established that any price-fixing cartel, by its very nature, is capable of producing a significant distortion of competition in the considered market, which exclusively benefits the companies participating in the agreements constituting the infringement, to the direct detriment of customers. Price agreements, as is the case with market allocations, are infringements by object, given the direct relationship between the conduct and its negative effects, real or potential. The accused, in their allegations regarding the insufficient accreditation of the effects of the cartel, present here an argument that would be more appropriate for a claim for damages before the civil jurisdiction. That the cartel may not have had real effects, in this case, is an argument to deny any potential compensation for damages, and an element to be considered when determining the amount of the sanction, but does not affect the potentially harmful nature of the conduct for competition, which is what is relevant in the context of administrative sanctioning procedures. This Chamber agrees with the DC in considering that the conduct attributed to the accused is specifically apt, taking into account the legal and economic context in which it is inscribed, to restrict or distort the play of competition in the distribution of passenger motor vehicles of the TOYOTA brand through independent dealers of the manufacturer.</w:t>
      </w:r>
    </w:p>
    <w:p>
      <w:r>
        <w:t>Notwithstanding the above, this Chamber considers that the DC has duly accredited during the instruction of the procedure that the conduct carried out by the parties, in addition to having an object contrary to competition, has caused a restrictive effect on competition.</w:t>
      </w:r>
    </w:p>
    <w:p>
      <w:r>
        <w:t>It has been proven by the multiple documented evidences in the file that the final price of the TOYOTA brand vehicles has been determined by the accused dealers through the various elements on which they coordinated their commercial policy (maximum discounts, campaigns to be applied, gifts, valuations, consideration regarding the non-imposition of fines for non-compliance, and even "margins of error"). This does not mean price equality, but rather the determination that the final price of the agreed vehicle models was not lower than that which guaranteed them certain margins, with the ability to standardize their prices, an essential element whose impact directly affects free competition. The accreditation that the accused companies offer different prices does not cast doubt, contrary to what several of them have alleged, on the existence of a cartel.</w:t>
      </w:r>
    </w:p>
    <w:p>
      <w:r>
        <w:t>This Chamber considers that the effects of the infringing conduct, which materialized in a homogeneity of the discounts offered by the TOYOTA brand dealers in the "Madrid Zone" during the duration of the cartel, and in the consequent compartmentalization of the market, are accredited according to the information available in the file. The agreements managed to reduce the uncertainty of the accused companies regarding the offers that their competitors could make regarding certain models of the brand's vehicles.</w:t>
      </w:r>
    </w:p>
    <w:p>
      <w:r>
        <w:t>This Chamber also agrees with the DC that the allegation regarding the conduct of lesser importance cannot be accepted in any case, since the accused companies are attributed with the adoption of agreements that had as their object the fixing of prices and commercial conditions, which constitutes a very serious infringement constitutive of a cartel, with direct ability to distort competition, which is exempt from the de minimis exemption (art. 2.1 RDC). In the same sense, regarding the impossibility of considering the conduct constitutive of a cartel as of lesser importance, as a restriction of competition by object, see, for example, RCNC of December 1, 2011 (File S/0269/10, Freight Forwarders 2) or the RCNC of May 23, 2013 (File S/0303/10 Sanitation Distributors). Likewise, the STJ of December 13, 2012,</w:t>
      </w:r>
    </w:p>
    <w:p>
      <w:r>
        <w:rPr>
          <w:b/>
        </w:rPr>
        <w:t>[Pages 61–63]</w:t>
      </w:r>
    </w:p>
    <w:p>
      <w:r>
        <w:t>(asunto C-226/11, Expedia) clearly ruled on the validity of applying Article 101 TFEU to an agreement between companies even when it does not reach the thresholds set by the European Commission in its de minimis Communication, as long as such agreement constitutes a significant restriction of competition.</w:t>
      </w:r>
    </w:p>
    <w:p>
      <w:r>
        <w:t>4.6. On the role of ANT as a collaborator and facilitator in the conduct being analyzed.</w:t>
      </w:r>
    </w:p>
    <w:p>
      <w:r>
        <w:t>ANT denies its status as a collaborator in a cartel and claims that its activity aimed to prevent loss sales. It also points out that the DC has not been able to prove that ANT effectively sent commercially sensitive information to the investigated dealers (folios 5257-8).</w:t>
      </w:r>
    </w:p>
    <w:p>
      <w:r>
        <w:t>Response from the Competition Chamber:</w:t>
        <w:br/>
        <w:t>The Chamber considers it proven that ANT, despite being an entity external to the affected market, has actively participated in the infringement by acting as a controller of compliance with the cartel agreements in the so-called "Madrid Zone." Its control and monitoring work has contributed to the maintenance of the cartel and, therefore, to restricting competition in the affected market.</w:t>
      </w:r>
    </w:p>
    <w:p>
      <w:r>
        <w:t>ANT's services were contracted to facilitate the monitoring of the effective compliance with the agreements adopted by the investigated parties, and therefore to facilitate the execution and maintenance of the same over time, even foreseeing that no fines would be established for cases where breaches of the agreed terms were detected through ANT's reports. There is also no doubt regarding ANT's knowledge of the illicit nature of the conduct, since its own methodology explicitly states the confidential nature of the work: "this type of work is carried out with the highest level of confidentiality," as well as mentioning that none of the evaluators "will really know the final purpose of the study," which is indicated to refer to "we will verify whether all concessions comply with or not with the established commercial policy."</w:t>
      </w:r>
    </w:p>
    <w:p>
      <w:r>
        <w:t>ANT clearly indicated as the "procedure" of its services: "Each month a member of the association will send us a list of the best-selling Toyota models, and for each model, they must also send us the minimum price at which each can be sold."</w:t>
      </w:r>
    </w:p>
    <w:p>
      <w:r>
        <w:t>The information in the file proves ANT's attempt to give its services an appearance of legality through the use of unremarkable and even vague expressions ("market studies"), with the aim of remaining unnoticed by third parties outside the agreements. This demonstrates the concurrence of the cognitive and volitional elements of the conduct by its authors. In fact, in light of the available information, it is established that ANT's activity constitutes the means on which the collusive conduct is supported and instituted, and its intervention is decisive and has its own significance in the development of the same.</w:t>
      </w:r>
    </w:p>
    <w:p>
      <w:r>
        <w:t>Community jurisprudence has consistently established that "any company that has adopted collusive behavior, including advisory companies that do not operate in the reference market affected by the restriction of competition, could reasonably foresee that the prohibition established by Article 81 EC, paragraph 1, was applicable to it in principle. Indeed, such a company could not ignore, or it was possible for it to understand, that in the decisional practice of the Commission and in previous community jurisprudence, the basis for the express recognition of the responsibility of an advisory company for an infringement of Article 81 EC, paragraph 1, was already sufficiently clear and precise when that company actively and deliberately contributes to a cartel among producers operating in a market different from that in which the aforementioned company operates" (Judgment of the Court of First Instance of July 8, 2008, case T-99/04, AC-Treuhand AG v. Commission).</w:t>
      </w:r>
    </w:p>
    <w:p>
      <w:r>
        <w:t>The strategic role played by ANT constitutes a clear added value for the effectiveness of the agreements, in addition to being a characteristic element, as already mentioned, of this type of conduct, which is by no means new to this Competition Authority. Such control mechanisms typical in cartels are typically articulated through information exchanges via auditing systems, or through the use of a supervisor or coordinator.</w:t>
      </w:r>
    </w:p>
    <w:p>
      <w:r>
        <w:t>The alternative explanation provided by ANT regarding its services being for "monitoring loss sales," and that this was a perfectly lawful service, is also not acceptable, since it does not align with the absence of any mention of that theoretical objective in any of the commercial documents prepared by ANT for the offer and provision of its services. Furthermore, the dealers do not refer to that loss sales monitoring service as an explanation for the joint hiring of ANT, but rather to the mystery shopper services, "in light of the imminent signing of the extension of the concession contract with the brand," "to know whether the dealers complied or not with the qualitative and quantitative standards required by TOYOTA" (KOBE, folios 6531-2).</w:t>
      </w:r>
    </w:p>
    <w:p>
      <w:r>
        <w:t>4.7. On the determination of the amount of the sanction.</w:t>
        <w:br/>
        <w:t>Some of the investigated parties (ANT, KOBE), citing various judgments from the Audiencia Nacional (of January 15, 2014, and May 29, 2013), argue that the maximum sanction that can be imposed would be 10% of the turnover obtained by the company in question in the economic activity in which the infringement occurred, in the year prior to the imposition of the fine.</w:t>
      </w:r>
    </w:p>
    <w:p>
      <w:r>
        <w:t>Response from the Competition Chamber:</w:t>
        <w:br/>
        <w:t>For reasons of coherence and expositional order, this Chamber considers it more appropriate to address this issue in the Seventh Legal Basis, relating to the calculation of the sanction and the criteria for determining the fine, where a detailed and extensive response to that allegation will be provided.</w:t>
      </w:r>
    </w:p>
    <w:p>
      <w:r>
        <w:t>4.8. On the responsibility of M. CONDE.</w:t>
        <w:br/>
        <w:t>The DC considers CONDE jointly responsible, as the parent company of COMAUTO, for the anticompetitive conduct subject to this file. The DC also understands that the proven facts demonstrate that CONDE has direct knowledge of the systematic and methodology of this cartel. CONDE claims that it is not the parent company of another of the investigated parties, COMAUTO, and that it does not market Toyota vehicles. CONDE argues in the context of its response to the PCH and reiterates in the allegations to the PR, that the response it provided to the corresponding information request was inaccurate, and that COMAUTO is not a controlled company, either directly or indirectly, by CONDE. It also points out that it was unaware of the alleged anticompetitive practice carried out by COMAUTO and that from the reference in the documents included in the file that CONDE has experience regarding how ANT's services operate, it cannot be inferred that CONDE had knowledge of the systematic and methodology of the alleged cartel.</w:t>
      </w:r>
    </w:p>
    <w:p>
      <w:r>
        <w:t>Response from the Competition Chamber:</w:t>
        <w:br/>
        <w:t>As the DC points out in its resolution proposal, as a result of the request made to both CONDE and COMAUTO regarding the existing control relationship between them, for the purposes of assessing the possible joint responsibility of CONDE, it indicated that it controlled, among other companies, to</w:t>
      </w:r>
    </w:p>
    <w:p>
      <w:r>
        <w:rPr>
          <w:b/>
        </w:rPr>
        <w:t>[Pages 64–66]</w:t>
      </w:r>
    </w:p>
    <w:p>
      <w:r>
        <w:t>degree of detail que podría permitir la identificación de las empresas implicadas.</w:t>
      </w:r>
    </w:p>
    <w:p>
      <w:r>
        <w:t>- La información sobre los precios de venta de los vehículos de motor de la marca TOYOTA en el mercado de la distribución de vehículos de motor, así como los márgenes de beneficio obtenidos por los concesionarios en relación a los modelos Yaris Hibrido, Prius, Prius+, Auris Hibrido y Auris Gasolina/Gasoil, de los años 2012, 2013 y 2014.</w:t>
      </w:r>
    </w:p>
    <w:p>
      <w:r>
        <w:t>- Los datos relativos a las promociones y descuentos aplicados por los concesionarios de la marca TOYOTA en el mercado de la distribución de vehículos de motor, en relación a los modelos Yaris Hibrido, Prius, Prius+, Auris Hibrido y Auris Gasolina/Gasoil, de los años 2012, 2013 y 2014.</w:t>
      </w:r>
    </w:p>
    <w:p>
      <w:r>
        <w:t>- La información sobre los contratos de distribución de los concesionarios con la marca TOYOTA, en la medida en que contengan cláusulas que puedan afectar a la competencia en el mercado de la distribución de vehículos de motor.</w:t>
      </w:r>
    </w:p>
    <w:p>
      <w:r>
        <w:t>- Cualquier otra información que, por su naturaleza, pueda ser considerada confidencial y cuya divulgación pudiera perjudicar a las empresas implicadas o afectar a la competencia en el mercado.</w:t>
      </w:r>
    </w:p>
    <w:p>
      <w:r>
        <w:t>Esta declaración de confidencialidad se adoptará sin perjuicio de la obligación de las empresas de facilitar la información requerida por la DC en el marco de la investigación y de la posibilidad de que dicha información sea utilizada en el procedimiento administrativo correspondiente, siempre que se garantice la confidencialidad de la misma.</w:t>
      </w:r>
    </w:p>
    <w:p>
      <w:r>
        <w:rPr>
          <w:b/>
        </w:rPr>
        <w:t>[Pages 67–69]</w:t>
      </w:r>
    </w:p>
    <w:p>
      <w:r>
        <w:t xml:space="preserve">corresponding to the turnover related to the market of the distribution of motor vehicles of the TOYOTA brand regarding the Yaris Hybrid, Prius, Prius+, Auris Hybrid, and Auris Gasoline/Diesel models, from the years 2012, 2013, and 2014, as they are presented with a high degree of disaggregation and with sensitive information, from the following companies: A.E. LLORENTE, S.A. (folios 6713-6719), COMAUTO SUR, S.A. (folios 6768-6773), M. CONDE, S.A. (folios 6776-6777), HERBAMOTOR, S.A. (folios 6764-6767), HISPANO JAPONESA MOTOR, S.L. (folios 6720-6727), JULIÁN GÓMEZ RODRÍGUEZ, S.A. (folios 6728-6735), KOBE MOTOR, S.L. (folios 6789-6793), KURUMA SPORT, S.A. (folios 6745-6752), MADRID CARS 2000, S.A. (folios 6782-6786), MOTOR ARJONA, S.L. (folios 6736-6742) and SUPRA GAMBOA, S.A. (folios 6760-6763). </w:t>
        <w:br/>
        <w:t xml:space="preserve">- Information related to commercial data contained in allegations to the PR from the following companies: COMAUTO SUR (folios 4985-5039), HERBAMOTOR (folios 5196-5198), KURUMA (folios 5314-5338), A.E. LLORENTE (folios 5682-5683), HISPANO JAPONESA MOTOR (folios 5823-5824), MOTOR ARJONA S.L (folios 5964-5965), JUGORSA (folios 6105-6106) and SUPRA GAMBOA (folios 6306-6333). </w:t>
        <w:br/>
        <w:t xml:space="preserve">SIXTH.- ASSESSMENT OF THE COMPETITION CHAMBER OF THE COUNCIL </w:t>
        <w:br/>
        <w:t xml:space="preserve">In accordance with the above-mentioned grounds, this Competition Chamber considers that it has been established that the companies referred to in this resolution committed an infringement consisting of a practice prohibited by Article 1 of the LDC. </w:t>
        <w:br/>
        <w:t xml:space="preserve">The infringement consists of the adoption and implementation of agreements on price fixing and other commercial conditions and the exchange of sensitive information between the dealerships of TOYOTA vehicles, A.E. LLORENTE, S.A., COMAUTO SUR, S.A., and jointly attributable to M. CONDE, S.A., HERBAMOTOR, S.A., HISPANO JAPONESA MOTOR, S.L., JULIÁN GÓMEZ RODRÍGUEZ, S.A., KOBE MOTOR, S.L., KURUMA SPORT, S.A., MADRID CARS 2000, S.A., MOTOR ARJONA, S.L. and SUPRA GAMBOA, S.A., with the collaboration of ANT SERVICALIDAD, S.L. </w:t>
        <w:br/>
        <w:t xml:space="preserve">The TOYOTA brand dealerships involved, through contacts and meetings between representatives of these independent dealerships of the brand in the so-called "Madrid Zone," with the collaboration of A.N.T. SERVICALIDAD, S.L. have carried out a practice contrary to competition rules through the commission of unlawful conduct in the market for the distribution of passenger motor vehicles of the TOYOTA brand, consisting of price-fixing agreements, continuous exchange of sensitive information over time from November 2012 to June 2013. </w:t>
        <w:br/>
        <w:t xml:space="preserve">The conjunction of all the cited elements leads us to the conclusion that we are facing practices constitutive of a cartel, as the necessary prerequisites contained in the Fourth Additional Provision of the LDC are met. Regarding the subjective element required, it is evident that the parties in this procedure are companies competing in the same market for the distribution of passenger motor vehicles of the TOYOTA brand and that they have carried out agreements during a period that includes at least from November 2012 until the inspections by the DC in June 2013. These agreements, consisting mainly of price fixing, through the establishment of maximum discounts, and commercial conditions, appraisal prices or gifts offered, as well as the exchange of strategic and sensitive information, constitute conduct that both Article 1 of the LDC and the Fourth Additional Provision of the same Law foresee as prohibited agreements deserving of sanction. It has also been established that the companies adopted their agreements with manifest concealment and secrecy. </w:t>
        <w:br/>
        <w:t xml:space="preserve">In relation to the exchange of sensitive information, this Chamber considers that we are dealing with information that fully fits the characteristics of a collusive agreement restricting competition described in the Guidelines on the applicability of Article 101 of the TFEU to horizontal cooperation agreements. </w:t>
        <w:br/>
        <w:t xml:space="preserve">The aforementioned Guidelines establish that the exchange between competitors of strategic data, that is, data that reduces the strategic uncertainty of the market, is more likely to fall within the scope of Article 101 than exchanges of other types of information. The exchange of valuable and sensitive data can lead to restrictive effects on competition as it reduces the independence of the parties to make decisions, diminishing their incentives to compete. Strategic information may refer to prices (i.e., actual prices, discounts, increases, reductions or rebates), customer lists, production costs, quantities, turnover, sales, capacities, qualities, marketing plans, risks, investments, technologies and R&amp;D programs and their results. </w:t>
        <w:br/>
        <w:t xml:space="preserve">The exchange of information analyzed here (commercial policy, prices, discounts, gifts, commercial conditions, product models to which they apply) therefore fits into the category of strategic information likely to produce an evident impact on the relevant market subject to this file. It is undoubtedly, in conclusion, that the type of information exchanged here must be considered sensitive and strategic information of the dealerships, so its disclosure to the rest of the competitors breaks with the logic of business conduct and undermines the basic rules of the proper competitive functioning of the market. </w:t>
        <w:br/>
        <w:t xml:space="preserve">For the purposes of this Law, a cartel is understood to be any secret agreement between two or more competitors whose object is the fixing of prices, production or sales quotas, market sharing, including fraudulent bidding, or the restriction of imports or exports. </w:t>
        <w:br/>
        <w:t xml:space="preserve">From the documentation in the file from which this resolution arises, it is deduced that the parties carried out the described conduct, with the content of the emails obtained during the inspections, the handwritten notes of the companies, as well as the information provided in the responses to the information requests and the accreditation of other types of conduct carried out by the companies that are usually characteristic of habitual conduct constitutive of a cartel, such as the deliberate concealment of unlawful agreements, being unequivocal proof of this. </w:t>
        <w:br/>
        <w:t xml:space="preserve">Although both price-fixing agreements and the exchange of sensitive information constitute restrictions of competition by their object and this is sufficient to appreciate the administrative illicit and determine the corresponding responsibilities, it has also been proven that both conducts have caused harmful effects on effective competition in the market for the distribution of passenger motor vehicles of the TOYOTA brand through independent dealerships of the manufacturer, by reducing the uncertainty of the companies involved regarding the offers that their competitors could make regarding the brand's vehicles. </w:t>
        <w:br/>
        <w:t xml:space="preserve">Finally, it should be noted that the established conduct constitutes a single and continuous infringement contrary to competition law, of a very serious nature, in accordance with Article 62.4(a) of the LDC, which considers very serious infringements the development of collusive conduct typified in Article 1 of the LDC consisting of cartels or other agreements, decisions or collective recommendations, concerted practices or consciously parallel conduct among competing companies. </w:t>
        <w:br/>
        <w:t xml:space="preserve">SEVENTH.- DETERMINATION OF THE SANCTION </w:t>
        <w:br/>
        <w:t xml:space="preserve">7.1.- Responsibility of the companies. </w:t>
        <w:br/>
        <w:t xml:space="preserve">The responsibility of the companies referred to in the Third Legal Basis of this Resolution is, in the opinion of this Competition Chamber, unquestionable in light of the established facts and the evidence and other elements of judgment contained in the file, so this Chamber agrees with the attribution of responsibility made by the DC in its resolution proposal. </w:t>
        <w:br/>
        <w:t>Having established and qualified the conduct contrary to the LDC, Article 63.1 of the same norm conditions the exercise of the sanctioning power regarding fines by the Competition Authority on the presence in the infringing subject of intent or negligence in the commission of the imputed conduct.</w:t>
      </w:r>
    </w:p>
    <w:p>
      <w:r>
        <w:rPr>
          <w:b/>
        </w:rPr>
        <w:t>[Pages 70–72]</w:t>
      </w:r>
    </w:p>
    <w:p>
      <w:r>
        <w:t>In the present case, the Chamber considers that it has been widely evidenced that the dealerships involved, as well as ANT as a collaborator, were aware of and conscious of the unlawfulness of the conduct carried out during the analyzed period. Thus, the secret nature of the agreements, the existence of handwritten notes, the use of specific monitoring measures to ensure compliance with the adopted agreements, the consideration of the possibility of imposing sanctions or fines on those who fail to comply with the agreements, and the personal and economic capacity of the companies are sufficient elements to consider the existence of a conscious and sought action by the parties, without any of the companies being able to claim ignorance of the unlawful behavior. Particularly revealing are the references to the confidential nature of ANT's methodology, given the "danger" of this type of studies, as well as the consideration of the aforementioned fines for cases of deviation from what was agreed, although it is expressly agreed not to impose them.</w:t>
      </w:r>
    </w:p>
    <w:p>
      <w:r>
        <w:t>From the documentation in the file, it follows that both the involved dealerships and ANT actively contributed to the implementation of the conduct; that there is a sufficiently concrete and determining causal link between their activity and the conduct; and that there is also a willingness to participate in the restrictive practice, as well as knowledge of the unlawful behaviors of the other participants.</w:t>
      </w:r>
    </w:p>
    <w:p>
      <w:r>
        <w:t>7.2.- Criteria for determining the fine and applicable law.</w:t>
      </w:r>
    </w:p>
    <w:p>
      <w:r>
        <w:t>Article 62.4(a) of the LDC establishes that behaviors consisting of cartels or other agreements, decisions, or collective recommendations, concerted practices, or consciously parallel practices among competing companies, whether real or potential, will be classified as very serious infringements.</w:t>
      </w:r>
    </w:p>
    <w:p>
      <w:r>
        <w:t>Article 63.1 of the LDC grants the CNMC the power to sanction companies and their associations that, deliberately or through negligence, infringe the prohibition of collusive agreements. According to repeated jurisprudence, the principle of culpability is inherent to cartel infringements, but in addition to the proven facts of this Resolution, it is evidenced that the companies were aware of the unlawful nature of their anticompetitive conduct.</w:t>
      </w:r>
    </w:p>
    <w:p>
      <w:r>
        <w:t>Subsection (c) of the same article states that very serious infringements may be punished with a fine of up to 10 percent of the total turnover of the infringing company in the financial year immediately preceding the imposition of the fine, and in cases where it is not possible to determine the turnover, subsection 3(c) states that the amount of the fine will be more than 10 million euros.</w:t>
      </w:r>
    </w:p>
    <w:p>
      <w:r>
        <w:t>Article 64 of the LDC states that the amount of the sanctions will be determined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apply to each of the responsible companies.</w:t>
      </w:r>
    </w:p>
    <w:p>
      <w:r>
        <w:t>In their allegations, COMAUTO (pages 5036 and following) and ANT (pages 5272-3), citing various rulings from the National Court, argue that the maximum sanction that can be imposed would be 10% of the turnover obtained by the company in the economic activity area in which the infringement occurred, in the financial year prior to the imposition of the fine.</w:t>
      </w:r>
    </w:p>
    <w:p>
      <w:r>
        <w:t>On this issue and on the nature of the 10% (whether it is the maximum of a sanctioning range, or whether it should be considered as a limit or leveling threshold), the Supreme Court has recently ruled in its judgment of January 29, 2015 (Appeal 2872/2013).</w:t>
      </w:r>
    </w:p>
    <w:p>
      <w:r>
        <w:t>Firstly, the Supreme Court states in FD 8 of the aforementioned Judgment that the expression "total turnover" in Article 63.1 of the LDC, as the basis for calculating the percentage of the fine established for each type of infringement (up to 10% for very serious infringements, up to 5% for serious infringements, and up to 1% for minor infringements), refers to the turnover of all the activities of the company and not exclusively to that corresponding to the market affected by the conduct. In this regard, it is worth highlighting the following:</w:t>
      </w:r>
    </w:p>
    <w:p>
      <w:r>
        <w:t>"The use of a magnitude such as 'turnover' to set the maximum of monetary sanctions proportionally based on it is, in our opinion, not susceptible to reproach of unconstitutionality, whether that expression is interpreted in one sense (that of the majority of the Chamber) or in another (that of the minority vote). It is an expressive factor of the economic capacity of the infringing subject and, to that same extent, suitable for deducing from it the intensity of the sanctioning response that consists of the monetary sanction. The legislator has a broad capacity for normative configuration to choose that factor as a reference module in the calculation of fines, just as it could have opted for others (for example, the profit obtained as a result of the infringement).</w:t>
      </w:r>
    </w:p>
    <w:p>
      <w:r>
        <w:t>The turnover or sales figure is an accounting data or indicator that reveals, we repeat, the economic capacity and situation of the infringing subject and, to that same extent, allows calculating a priori the maximum specific impact that a monetary sanction can have for it. […]</w:t>
      </w:r>
    </w:p>
    <w:p>
      <w:r>
        <w:t>Starting from the premise we have just stated, it is up to the legislator to decide whether the "turnover" on which the maximum percentage of the sanctioning scale should be applied is, in the case of companies with activity in several markets, either the global or "total" figure, or the partial figure corresponding to one or several of their areas of economic activity. […]</w:t>
      </w:r>
    </w:p>
    <w:p>
      <w:r>
        <w:t>The expression "turnover" is not in itself conceptually different from the expression "total turnover," as has been rightly pointed out. However, when the legislator of 2007 expressly added the adjective "total" to the noun "turnover" that was already present, without adjectives, in the analogous provision of the previous Law (this has happened with Article 63.1 of Law 15/2007 compared to the wording of Article 10.1 of Law 16/1989), what it wanted to emphasize is that the turnover figure used as the basis for the percentage is not limited to a part but to the "whole" of that turnover. In other words, with the notion of "total turnover," it has opted to unify the concept so that it is not possible to distinguish between aggregated or disaggregated gross income by branches of activity of the infringing company. Legislative intent consistent with this interpretation that, as the dissenting vote rightly recalls, rejected the proposed amendments to the text, presented in the preparatory works of its elaboration, which specifically attempted to reduce the sales volume to only those made in the market affected by the infringement."</w:t>
      </w:r>
    </w:p>
    <w:p>
      <w:r>
        <w:t>Secondly, the High Court rejects the conception of the percentage limits provided in Article 63.1 of the LDC as "leveling thresholds" (or "extrinsic limits," as the Supreme Court refers to them in the judgment) postulated so far by the Competition Authority in line with the European Commission. According to the judgment, such percentages should be conceived as the maximum level of a sanctioning range in which the sanctions, depending on the severity of the conduct, should be specified. Thus, it can be read in FD 5:</w:t>
      </w:r>
    </w:p>
    <w:p>
      <w:r>
        <w:t>"The interpretation of Article 63.1 of Law 15/2007 according to the usual hermeneutic criteria in Law leads this Chamber to conclude that the percentages set as upper limits of the possible fines (that is, one, five, or ten percent of the 'total turnover of the infringing company,' depending on whether it concerns minor, serious, or very serious infringements respectively) constitute, in each case, the ceiling of the monetary sanction within a scale that, starting from the minimum value, culminates in the corresponding percentage. The preposition 'up to' -which is repeated three times, once for each percentage, in Article 63.1 of Law 15/2007- denotes the term or maximum limit of the sales volume usable for the calculation of the sanction […].</w:t>
      </w:r>
    </w:p>
    <w:p>
      <w:r>
        <w:rPr>
          <w:b/>
        </w:rPr>
        <w:t>[Pages 73–75]</w:t>
      </w:r>
    </w:p>
    <w:p>
      <w:r>
        <w:t>[…]</w:t>
        <w:br/>
        <w:t>Article 63 of Law 15/2007 sets the limits for the imposition of sanctions in each of the three categories of infractions not in terms of "leveling threshold" but in terms of maximum figures of a scale of monetary sanctions within which the fine must be individualized. These are percentage figures that mark the maximum severity of the sanction applicable to the infringing conduct that, within the respective category, has the highest unlawful density. Each of these three percentages, precisely because of their quality as the ceiling or upper limit of the sanctioning response applicable to the most reprehensible infringement possible within its category, must serve as a reference to calculate the fine that must be imposed on the rest of the infractions from them and downwards.</w:t>
      </w:r>
    </w:p>
    <w:p>
      <w:r>
        <w:t>This conception of Article 63.1 leads the Court to maintain that, to the extent that the sanctioning limits present in that article must be understood as the upper limit of a scale of sanctions, the calculation methodology underlying the Communication on the quantification of sanctions derived from infractions of Articles 1, 2, and 3 of Law 15/2007, of July 3, on the Defense of Competition and Articles 81 and 82 of the Treaty of the European Community (current Articles 101 and 102 of the TFEU), published in the BOE on February 11, 2009, and which uses the interpretation of Article 63.1 of the LDC as an extrinsic threshold or limit, is not acceptable.</w:t>
      </w:r>
    </w:p>
    <w:p>
      <w:r>
        <w:t>As the High Court recalls, in the exercise of the graduation of sanctions, the Competition Authority must continue to take into account the factors listed in Article 64.1 of the LDC, previously cited, among them, the size and characteristics of the market affected by the infringement, its duration, or the illicit benefits obtained as a result of it. However, although the specification of such graduation criteria in a Communication is not per se rejectable (its purpose, even, is "praiseworthy" for "providing a greater level of predictability to the imposition of monetary sanctions" [FD 9]), the method as a whole leads to a mechanism contrary to the interpretation that the High Court makes of Article 63.1.</w:t>
      </w:r>
    </w:p>
    <w:p>
      <w:r>
        <w:t>In line with the above, FD 9 of the judgment insists on the necessary deterrence and proportionality that must guide the exercise of the sanctioning power, along with the precise attention to the graduation criteria previously pointed out: “[In Article 64.1 of Law 15/2007] the administrative authority -and the judge in its full jurisdictional review function- is offered sufficient coverage to consider, as a relevant factor among others, the figure or volume of business of the infringing company in the specific sector or market where the conduct has occurred.</w:t>
      </w:r>
    </w:p>
    <w:p>
      <w:r>
        <w:t>Indeed, Article 64.1 of Law 15/2007 requires that, within the sanctioning scale -interpreted in the sense we have already declared- the amount of the fine be adjusted based on criteria such as the size and characteristics of the market affected by the infringement, the share that the infringing company has within it, and the illicit benefits obtained by it as a result of the infringement. These are criteria that unequivocally refer to the specific distortion of competition that has occurred in each case, that is, to the one consummated within a specific sector or market where the sanctioned entity operates, which may or may not simultaneously operate in other markets.</w:t>
      </w:r>
    </w:p>
    <w:p>
      <w:r>
        <w:t>If it is valid to use the "total business volume" of the entity for calculating the maximum percentage applicable to the most serious of the possible conducts, in the case of "multiproduct" companies, the detailed evaluation of the specific infringing conduct, within the specific sector of activity and according to those criteria, will also allow for compliance with the requirements of the principle of proportionality in the sense to which the reflections of the Chamber of instance in its majority opinion tend, that is, taking into account that element along with the rest included in Article 64.1 of Law 15/2007.</w:t>
      </w:r>
    </w:p>
    <w:p>
      <w:r>
        <w:t>This Chamber is aware of the difficulty of reconciling, in a single act and with the only rules contained in Articles 63 and 64 of Law 15/2007, the demands of effectiveness and deterrent capacity of sanctions in the field of competition defense, on one hand, with those derived -and also unavoidable- from the principle of proportionality, on the other. […]</w:t>
      </w:r>
    </w:p>
    <w:p>
      <w:r>
        <w:t>Throughout the procedural controversy, reference has been made to the deterrent purpose of fines in the field of competition defense, a purpose that certainly corresponds to them and that, in the case of infringements of Articles 101 and 102 of the TFEU, is inescapable for the effectiveness of both, even when applied by the national authorities of the Member States. But such a character is neither exclusive to this sector of the legal order nor can it be established as the prevailing point of reference for calculation in a specific case, displacing the principle of proportionality.</w:t>
      </w:r>
    </w:p>
    <w:p>
      <w:r>
        <w:t>The administrative sanctions provided for the exercise of economic activities -in the field of competition law which, despite some reductionist positions, does not differ in this respect from other sectors of the sanctioning legal order- must be set at a level sufficiently deterrent so that, when making their own decisions, companies do not aspire to obtain economic benefits derived from the infringements that turn out to be greater than the costs (the sanctions) inherent to the repression of those. If, in addition to this equation, the legislator considers it appropriate to increase the "deterrent effect" to higher levels, it has the normative capacity to do so within the respect for constitutional requirements.”</w:t>
      </w:r>
    </w:p>
    <w:p>
      <w:r>
        <w:t>All of this, ultimately, has forced this Chamber to reconsider the method previously followed for determining sanctions and its adequacy to the postulates of the aforementioned judgment, although, as the High Court has indicated, the criteria used must in any case be those collected in Article 64 of the LDC.</w:t>
      </w:r>
    </w:p>
    <w:p>
      <w:r>
        <w:t>7.3. Elements of graduation leading to specify the scale of sanction.</w:t>
      </w:r>
    </w:p>
    <w:p>
      <w:r>
        <w:t>As already noted, the infringement being analyzed here is classified by the LDC as very serious, to which a fine of up to 10% of the total business volume of the infringers in the immediately preceding year to the imposition of the sanctions, that is, 2014, is associated.</w:t>
      </w:r>
    </w:p>
    <w:p>
      <w:r>
        <w:t>On the other hand, as the Supreme Court points out, this 10% must be conceived as the maximum limit of a sanctioning scale or arc. This percentage “marks the maximum of the sanctioning rigor for the sanction corresponding to the infringing conduct that, within the respective category, has the highest unlawful density.” Given this, the 10% must be reserved as the “sanctioning response applicable to the most reprehensible infringement of the possible ones within its category.” Consequently, based on the graduation criteria of Article 64.1 of the LDC and its manifestation in this specific file, it will be necessary to determine the percentage from which, within the minimum and maximum (10%) of the sanctioning scale provided for in the Law, to start in order to subsequently individualize the corresponding sanction for each responsible subject.</w:t>
      </w:r>
    </w:p>
    <w:p>
      <w:r>
        <w:t>It is advisable in this respect to take into account the general or global factors of the conduct, leaving for a later analysis and specification (individualization) the specific factors regarding the conduct of each of the infringers, including, where appropriate, aggravating and mitigating circumstances of an individual nature.</w:t>
      </w:r>
    </w:p>
    <w:p>
      <w:r>
        <w:t>Some elements allow considering the conduct as especially harmful and damaging within those prohibited by Article 1 of the LDC. In this sense, the conduct directly affects the formation of prices by the companies involved, in addition to also incorporating the exchange of other sensitive information. The conduct, moreover, has been carried out in an institutionalized manner through the collaboration of ANT, continuous monitoring and control of the degree of compliance with the agreements has been carried out, and mechanisms for retaliation or penalization for those participants have been foreseen.</w:t>
      </w:r>
    </w:p>
    <w:p>
      <w:r>
        <w:rPr>
          <w:b/>
        </w:rPr>
        <w:t>[Pages 76–78]</w:t>
      </w:r>
    </w:p>
    <w:p>
      <w:r>
        <w:t>that deviated from them, which constitutes particularly reproachable circumstances in a conduct such as the one described.</w:t>
      </w:r>
    </w:p>
    <w:p>
      <w:r>
        <w:t>However, other important elements of the conduct operate in the opposite direction and lead to adjusting the fine below the upper range of the sanctioning scale. Firstly, Article 64.1(c) of the LDC refers to the "scope of the infringement." According to the analysis presented, the territorial scope of the conduct is limited (as opposed to a scenario where the conduct took place with a presence throughout the national territory). Furthermore, it is noted that, within its area of action in the "Madrid zone," the conduct has been carried out by a significant percentage of the Toyota brand dealers established in the area, which, however, has a smaller share when other relevant brands are included in the analysis.</w:t>
      </w:r>
    </w:p>
    <w:p>
      <w:r>
        <w:t>Secondly, Article 64.1(d) of the LDC refers to the duration of the conduct. In this case, and in contrast to other files analyzed and resolved by this Competition Chamber of the Council, a particularly short duration of the cartel (seven months) is noted, which will also be reflected in a lesser scope of the conduct.</w:t>
      </w:r>
    </w:p>
    <w:p>
      <w:r>
        <w:t>Following the aforementioned ruling of the Supreme Court, the set of factors presented here allows for a specification, within the legal scale that ranges from the minimum amount to 10% of the total turnover of each responsible party in 2014, of the assessment of the unlawful density of the conduct, and leads this Competition Chamber of the Council to consider that the sanctioning reproach in this file must be effectively deterrent, although the principle of proportionality requires that the sanction not be placed in the upper range of the scale. All this without prejudice to the adjustments upwards or downwards that correspond to be made in the phase of individualization of the sanctions according to the conduct of each company.</w:t>
      </w:r>
    </w:p>
    <w:p>
      <w:r>
        <w:t>7.4. Individualization of the sanctions.</w:t>
      </w:r>
    </w:p>
    <w:p>
      <w:r>
        <w:t>In the absence of mitigating and aggravating circumstances (Articles 64.2 and 64.3), the individualization of the sanction for each of the responsible parties must be made taking into account the specific factors of graduation susceptible to individualization.</w:t>
      </w:r>
    </w:p>
    <w:p>
      <w:r>
        <w:t>Firstly, based on Article 64.1(a) of the LDC, it is appropriate to consider the size of the company's action in the market affected by the infringement. The responsible companies have been required to provide the value of the market affected by the conduct, that is, the value corresponding to the distribution of five models of the Toyota brand vehicle (Yaris Hybrid, Prius, Prius+, Auris Hybrid, and Auris Gasoline/Diesel) (private channel), during the infringing period attributable to each company. For these purposes, it is considered that the period runs from November 2012 (inclusive) to June 2013 (exclusive, since the end date of the conduct coincides with the inspection of June 4).</w:t>
      </w:r>
    </w:p>
    <w:p>
      <w:r>
        <w:t>The total value of the affected market during the duration period, indicated in the previous paragraph, of the conduct attributed to each of the companies is reproduced below. The last column adds the percentage or share of each of the companies based on their sales during the months of the conduct attributed in the affected market.</w:t>
      </w:r>
    </w:p>
    <w:p>
      <w:r>
        <w:t>Value of Market Share of</w:t>
        <w:br/>
        <w:t>Company Affected in the Conduct</w:t>
        <w:br/>
        <w:t>(in thousands of €) (%)</w:t>
        <w:br/>
        <w:t>A.E. LLORENTE, S.A. 1,579 10.0</w:t>
        <w:br/>
        <w:t>COMAUTO SUR, S.A. 1,859 11.7</w:t>
        <w:br/>
        <w:t>HERBAMOTOR, S.A. 1,971 12.4</w:t>
        <w:br/>
        <w:t>HISPANO JAPONESA MOTOR, S.L. 626 4.0</w:t>
        <w:br/>
        <w:t>JULIÁN GÓMEZ RODRÍGUEZ, S.A. 560 3.5</w:t>
        <w:br/>
        <w:t>KOBE MOTOR, S.L. 1,713 10.8</w:t>
        <w:br/>
        <w:t>KURUMA SPORT, S.A. 980 6.2</w:t>
        <w:br/>
        <w:t>MADRID CARS 2000, S.A. 1,286 8.1</w:t>
        <w:br/>
        <w:t>MOTOR ARJONA, S.L. 1,581 10.0</w:t>
        <w:br/>
        <w:t>SUPRA GAMBOA, S.A. 3,693 23.3</w:t>
      </w:r>
    </w:p>
    <w:p>
      <w:r>
        <w:t>The highest turnover in the affected market by the conduct denotes a greater intensity or participation in the conduct and, in particular, a greater potential illicit gain. Therefore, it is considered appropriate to the principle of proportionality and to the necessary individualization of the fines to adjust the percentage of the sanction upwards or downwards based on the greater participation of each company in the overall turnover in the affected market by the conduct.</w:t>
      </w:r>
    </w:p>
    <w:p>
      <w:r>
        <w:t>Secondly, regarding the duration of the conduct (Article 64.1(d) of the LDC), since this is identical in all cases (7 months), it is not possible to introduce elements of differentiation or individualization of the sanction for this reason, with the exception of HERBAMOTOR. As anticipated in the Fourth Legal Basis, based on the email dated April 19, 2013, which is in the file, it is evident the willingness of this company to separate from the visit service carried out by ANT for the control of compliance with the agreements, which is why the conduct is considered accredited from 2011 until that date of April 19, which marks the end of the conduct.</w:t>
      </w:r>
    </w:p>
    <w:p>
      <w:r>
        <w:t>Regarding ANT, the consideration of its determining role, not as a mere assistant or passive collaborator of the cartel, but as a true active facilitator and key instrument of the exchange of information, inducing and proposing stabilization measures (i.e., follow-up or retaliation) knowing their unlawfulness, leads to aggravating its fine compared to that determined for the dealers.</w:t>
      </w:r>
    </w:p>
    <w:p>
      <w:r>
        <w:t>7.5. The illicit benefit as a criterion of proportionality.</w:t>
      </w:r>
    </w:p>
    <w:p>
      <w:r>
        <w:t>Taking into account the criterion of the illicit benefit obtained by the infringing companies (Article 64.1(f) of the LDC) is particularly important in order to avoid "that the commission of the typified infringements does not result in being more beneficial for the infringer than compliance with the violated norms" (Article 131.2 of Law 30/1992), a criterion to which the aforementioned ruling of the Supreme Court pays special attention by stating that "the administrative sanctions provided for the exercise of economic activities [...] must be set at a level sufficiently deterrent so that, when making their own decisions, companies do not aspire to obtain economic benefits derived from the infringements that turn out to be greater than the costs (the sanctions) inherent to the repression of those."</w:t>
      </w:r>
    </w:p>
    <w:p>
      <w:r>
        <w:t>The most authoritative economic doctrine has consistently and foundedly pointed out the enormous damage that collusion between competing companies causes both in the economic sector in which it takes place and in the welfare of consumers. These damages arise from the anticompetitive conduct and are related to the illicit benefits obtained by companies that restrict competition, although the damages produced may be greater than the illicit benefits obtained by the members of the cartel. Therefore, focusing on the illicit benefit is a prudent stance because it implies starting from a default estimate of the illegitimate effects of the infringement.</w:t>
      </w:r>
    </w:p>
    <w:p>
      <w:r>
        <w:t>Scientific works that attempt to assess the illicit benefits obtained by participants in anticompetitive conduct usually start from some estimate of the variation in prices produced by the collusive conduct.</w:t>
      </w:r>
    </w:p>
    <w:p>
      <w:r>
        <w:rPr>
          <w:b/>
        </w:rPr>
        <w:t>[Pages 79–81]</w:t>
      </w:r>
    </w:p>
    <w:p>
      <w:r>
        <w:t>is what gives rise to the illicit profits of companies. The estimates vary, depending on specific economic sectors and the particular circumstances of each case. Several recent studies offer a general overview of the state of the issue and conclude that the average price variation caused by cartels operating in Europe can be estimated between 15% and 20%. In turn, to obtain an estimate of the illicit profit, that estimated percentage of price variation, caused by the anticompetitive conduct, is applied to the volume of the affected market during the infringement. Thus, the volume of the affected market during the anticompetitive conduct constitutes a valid reference point for estimating the illicit profit obtained by companies as a result of the infringement. Based on these and other similar studies, the Competition Authorities of various countries use different percentages as a reference to estimate the illicit profit and the potential damage associated with collusive conduct. For very serious infringements, in most countries, those percentages are above 10% of the volume of the affected market during the conduct, as a general presumption for setting that illicit gain and potential damage. This is clearly reflected in the Fine Communication of the German Competition Authority (Bundeskartellamt).</w:t>
      </w:r>
    </w:p>
    <w:p>
      <w:r>
        <w:t>Regarding the case at hand in this Resolution, the anticompetitive conduct would translate into a reduction of the uncertainty that the dealership companies would have faced, in the absence of the cartel, regarding when, how, and to what extent each of them would apply discounts on vehicle prices, which in turn would result in a reduction of the significance of the discounts applied as a commercial tool and in higher retail prices than would have occurred in the absence of the collusive agreements.</w:t>
      </w:r>
    </w:p>
    <w:p>
      <w:r>
        <w:t>While 10% of the volume of the affected market can be considered a valid and prudent starting point for generally determining the illicit profit of anticompetitive conduct, as previously noted, the structure of the car dealership sector, analyzed by the Competition Directorate, allows for the presumption that the conduct developed would result in an illicit profit of less than 10 percentage points on sales, making it more prudent to set this reference estimate in the range of 5-10%.</w:t>
      </w:r>
    </w:p>
    <w:p>
      <w:r>
        <w:t>Based on such premises, the following table shows, for illustrative purposes, a prudent estimate of the ranges of illicit profit that can be used as a reference for the modulation of sanctions, which is obtained by applying 5% and 10% respectively on the value of the market affected by the conduct of each of the companies:</w:t>
      </w:r>
    </w:p>
    <w:p>
      <w:r>
        <w:t>Reference range of illicit profit</w:t>
        <w:br/>
        <w:t>Company (5-10% on the value of the affected market, in thousands of €)</w:t>
        <w:br/>
        <w:t>A.E. LLORENTE, S.A 79 – 158</w:t>
        <w:br/>
        <w:t>COMAUTO SUR, S.A 93 – 186</w:t>
        <w:br/>
        <w:t>HERBAMOTOR, S.A 98 – 197</w:t>
        <w:br/>
        <w:t>HISPANO JAPONESA MOTOR, S.L. 31 – 63</w:t>
        <w:br/>
        <w:t>JULIÁN GÓMEZ RODRIGUEZ, S.A 28 – 56</w:t>
        <w:br/>
        <w:t>KOBE MOTOR, S.L 86 – 171</w:t>
        <w:br/>
        <w:t>KURUMA SPORT, S.A 49 – 98</w:t>
        <w:br/>
        <w:t>MADRID CARS 2000, S.A 64 – 129</w:t>
        <w:br/>
        <w:t>MOTOR ARJONA, S.L 79 – 158</w:t>
        <w:br/>
        <w:t>SUPRA GAMBOA, S.A. 185 – 369</w:t>
      </w:r>
    </w:p>
    <w:p>
      <w:r>
        <w:t>It is necessary to emphasize that the 5-10% range is a reference interval, or a general presumption adapted to the case referred to in this Resolution, which can be used without reservation because the illicit profit estimated in this way is not used directly for determining the sanction, but only to modulate the fine downwards in comparison with that estimated illicit profit. If the sanction is disproportionate in comparison with the estimated illicit profit for the infringement, an adjustment of the sanction will be necessary to ensure the proportionality required by the ruling of the Supreme Court of January 29, 2015.</w:t>
      </w:r>
    </w:p>
    <w:p>
      <w:r>
        <w:t>It is also important to emphasize that proportionality does not require that the sanction be lower than the estimated illicit profit used as a reference, which is limited to acting as a modulating criterion. When anticompetitive conduct has a short duration, as is the case here, the proportion that the sanction represents in relation to the illicit profit will necessarily be higher than when the illicit conduct has a long duration, and this unequal treatment is precisely what will ensure the proportionality of the sanctions for the most serious and prolonged infringements, especially those committed by multi-product companies.</w:t>
      </w:r>
    </w:p>
    <w:p>
      <w:r>
        <w:t>7.6. Final amount of the fines</w:t>
      </w:r>
    </w:p>
    <w:p>
      <w:r>
        <w:t>The following table shows the total turnover of the companies involved in 2014; the appropriate sanctioning rate for the illicit conduct of each company, within the sanctioning range indicated in Article 63.1 of the LDC, which has been set taking into account the considerations contained in this Legal Basis; and the monetary sanction resulting from applying the sanctioning rate to the total turnover in the year prior to the sanction.</w:t>
      </w:r>
    </w:p>
    <w:p>
      <w:r>
        <w:t>Total turnover</w:t>
        <w:br/>
        <w:t>Company Sanctioning rate Fine (in €)</w:t>
        <w:br/>
        <w:t>(VT, in €) in</w:t>
        <w:br/>
        <w:t>(%)</w:t>
        <w:br/>
        <w:t>2014</w:t>
        <w:br/>
        <w:t>A.E. LLORENTE, S.A 18,625,075 0.90 167,626</w:t>
        <w:br/>
        <w:t>A.N.T. SERVICALIDAD, S.L. 580,586 2.50 14,514</w:t>
        <w:br/>
        <w:t>COMAUTO SUR, S.A 34,909,134 0.70 244,364</w:t>
        <w:br/>
        <w:t>HERBAMOTOR, S.A 23,063,851 0.70 161,447</w:t>
        <w:br/>
        <w:t>HISPANO JAPONESA MOTOR, S.L. 8,778,730 0.60 52,672</w:t>
        <w:br/>
        <w:t>JULIÁN GÓMEZ RODRIGUEZ, S.A 11,879,670 0.50 59,398</w:t>
        <w:br/>
        <w:t>KOBE MOTOR, S.L 22,717,902 0.80 181,743</w:t>
        <w:br/>
        <w:t>KURUMA SPORT, S.A 20,275,260 0.50 101,376</w:t>
        <w:br/>
        <w:t>MADRID CARS 2000, S.A 17,697,594 0.70 123,883</w:t>
        <w:br/>
        <w:t>MOTOR ARJONA, S.L 16,760,929 0.90 150,848</w:t>
        <w:br/>
        <w:t>SUPRA GAMBOA, S.A. 41,716,400 1.00 417,164</w:t>
      </w:r>
    </w:p>
    <w:p>
      <w:r>
        <w:t>In virtue of this, having seen the cited articles and the others of general application, the Competition Chamber of the National Commission of Markets and Competition,</w:t>
        <w:br/>
        <w:t>HAS RESOLVED</w:t>
      </w:r>
    </w:p>
    <w:p>
      <w:r>
        <w:t>FIRST.- To declare that in the present file an infringement of Article 1 of Law 15/2007, of July 3, on the Defense of Competition, has been accredited, in the terms set out in the Sixth Legal Basis of this Resolution.</w:t>
      </w:r>
    </w:p>
    <w:p>
      <w:r>
        <w:rPr>
          <w:b/>
        </w:rPr>
        <w:t>[Pages 82–84]</w:t>
      </w:r>
    </w:p>
    <w:p>
      <w:r>
        <w:t>SECOND.- In accordance with the responsibility attributed in the Legal Basis Seventh, declare the following companies responsible for the aforementioned infringements:</w:t>
      </w:r>
    </w:p>
    <w:p>
      <w:r>
        <w:t>1. A.N.T. SERVICALIDAD, S.L., as a collaborator and facilitator to ensure compliance with the agreements adopted by dealers of the TOYOTA brand in the so-called "Madrid Zone," from November 2012 to June 2013.</w:t>
        <w:br/>
        <w:t>2. A.E. LLORENTE, S.A., for its participation in the price-fixing cartel and other commercial and service conditions, as well as the exchange of commercially sensitive information, in the Madrid Zone, from November 2012 to June 2013.</w:t>
        <w:br/>
        <w:t>3. COMAUTO SUR, S.A., and jointly liable M. CONDE, S.A., for their participation in the price-fixing cartel and other commercial and service conditions, as well as the exchange of commercially sensitive information, in the Madrid Zone, from November 2012 to June 2013.</w:t>
        <w:br/>
        <w:t>4. HERBAMOTOR, S.A., for its participation in the price-fixing cartel and other commercial and service conditions, as well as the exchange of commercially sensitive information, in the Madrid Zone, from November 2012 to April 2013.</w:t>
        <w:br/>
        <w:t>5. HISPANO JAPONESA MOTOR, S.L., for its participation in the price-fixing cartel and other commercial and service conditions, as well as the exchange of commercially sensitive information, in the Madrid Zone, from November 2012 to June 2013.</w:t>
        <w:br/>
        <w:t>6. JULIÁN GÓMEZ RODRÍGUEZ, S.A., for its participation in the price-fixing cartel and other commercial and service conditions, as well as the exchange of commercially sensitive information, in the Madrid Zone, from November 2012 to June 2013.</w:t>
        <w:br/>
        <w:t>7. KOBE MOTOR, S.L., for its participation in the price-fixing cartel and other commercial and service conditions, as well as the exchange of commercially sensitive information, in the Madrid Zone, from November 2012 to June 2013.</w:t>
        <w:br/>
        <w:t>8. KURUMA SPORT, S.A., for its participation in the price-fixing cartel and other commercial and service conditions, as well as the exchange of commercially sensitive information, in the Madrid Zone, from November 2012 to June 2013.</w:t>
        <w:br/>
        <w:t>9. MADRID CARS 2000, S.A., for its participation in the price-fixing cartel and other commercial and service conditions, as well as the exchange of commercially sensitive information, in the Madrid Zone, from November 2012 to June 2013.</w:t>
        <w:br/>
        <w:t>10. MOTOR ARJONA, S.L., for its participation in the price-fixing cartel and other commercial and service conditions, as well as the exchange of commercially sensitive information, in the Madrid Zone, from November 2012 to June 2013.</w:t>
        <w:br/>
        <w:t>11. SUPRA GAMBOA, S.A., for its participation in the price-fixing cartel and other commercial and service conditions, as well as the exchange of commercially sensitive information, in the Madrid Zone, from November 2012 to June 2013.</w:t>
      </w:r>
    </w:p>
    <w:p>
      <w:r>
        <w:t>THIRD.- Impose the following fines on the responsible authors of the infringing conduct:</w:t>
      </w:r>
    </w:p>
    <w:p>
      <w:r>
        <w:t>1. A.N.T SERVICALIDAD, S.L.: 14,514 euros</w:t>
        <w:br/>
        <w:t>2. A.E. LLORENTE, S.A.: 167,626 euros</w:t>
        <w:br/>
        <w:t>3. COMAUTO SUR, S.A., and jointly M. CONDE, S.A.: 244,364 euros</w:t>
        <w:br/>
        <w:t>4. HERBAMOTOR, S.A.: 161,447 euros</w:t>
        <w:br/>
        <w:t>5. HISPANO JAPONESA MOTOR, S.L.: 52,672 euros</w:t>
        <w:br/>
        <w:t>6. JULIÁN GÓMEZ RODRÍGUEZ, S.A.: 59,398 euros</w:t>
        <w:br/>
        <w:t>7. KOBE MOTOR, S.L.: 181,743 euros</w:t>
        <w:br/>
        <w:t>8. KURUMA SPORT, S.A.: 101,376 euros</w:t>
        <w:br/>
        <w:t>9. MADRID CARS 2000, S.A.: 123,883 euros</w:t>
        <w:br/>
        <w:t>10. MOTOR ARJONA, S.L.: 150,848 euros</w:t>
        <w:br/>
        <w:t>11. SUPRA GAMBOA, S.A.: 417,164 euros</w:t>
      </w:r>
    </w:p>
    <w:p>
      <w:r>
        <w:t>FOURTH.- Urge the Competition Directorate of this National Commission of Markets and Competition to monitor and ensure the full compliance of this Resolution.</w:t>
      </w:r>
    </w:p>
    <w:p>
      <w:r>
        <w:t>FIFTH.- Resolve on the confidentiality regarding the documentation provided by the companies in accordance with what is stated in the Legal Basis Fifth.</w:t>
      </w:r>
    </w:p>
    <w:p>
      <w: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