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https://www.cnmc.es/expedientes/s048813</w:t>
      </w:r>
    </w:p>
    <w:p>
      <w:r>
        <w:t>Pages translated : 74</w:t>
      </w:r>
    </w:p>
    <w:p/>
    <w:p>
      <w:r>
        <w:rPr>
          <w:b/>
        </w:rPr>
        <w:t>[Pages 1–3]</w:t>
      </w:r>
    </w:p>
    <w:p>
      <w:r>
        <w:t>OLIVA S.L. (folios 1259 a 1261); el 7 de abril la de ROCAL AUTOMOCIÓN S.L. (folios 1262 a 1264); el 8 de abril la de LIDERDAI S.A. (folios 1265 a 1267); y el 9 de abril la de CROWE HORWATH SPAIN (folios 1268 a 1270).</w:t>
      </w:r>
    </w:p>
    <w:p>
      <w:r>
        <w:t>9. El 14 de abril de 2014, la DC acordó la ampliación de la incoación del expediente sancionador S/0488/13 a las empresas ROCAL AUTOMOCIÓN, S.L. y TALLERES PITA, S.A. por posibles prácticas restrictivas de la competencia prohibidas en el artículo 1 de la Ley 16/1989 y en el artículo 1 de la LDC (folios 1271 a 1272).</w:t>
      </w:r>
    </w:p>
    <w:p>
      <w:r>
        <w:t>10. El 30 de abril de 2014, la DC notificó a las empresas implicadas la apertura del procedimiento sancionador, así como la posibilidad de presentar alegaciones y pruebas en su defensa (folios 1273 a 1275).</w:t>
      </w:r>
    </w:p>
    <w:p>
      <w:r>
        <w:t>11. El 15 de mayo de 2014, se recibió la contestación de ALMOAUTO MOTOR, S.L. (folios 1276 a 1280); el 20 de mayo la de MOTOR GAMBOA S.A. (folios 1281 a 1285); el 21 de mayo la de IBERDAI MOTOR S.A. (folios 1286 a 1290); el 22 de mayo la de SANTÓN OLIVA S.L. (folios 1291 a 1295); el 23 de mayo la de ZONAUTO SUR S.L. (folios 1296 a 1300); el 26 de mayo la de CROWE HORWATH SPAIN (folios 1301 a 1305); el 27 de mayo la de TALLERES PITA S.A. (folios 1306 a 1310); y el 28 de mayo la de ROCAL AUTOMOCIÓN S.L. (folios 1311 a 1315).</w:t>
      </w:r>
    </w:p>
    <w:p>
      <w:r>
        <w:t>12. El 30 de mayo de 2014, la DC acordó la finalización del procedimiento sancionador y la remisión del expediente a la Sala de Competencia del CNMC para su resolución (folios 1316 a 1318).</w:t>
      </w:r>
    </w:p>
    <w:p>
      <w:r>
        <w:t>13. El 5 de junio de 2014, la Sala de Competencia del CNMC acordó la admisión a trámite del expediente y la apertura del periodo de prueba (folios 1319 a 1321).</w:t>
      </w:r>
    </w:p>
    <w:p>
      <w:r>
        <w:t>14. El 15 de julio de 2014, se celebró la vista oral en la que las partes presentaron sus alegaciones y pruebas (folios 1322 a 1325).</w:t>
      </w:r>
    </w:p>
    <w:p>
      <w:r>
        <w:t>15. El 30 de septiembre de 2014, la Sala de Competencia del CNMC acordó la prórroga del plazo para dictar resolución (folios 1326 a 1328).</w:t>
      </w:r>
    </w:p>
    <w:p>
      <w:r>
        <w:t>16. Finalmente, el 5 de marzo de 2015, la Sala de Competencia del CNMC dictó la presente Resolución en el expediente S/0488/13 CONCESIONARIOS HYUNDAI.</w:t>
      </w:r>
    </w:p>
    <w:p>
      <w:r>
        <w:rPr>
          <w:b/>
        </w:rPr>
        <w:t>[Pages 4–6]</w:t>
      </w:r>
    </w:p>
    <w:p>
      <w:r>
        <w:t>OLIVA S.L. (folio 1266) and on April 9, 2014, following a request for an extension of time, that of ROCAL AUTOMOCIÓN S.L. (folios 1268 to 1273).</w:t>
      </w:r>
    </w:p>
    <w:p>
      <w:r>
        <w:t>9. On May 7, 2014, a written statement of allegations from HORWATH AUDITORES ESPAÑA S.L.P. (folios 1274 and 1275) was received, requesting the dismissal of the S/0488/13 Hyundai Dealers case, as far as they are concerned, for having had no professional relationship with dealerships distributing the Hyundai brand.</w:t>
      </w:r>
    </w:p>
    <w:p>
      <w:r>
        <w:t>10. On July 28, 2014, in accordance with the provisions of Article 50.3 of the LDC, the DC issued a Statement of Specific Facts (PCH) (folios 1402 to 1455), which was notified to the parties the following day. In this notification of the PCH, the DC made a request for information to the involved companies regarding their business volume.</w:t>
      </w:r>
    </w:p>
    <w:p>
      <w:r>
        <w:t>11. The allegations to the PCH and the responses to the information request were received at the CNMC headquarters on the following dates: on August 11, 2014, those of IBERDAI MOTORS S.A. (folios 2254 to 2257 and folios 2258 to 2260) and CARS COREA S.L. (folios 2262 to 2266 and folios 2267 to 2272), although the response from the latter to the information request was received on August 12, 2014 (folios 2274 and 2275); on August 12, 2014, those of MERODIGAR MOTOR S.L. (folios 2276 to 2573 and folios 2574 to 2678); on August 13, 2014, those of COBENDAI S.L. (folios 2693 to 3533 and folios 3534 to 3539) and those of YUNCAR MOTOR S.L. (folios 3540 to 3541 and folio 3542); on August 14, 2014, those of MOTOR GAMBOA S.A. (folios 3547 to 3575 and folios 3543 to 3546); on August 18, 2014, those of LIDERDAI S.A. (folios 3577 to 3586 and folios 3774 to 3879) and TALLERES PITA S.A. (folios 3880 to 3884 and folios 3956 to 3960); on August 19, 2014, those of A.N.T. SERVICALIDAD, S.L. (folios 3961 to 3977 and folio 3978); on August 20, 2014, those of ROCAL AUTOMOCIÓN S.L. (folios 3987 to 3999 and folios 4000 to 4007); on August 21, 2014, those of SANTÓN OLIVA S.L. (folios 4008 to 4033 and folios 4034 and 4035); on August 22, 2014, those of ZONAUTO SUR S.L. (folios 4036 to 4041) along with a series of documents for evidentiary purposes (folios 4042 to 4168), as well as a response to the information request made (folio 4169); on September 2, 2014, those of ALMOAUTO MOTOR, S.L. (folios 4179 to 4183), attaching a series of documents for evidentiary purposes (folios 4184 to 4695), as well as a response to the information request made (folios 4696 to 4700) and, finally, once the 15-day period granted for this purpose had ended, on September 22, 2014, a written statement of allegations from HORWATH AUDITORES ESPAÑA S.L.P. was received (folios 6070 to 6081).</w:t>
      </w:r>
    </w:p>
    <w:p>
      <w:r>
        <w:t>12. On October 24, 2014, in accordance with the provisions of Article 33.1 of the RDC, the DC of the CNMC agreed to close the investigation phase (folio 6088), and on October 31, 2014, in accordance with the provisions of Article 50.4 of the LDC, it issued a Proposal for Resolution (PR) (folios 6107 to 6226).</w:t>
      </w:r>
    </w:p>
    <w:p>
      <w:r>
        <w:t>In the notification of this PR, the DC requested from the interested parties the business volume in Spain, corresponding to the market for the distribution of motor vehicles of the HYUNDAI brand regarding the i30, i35, and Santa Fe models, for the years 2012 and 2013.</w:t>
      </w:r>
    </w:p>
    <w:p>
      <w:r>
        <w:t>13. The written allegations to the PR and the response to the information request were received on the following dates: on November 14, 2014, those of COBENDAI S.L. (folios 6493 to 6506 and folios 6507 to 6587), although the response to the information request regarding their business volume was corrected on November 26, 2014 (folio 8364); on November 17, 2014, those of ZONAUTO SUR S.L. (folios 6589 to 6625 and folios 6626 to 6650); on November 20, 2011, those of MOTOR GAMBOA S.A. (folios 6656 to 7406 and folios 7407 to 7410); on November 21, 2014, the written allegations to the PR from HORWATH AUDITORES ESPAÑA S.L.P. (folios 7411 to 7440), from SANTÓN OLIVA S.L. (folios 7441 to 7453 and 7455 to 7460) along with the response to the information request from the same (folios 7454 and 7461), from YUNCAR MOTOR S.L. (folios 7462 to 7475 and folios 7476 and 7477), from LIDERDAI S.A. (folios 7478 to 7497 and folios 7498 to 7512) and from MERODIGAR MOTOR S.L. (folios 7513 to 7553 and folios 7554 to 7562); on November 24, 2014, those of ROCAL AUTOMOCIÓN S.L. (folios 7563 to 7581); on November 25, those of IBERDAI MOTORS S.A. (folios 7582 to 7600 and folios 7601 to 7614), TALLERES PITA S.A. (folios 7615 to 7716 and folios 7717 to 7720) and CARS COREA S.L. (folios 7721 to 8363); on November 26, 2014, that of ALMOAUTO MOTOR, S.L. (folios 8365 to 8824) and on November 27, 2014, the written allegations to the PR from A.N.T. SERVICALIDAD, S.L. (folios 8825 to 8832). Regarding the practice of evidence, it was requested by seven involved parties: MOTOR GAMBOA S.A., HORWATH AUDITORES ESPAÑA S.L.P., SANTÓN OLIVA S.L., LIDERDAI S.A., TALLERES PITA S.A., CARS COREA S.L. and ALMOAUTO MOTOR, S.L. while the holding of a hearing was requested by five: SANTÓN OLIVA S.L., YUNCAR MOTOR S.L., ROCAL AUTOMOCIÓN, TALLERES PITA S.A. and ALMOAUTO MOTOR, S.L.</w:t>
      </w:r>
    </w:p>
    <w:p>
      <w:r>
        <w:t>14. On November 27, 2014, under the protection of Article 50.5 of the LDC, the DC submitted its Report and Proposal for Resolution to the Competition Chamber of the CNMC and the case file was sent to it for resolution.</w:t>
      </w:r>
    </w:p>
    <w:p>
      <w:r>
        <w:t>15. On January 29, 2015, the Competition Chamber of the CNMC agreed to request information on the total business volume in 2014 of the involved companies, or the best available estimate. Likewise, for those companies that had not previously provided it, the business volume in Spain, corresponding to the market for the distribution of motor vehicles of the HYUNDAI brand regarding the affected vehicle models, for the years 2012, 2013, and 2014, differentiating the channel of sales of new vehicles to individuals from the rest of the channels, suspending the deadline for resolution until the totality of the required information was provided or the deadline granted for its provision elapsed. On February 17, 2015, the suspension was lifted with effects from February 16, 2015, notifying the parties and the new expiration date being March 12, 2015. The aforementioned requests for information were received on the following dates: on February 12, 2015, those of LIDERDAI S.A. (folios 8990 to 9061), MOTOR GAMBOA S.A. (folios 9062 to 9066) and HORWATH (folios 9067 and 9068 and 9227-9236), although the latter was reiterated on February 20, 2015; on February 13, 2015, that of YUNCAR (folios 9069 to 9072); on February 16, 2015, those of MERODIGAR (folios 9073 to 9130), COBENDAI (folios 9131 to 9135), IBERDAI (folios 9136 to 9159) and ZONAUTO (folios 9160 to 9163); on February 17, 2015, those of ROCAL AUTOMOCIÓN S.L. (folios 9164 to 9168) and CARS COREA (folios 9169 to 9177); on February 18, 2015, that of TAPISA (folios 9178 to 9185) and ALMOAUTO (folios 9206-9214), on February 19, 2015, those of ANT (folios 9216 and 9217) and SANTÓN OLIVA (folio 9215 and 9215.1).</w:t>
      </w:r>
    </w:p>
    <w:p>
      <w:r>
        <w:t>16. The Competition Chamber of the CNMC deliberated and ruled on the matter in its meeting of March 5, 2015.</w:t>
      </w:r>
    </w:p>
    <w:p>
      <w:r>
        <w:t>17. The interested parties are:</w:t>
        <w:br/>
        <w:t>- A.N.T. SERVICALIDAD, S.L.</w:t>
        <w:br/>
        <w:t>- HORWATH AUDITORES ESPAÑA, S.L.P.</w:t>
        <w:br/>
        <w:t>- ALMOAUTO MOTOR, S.L.</w:t>
        <w:br/>
        <w:t>- CARS COREA, S.L.</w:t>
        <w:br/>
        <w:t>- COBENDAI, S.L.</w:t>
        <w:br/>
        <w:t>- IBERDAI MOTORS, S.A.</w:t>
        <w:br/>
        <w:t>- LIDERDAI, S.A.</w:t>
        <w:br/>
        <w:t>- MASTERCLAS DE AUTOMOCIÓN, S.A.</w:t>
        <w:br/>
        <w:t>- MERODIGAR MOTOR, S.L.</w:t>
        <w:br/>
        <w:t>- MOTOR GAMBOA, S.A.</w:t>
        <w:br/>
        <w:t>- ROCAL AUTOMOCIÓN, S.L.</w:t>
        <w:br/>
        <w:t>- SANTÓN OLIVA, S.L.</w:t>
        <w:br/>
        <w:t>- TALLERES PITA, S.A.</w:t>
        <w:br/>
        <w:t>- YUNCAR MOTOR, S.L.</w:t>
        <w:br/>
        <w:t>- ZONAUTO SUR, S.L.</w:t>
      </w:r>
    </w:p>
    <w:p>
      <w:r>
        <w:rPr>
          <w:b/>
        </w:rPr>
        <w:t>[Pages 7–9]</w:t>
      </w:r>
    </w:p>
    <w:p>
      <w:r>
        <w:t>PROVEN FACTS</w:t>
      </w:r>
    </w:p>
    <w:p>
      <w:r>
        <w:t>I. THE PARTIES</w:t>
      </w:r>
    </w:p>
    <w:p>
      <w:r>
        <w:t>The parties involved in this case, as stated in the PCH of the DC, are as follows:</w:t>
      </w:r>
    </w:p>
    <w:p>
      <w:r>
        <w:t>1) A.N.T. SERVICALIDAD, S.L. (hereinafter ANT)</w:t>
        <w:br/>
        <w:t>Company established in 2000, with its registered office in Elche, Alicante, owned equally by two individuals and not vertically or horizontally related to any other company or group of companies. Its corporate purpose includes, among others, providing customer service, market studies, and similar services to companies. Specifically, regarding the types of services that ANT offers to motor vehicle distribution companies, ANT has established the following categories of services:</w:t>
        <w:br/>
        <w:t>a. Conducting Mystery Shopper evaluations for automotive brands: in this type of service, ANT evaluates the quality of customer service and adherence to sales protocols, providing the client with a qualitative report on the complete sales process, from the customer's call to schedule an appointment with the seller, to the quote provided by the salesperson and the follow-up call to ascertain the customer's purchasing decision.</w:t>
        <w:br/>
        <w:t>b. Conducting Mystery Shopper evaluations for dealerships or groups of the same owner participating in the market with different brands: the quality of customer service is analyzed, attaching to the results of its research the economic offer presented to the client so that the client can verify how their salespeople act.</w:t>
        <w:br/>
        <w:t>c. Mystery Shopper evaluations for groups of dealerships: reports analyzing the complete performance of a salesperson during the vehicle sales process.</w:t>
        <w:br/>
        <w:t>d. Conducting Mystery Shopper evaluations for dealerships that want to assess their competition (other dealerships in their area) and understand the sales techniques they use and the offers they provide.</w:t>
        <w:br/>
        <w:t>e. Analysis of lost sales, to understand the reasons why a customer ultimately did not purchase.</w:t>
        <w:br/>
        <w:t>f. Recovery of workshop customers, through calls to offer a promotion and encourage them to return to the workshop for their maintenance.</w:t>
        <w:br/>
        <w:t>g. "Mystery calling" to workshops and sales, to evaluate the quality of telephone service, timelines for offering appointments, and the offers made.</w:t>
        <w:br/>
        <w:t>h. Training: offered through independent freelancers to help companies improve the weakest aspects identified in customer service.</w:t>
      </w:r>
    </w:p>
    <w:p>
      <w:r>
        <w:t>2) HORWATH AUDITORES ESPAÑA, S.L.P. (hereinafter HORWATH)</w:t>
        <w:br/>
        <w:t>HORWATH, a company of CROWE HORWATH SPAIN, with its registered office in Madrid, has as its corporate purpose the performance of annual account audits, as well as other work related to auditing, the provision of accounting and financial consulting services, and the provision of all types of business advisory services, which include, among others, those of a fiscal, legal, financial, accounting, and commercial nature, as well as the promotion of actions and management, at both national and international levels, related to the same.</w:t>
      </w:r>
    </w:p>
    <w:p>
      <w:r>
        <w:t>3) ALMOAUTO MOTOR, S.L. (hereinafter ALMOAUTO)</w:t>
        <w:br/>
        <w:t>Official independent dealership of the HYUNDAI brand, it is a company established in 2011 whose corporate purpose is the buying, selling, and repairing of automobiles as well as the marketing of all types of products and services related to automobiles. It has sales and workshop facilities in Madrid and Coslada (Madrid).</w:t>
      </w:r>
    </w:p>
    <w:p>
      <w:r>
        <w:t>4) CARS COREA, S.L. (hereinafter CARS COREA)</w:t>
        <w:br/>
        <w:t>Official independent dealership of the HYUNDAI brand, its corporate purpose is the purchase, sale, and repair of all kinds of automobiles, their accessories, and spare parts. This family business, established in 1993, has its registered office in Madrid, with another branch also in Madrid. It has its main headquarters in Leganés and another facility in Getafe.</w:t>
      </w:r>
    </w:p>
    <w:p>
      <w:r>
        <w:t>5) COBENDAI, S.L. (hereinafter COBENDAI)</w:t>
        <w:br/>
        <w:t>Official independent dealership of the HYUNDAI brand, it is a family business established in 1995, primarily engaged in the sale of new vehicles of the HYUNDAI brand, although part of its activity also involves the sale of used vehicles. With its registered office in Madrid, it has four sales points in Madrid.</w:t>
      </w:r>
    </w:p>
    <w:p>
      <w:r>
        <w:t>6) IBERDAI MOTORS, S.A. (hereinafter IBERDAI)</w:t>
        <w:br/>
        <w:t>Official independent dealership of the HYUNDAI brand, it is a family business established in 1998, with its corporate purpose being the retail marketing and repair of new and used vehicles, as well as the retail sale of lubricants, accessories, spare parts, and tools for the aforementioned vehicles. Its sales facilities are located in Torrejón de Ardoz (Madrid).</w:t>
      </w:r>
    </w:p>
    <w:p>
      <w:r>
        <w:t>7) LIDERDAI, S.A. (hereinafter LIDERDAI)</w:t>
        <w:br/>
        <w:t>Official independent dealership of the HYUNDAI brand, it is a company established in 2001 whose corporate purpose is the marketing of vehicles of the HYUNDAI brand and also markets used vehicles and has mechanical facilities and spare parts storage to provide after-sales service to its customers. Its area of influence is the Henares corridor up to Guadalajara and specifically markets HYUNDAI vehicles at its facilities in Alcalá de Henares. In response to the corresponding information request, they stated, "In particular, LIDERDAI S.L. markets HYUNDAI vehicles at the facilities located at Vía Complutense 107 in Alcalá de Henares and at Calle México 21 in Guadalajara." However, subsequently, in their allegations to the PCH and the PR, they claim that their area of influence is only that of Alcalá de Henares, and that the information they provided regarding Guadalajara referred to the Lidercar Group to which Liderdai belongs, but not to Liderdai.</w:t>
      </w:r>
    </w:p>
    <w:p>
      <w:r>
        <w:t>8) MASTERCLAS DE AUTOMOCIÓN, S.A. (hereinafter MASTERCLAS)</w:t>
        <w:br/>
        <w:t>Official independent dealership of the HYUNDAI brand, with its registered office in Barcelona and with four sales points in Barcelona, its corporate purpose is the marketing, distribution, and repair of all types of vehicles, as well as the marketing of spare parts and accessories until July 2007, of the Opel brand, and since July 2010 of the HYUNDAI brand.</w:t>
      </w:r>
    </w:p>
    <w:p>
      <w:r>
        <w:t>9) MERODIGAR MOTOR, S.L. (hereinafter MERODIGAR)</w:t>
        <w:br/>
        <w:t>Official independent dealership of the HYUNDAI brand, it is a family business whose corporate purpose is the buying and selling of motor vehicles and repair workshop, being part of the network of Authorized Dealers and Workshops of HYUNDAI since its establishment in 2007. Its headquarters is located in Colmenar Viejo (Madrid).</w:t>
      </w:r>
    </w:p>
    <w:p>
      <w:r>
        <w:rPr>
          <w:b/>
        </w:rPr>
        <w:t>[Pages 10–12]</w:t>
      </w:r>
    </w:p>
    <w:p>
      <w:r>
        <w:t xml:space="preserve">10) MOTOR GAMBOA, S.A. (hereinafter GAMBOA)  </w:t>
        <w:br/>
        <w:t>Official independent dealership of the HYUNDAI brand, it is a family-owned company established in 1994 whose corporate purpose is the buying and selling and repair of motor vehicles, with its registered office in Madrid, having seven sales points in that city.</w:t>
      </w:r>
    </w:p>
    <w:p>
      <w:r>
        <w:t xml:space="preserve">11) ROCAL AUTOMOCIÓN, S.L. (hereinafter ROCAL)  </w:t>
        <w:br/>
        <w:t>Official independent dealership of the HYUNDAI brand, it is a family-owned company established in 2011, with its registered office and sales facility in Madrid, whose corporate purpose is the import, export, purchase, sale, marketing, and wholesale and retail distribution of all types of motor vehicles and their accessories, spare parts, tools, and equipment, as well as the operation, establishment, and assembly of automobile repair garages, lubrication stations, washing, painting, and services for automobiles; it does not have branches.</w:t>
      </w:r>
    </w:p>
    <w:p>
      <w:r>
        <w:t xml:space="preserve">12) SANTÓN OLIVA, S.L. (hereinafter SANTÓN OLIVA)  </w:t>
        <w:br/>
        <w:t>Official independent dealership of the HYUNDAI brand, established in 1992 and with its registered office and sales facility in Guadalajara, its corporate purpose is the buying and selling of all types of new and used vehicles, including their rental and repair, as well as the purchase and sale of accessories and spare parts.</w:t>
      </w:r>
    </w:p>
    <w:p>
      <w:r>
        <w:t xml:space="preserve">13) TALLERES PITA, S.A. (hereinafter TAPISA)  </w:t>
        <w:br/>
        <w:t>Multi-brand dealership, it is a family-owned company established in 1977, whose corporate purpose is the buying and selling and repair of automobiles of the Renault brand, expanding its services in 2012 to vehicles of the HYUNDAI brand, using two names: TAPISA, to identify the sales and repair services of "Dacia" and "Renault" vehicles, and, simultaneously, it uses the unregistered trade name "GP Koreavi" to distinguish its services as a HYUNDAI dealership. However, in the PCH and in this Resolution, TAPISA is used to unify references to this company. There is a sales point for Hyundai vehicles in Collado Villalba (Madrid).</w:t>
      </w:r>
    </w:p>
    <w:p>
      <w:r>
        <w:t xml:space="preserve">14) YUNCAR MOTOR, S.L. (hereinafter YUNCAR)  </w:t>
        <w:br/>
        <w:t>Official independent dealership of the HYUNDAI brand, with three sales points in Madrid, it is a family-owned company whose corporate purpose is the buying and selling and mechanical, electrical, bodywork, and painting repair of passenger vehicles.</w:t>
      </w:r>
    </w:p>
    <w:p>
      <w:r>
        <w:t xml:space="preserve">15) ZONAUTO SUR, S.L. (hereinafter ZONAUTO)  </w:t>
        <w:br/>
        <w:t>Official independent dealership of the HYUNDAI brand located in Aranjuez and with a sales point in that locality, it is a family-owned company established in 1998 whose corporate purpose is the retail trade of land vehicles and the repair of automobiles.</w:t>
      </w:r>
    </w:p>
    <w:p>
      <w:r>
        <w:t xml:space="preserve">II. MARKET CHARACTERIZATION  </w:t>
        <w:br/>
        <w:t>The automotive sector has great economic relevance in the EU, and thanks to the single market, consumers can purchase motor vehicles in other Member States and benefit from price differences among them, considering the high value of the product and the direct benefits, in the form of lower prices, that revert to consumers who buy motor vehicles elsewhere in the EU, whether through independent dealerships of each brand's manufacturer, which can be official single-brand or multi-brand dealerships, or through subsidiaries of the manufacturer. This sector is considered strategic for the Spanish economy, due to its significant weight in industry, in employment, its spillover effect in other areas, and its contribution to exports. In fact, in 2009, the Council of Ministers approved the Comprehensive Automotive Plan, which is part of the Spanish Plan for the Stimulation of the Economy and Employment (Plan E), structured into five blocks: industrial measures and demand stimulation measures, labor measures, logistics stimulation measures, R&amp;D+i promotion measures, and financial measures.</w:t>
      </w:r>
    </w:p>
    <w:p>
      <w:r>
        <w:t>On the other hand, with the Efficient Vehicle Incentives Program (PIVE, PIVE 2, PIVE 3, and PIVE 4), with the aim of replacing approximately 365,000 old vehicles with the same number of new vehicles, a reduction in national energy consumption has been promoted, encouraging the modernization of the vehicle fleet with high energy efficiency models, with lower fuel consumption and CO2 emissions, all framed within the Energy Saving and Efficiency Plan.</w:t>
      </w:r>
    </w:p>
    <w:p>
      <w:r>
        <w:t>During the instruction of this case, although the PIVE-6 PLAN was approved with a budget of 175 million euros, the PIVE-5 PLAN was in force, established by Royal Decree 35/2014, of January 24, which regulates the direct granting of subsidies from the "Efficient Vehicle Incentives Program (PIVE-5)." In this Royal Decree, most of the criteria that were already included in the previous calls of the Program were maintained, related to the price limit of the vehicle to be acquired, the inclusion of models with lower consumption, as well as those models with greater capacity for transporting people, although the communication and advertising requirements of the new Plan that the dealerships or affiliated sales points had to comply with were reinforced. The financing of the PIVE is carried out with funds from the contributions received by the Institute for Diversification and Energy Saving (IDAE), originating from the budget of the State Secretariat for Energy of the Ministry of Industry, Energy and Tourism, for a total amount of 175 million euros.</w:t>
      </w:r>
    </w:p>
    <w:p>
      <w:r>
        <w:t xml:space="preserve">1. Regulatory Framework  </w:t>
        <w:br/>
        <w:t>The DC addresses, in paragraphs (49) to (65) of the PCH, the regulatory framework of the automotive sector, which has traditionally received special attention from competition authorities, being subject to specific block exemption regulations since 1985.</w:t>
      </w:r>
    </w:p>
    <w:p>
      <w:r>
        <w:t>The vertical agreements subject to such exemptions would be those related to the purchase, sale, or resale of new motor vehicles, those related to the purchase, sale, or resale of spare parts for motor vehicles, and those related to the provision of repair and maintenance services for these vehicles when such agreements are made between non-competing companies, among certain competing companies, or by certain associations of retailers or repair shops.</w:t>
      </w:r>
    </w:p>
    <w:p>
      <w:r>
        <w:t>In this regard, at the European level, it is worth highlighting Regulation (EU) No. 330/2010, of April 20, 2010, of the Commission, regarding the application of Article 101, paragraph 3, of the Treaty on the Functioning of the European Union (TFEU), to certain categories of vertical agreements and concerted practices, as well as Regulation (EU) No. 461/2010, of May 27, 2010, regarding the application of Article 101, paragraph 3, of the TFEU, to certain categories of vertical agreements and concerted practices in the motor vehicle sector, which has been in effect since June 1, 2010, replacing Commission Regulation (EC) No. 1400/2002 of July 31, 2002, regarding the application of paragraph 3 of Article 81 of the EC Treaty to certain categories of vertical agreements and concerted practices in the motor vehicle sector, as well as the supplementary Guidelines regarding vertical restrictions included in agreements for the sale and repair of motor vehicles and the distribution of spare parts for motor vehicles, issued by the European Commission in 2010.</w:t>
      </w:r>
    </w:p>
    <w:p>
      <w:r>
        <w:t>These Guidelines establish that selective distribution is currently the predominant form of distribution in the motor vehicle sector, as well as in repair and maintenance and in the distribution of spare parts. Selective qualitative distribution involves the selection of distributors or repair shops solely according to objective criteria imposed by the nature of the product or service; quantitative selection adds other criteria.</w:t>
      </w:r>
    </w:p>
    <w:p>
      <w:r>
        <w:rPr>
          <w:b/>
        </w:rPr>
        <w:t>[Pages 13–15]</w:t>
      </w:r>
    </w:p>
    <w:p>
      <w:r>
        <w:t>that more directly limit the potential number of distributors or repair workshops, either by directly setting their number or by requiring, for example, a minimum sales level. It is considered that networks based on quantitative criteria are generally more restrictive than those based solely on qualitative selection.</w:t>
      </w:r>
    </w:p>
    <w:p>
      <w:r>
        <w:t>In a purely qualitative selective distribution, distributors and repair workshops are selected solely based on objective criteria imposed by the nature of the product or service, such as the technical qualifications of the sales staff, the layout of the sales premises, the sales techniques, and the type of sales service that the distributor must provide.</w:t>
      </w:r>
    </w:p>
    <w:p>
      <w:r>
        <w:t>The application of these criteria does not limit the number of distributors or repair workshops admitted into the supplier's network. It is generally considered that purely qualitative selective distribution falls outside the scope of Article 101.1 of the TFEU due to the lack of anti-competitive effects, provided that three conditions are met:</w:t>
        <w:br/>
        <w:t>− the nature of the product in question must require a selective distribution system, in the sense that such a system must constitute a legitimate necessity, given the nature of the product, to preserve its quality and ensure its proper use;</w:t>
        <w:br/>
        <w:t>− distributors or repair workshops must be selected based on objective qualitative criteria, uniformly established for all potential resellers and that cannot be applied in a discriminatory manner;</w:t>
        <w:br/>
        <w:t>− the established criteria must not exceed what is necessary.</w:t>
      </w:r>
    </w:p>
    <w:p>
      <w:r>
        <w:t>If selective distribution agreements fall within the scope of Article 101.1 of the TFEU, the parties will need to assess whether their agreements can benefit from the Block Exemption Regulations, or individually, from the exception of Article 101.3 of the TFEU.</w:t>
      </w:r>
    </w:p>
    <w:p>
      <w:r>
        <w:t>The Block Exemption Regulations exempt selective distribution agreements, regardless of whether quantitative or purely qualitative selection criteria are used, as long as the market shares of the parties do not exceed 30%. However, this exemption is conditioned on the agreement not containing any of the particularly serious restrictions contemplated in Article 4 of the General Block Exemption Regulation for Vertical Agreements and in Article 5 of the Block Exemption Regulation in the Motor Vehicle Sector, as well as none of the excluded restrictions described in Article 5 of the General Block Exemption Regulation for Vertical Agreements.</w:t>
      </w:r>
    </w:p>
    <w:p>
      <w:r>
        <w:t>Three of the particularly serious restrictions contemplated in the General Block Exemption Regulation for Vertical Agreements specifically refer to selective distribution:</w:t>
        <w:br/>
        <w:t>– Article 4.b) considers particularly serious the restriction of the territory in which, or the clientele to which, the buyer party to the agreement may sell the contractual goods or services, except for the restriction of sales by members of a selective distribution system to unauthorized distributors in the markets where such a system applies.</w:t>
        <w:br/>
        <w:t>– Article 4.c) describes as particularly serious restrictions the agreements that restrict active or passive sales to end users by members of a selective distribution system operating at the retail level, without prejudice to the possibility of prohibiting a member of the system from operating outside an unauthorized establishment.</w:t>
        <w:br/>
        <w:t>– Article 4.d) refers to the restriction of cross supplies between distributors within a selective distribution system, including between distributors operating at different levels of commercial activity.</w:t>
      </w:r>
    </w:p>
    <w:p>
      <w:r>
        <w:t>In Spain, according to Royal Decree 2822/1998, of December 23, which approves the General Regulation of Vehicles, in its Annex II "DEFINITIONS AND CATEGORIES OF VEHICLES," a motor vehicle is defined as a vehicle equipped with an engine for its propulsion, excluding from this definition mopeds, trams, and vehicles for persons with reduced mobility. Among motor vehicles, automobiles are defined as motor vehicles that serve, normally, for the transport of persons or goods, or both at the same time, or for the towing of other vehicles for that purpose.</w:t>
      </w:r>
    </w:p>
    <w:p>
      <w:r>
        <w:t>Regarding the legal regime of dealers, they are governed by distribution contracts for vehicles and services agreed with suppliers and manufacturers of official brands, and until the new Law on Commercial Distribution Contracts provided for in Law 2/2011, of March 4, on Sustainable Economy is approved, Law 12/1992, of May 27, on Agency Contracts applies, with the exceptions provided in its first additional provision, introduced by the Sustainable Economy Law, which refers to contracts for the distribution of motor and industrial vehicles, the application of which has also been suspended, by virtue of the fourth final provision of Law 7/2011, of April 11, until the aforementioned commercial distribution law is approved.</w:t>
      </w:r>
    </w:p>
    <w:p>
      <w:r>
        <w:t>Thus, in the absence of specific regulation, the Agency Contract Law applies but with certain exceptions, as noted by the Supreme Court, for example, in its Judgment of March 15, 2011, in which it pointed out the existence of differences between agency and distribution contracts, highlighted by doctrine and jurisprudence:</w:t>
        <w:br/>
        <w:t>“(…) the distributor buys and resells the manufacturer's goods on its own account and in its own name, with the profit represented by the so-called margin or commercial profit, the agent promotes and, where appropriate, concludes the sale of the entrepreneur's products, on behalf and in the name of the same, in exchange for a commission (…)”.</w:t>
      </w:r>
    </w:p>
    <w:p>
      <w:r>
        <w:t>The main characteristic note to differentiate the distribution contract from the agency contract is that the distributor assumes the risk of the commercial operation.</w:t>
      </w:r>
    </w:p>
    <w:p>
      <w:r>
        <w:t>Thus, the operation of dealers is regulated through distribution and authorized service contracts and in isolated cases, a spare parts distribution contract is used. The supplier sells its products to the distributor, and the latter resells them to its customers applying a margin, which constitutes the source of income for its commercial activity.</w:t>
      </w:r>
    </w:p>
    <w:p>
      <w:r>
        <w:t>In the retail distribution of new automobiles, the distributing company of the vehicles of a brand communicates to the dealer a recommended selling price so that the dealer can freely establish the final selling price according to its expected or desired income. This practice of recommending a resale price to a reseller is covered by the aforementioned Block Exemption Regulation when the market share of each party to the agreement does not exceed the 30% threshold, provided that it does not imply a minimum or fixed selling price as a result of pressure or incentives offered by either party. In carrying out its economic activity, the distributor acts, in any case, in its own name and on its own account, assuming the risks that may arise from the business.</w:t>
      </w:r>
    </w:p>
    <w:p>
      <w:r>
        <w:t>Most car brands in Spain apply the distribution modality known as "selective distribution," which allows limiting the number of distributors and establishing qualitative selection criteria to preserve the quality and solvency of the companies integrated into the network. Dealers are small and medium-sized enterprises engaged in the distribution, sale, and after-sales service of automobiles from a manufacturer or importer as independent entrepreneurs, acting in their own name and under their own responsibility and risk, within the zone or territorial area assigned to them by their supplier.</w:t>
      </w:r>
    </w:p>
    <w:p>
      <w:r>
        <w:t>However, the organization of commercial activity and after-sales service, and the distributor's overall business model, are configured according to the guidelines of the supplier, which specifies each of the processes of the concession and, in particular, the following, in accordance with the FACONAUTO Report on the dealership sector in Spain dated December 31, 2012:</w:t>
      </w:r>
    </w:p>
    <w:p>
      <w:r>
        <w:rPr>
          <w:b/>
        </w:rPr>
        <w:t>[Pages 16–18]</w:t>
      </w:r>
    </w:p>
    <w:p>
      <w:r>
        <w:t>− Standards, dimensions, and qualities of the facilities, particularly regarding size, equipment, location, internal and external appearance, and corporate identification of their sales and after-sales service facilities.</w:t>
        <w:br/>
        <w:t>− Economic-financial structure of the dealership and the accounting plan.</w:t>
        <w:br/>
        <w:t>− Business model, both in sales and after-sales service.</w:t>
        <w:br/>
        <w:t>− Process audits, standards, and guarantees.</w:t>
        <w:br/>
        <w:t>− Number and professional qualifications of the hired personnel.</w:t>
        <w:br/>
        <w:t>− Employee training plan.</w:t>
        <w:br/>
        <w:t>− Business plans, objectives, and incentives.</w:t>
        <w:br/>
        <w:t>− Management and administration systems, including IT systems.</w:t>
      </w:r>
    </w:p>
    <w:p>
      <w:r>
        <w:t>2. Market Functioning</w:t>
      </w:r>
    </w:p>
    <w:p>
      <w:r>
        <w:t>In paragraphs (66) to (88) of the PCH, the DC describes in detail the functioning of the relevant market - product (paragraphs 66-67 of the PCH) and geographic (paragraphs 68 to 73 of the PCH) - subsequently focusing on the structure of that market, presenting the supply (paragraphs 74-85 of the PCH) and demand (paragraphs 86-88 of the PCH) within it.</w:t>
      </w:r>
    </w:p>
    <w:p>
      <w:r>
        <w:t>a) Product Market</w:t>
      </w:r>
    </w:p>
    <w:p>
      <w:r>
        <w:t>Thus, regarding the product market, according to the aforementioned Royal Decree 2822/1998, of December 23, which approves the General Vehicle Regulation, among motor vehicles, automobiles are defined as motor vehicles that serve, normally, for the transport of persons or goods, or both at the same time, or for the traction of other vehicles for that purpose, and within automobiles, a distinction is made between passenger cars, which are automobiles intended for the transport of persons that have at least four wheels and that have, in addition to the driver's seat, a maximum of eight seats, and all-terrain vehicles.</w:t>
      </w:r>
    </w:p>
    <w:p>
      <w:r>
        <w:t>Although initially the DC defined the affected market in this sanctioning file as that of the distribution of passenger motor vehicles of the HYUNDAI brand, through independent dealers of the aforementioned manufacturer, subsequently, and following the documentation available regarding the agreements adopted by HYUNDAI dealers in the Madrid Area and that provided by some of the parties involved as documentary evidence, the delimitation of that market was restricted to the models i30, ix35, and Santa Fe, which are, on the other hand, the most demanded by the market in Spain.</w:t>
      </w:r>
    </w:p>
    <w:p>
      <w:r>
        <w:t>b) Geographic Market</w:t>
      </w:r>
    </w:p>
    <w:p>
      <w:r>
        <w:t>This market encompasses the area in which the affected companies carry out activities of supplying the products and providing the reference services, with sufficiently homogeneous competitive conditions and which can be distinguished from other nearby geographic areas due to, in particular, the fact that the prevailing competitive conditions therein are significantly different from those. This has been defined both by the now-defunct Council of the CNC1 - in accordance with the Commission's Communication regarding the definition of the reference market for the purposes of Community competition law (97/C 372/03, OJ C of December 9, 1997) - and by reiterated jurisprudence of the CJEU2.</w:t>
      </w:r>
    </w:p>
    <w:p>
      <w:r>
        <w:t>On the other hand, as pointed out by the Council of the CNC and confirmed by the National Court3, the concept of the market affected by the infringing conduct, which may or may not coincide with the relevant product and geographic market, is not determined by the territory in which the competitive conditions are homogeneous, but by the geographic space in which the analyzed infringement has produced or is likely to produce effects on effective competition conditions.</w:t>
      </w:r>
    </w:p>
    <w:p>
      <w:r>
        <w:t>For cases like this, it should be noted that the supplier, according to the contract it signs with the dealers and which determines their operations, does not establish any clause that discriminates and conditions the dealers in their sales based on the place of residence of the end customer, nor from the location from which the dealer makes the sale, for the purposes of accepting or rejecting the dealer's orders. Thus, dealers have a greater sphere of influence than that of the province in which they are physically located, with a significant influence in neighboring provinces, as customers can travel to those locations if they find the offers from dealers in other provinces more satisfactory, not necessarily belonging to the same Autonomous Community. In fact, HYUNDAI delineates the national territory for the purposes of the official dealers of that brand into seven geographic areas, with, for example, the so-called area 7 corresponding to the dealers located in the provinces of Madrid, Segovia, and Guadalajara, which is practically coincident with the "Madrid Area," - "influence area" in which the dealers were structured for the execution of the analyzed anticompetitive practices - which included the dealers located in the Autonomous Community of Madrid and in the province of Guadalajara, although the one located in the province of Segovia did not participate in the analyzed conduct.</w:t>
      </w:r>
    </w:p>
    <w:p>
      <w:r>
        <w:t>In short, taking into account the analyzed conduct in this sanctioning file and the available documentation, the geographic market affected both by the geographic delimitation carried out by the participating dealers in the anticompetitive practices of this area, as well as by the effects on effective or potential competitors and on consumers, is confined to the Autonomous Communities of Madrid and Castilla-La Mancha.</w:t>
      </w:r>
    </w:p>
    <w:p>
      <w:r>
        <w:t>c) Market Structure</w:t>
      </w:r>
    </w:p>
    <w:p>
      <w:r>
        <w:t>On the supply side, according to the report published at the end of 2012 by FACONAUTO "Report on the dealership sector in Spain," the 2,908 dealerships (2,761 for passenger cars and all-terrain vehicles and 169 for industrial vehicles) established in Spain fulfill a very relevant socioeconomic function in the Autonomous Communities where they are located. In 2012, the dealerships invoiced €22,120.35 million, which represents 2.1% of the Spanish GDP (data from the Foundation of Savings Banks, FUNCAS).</w:t>
      </w:r>
    </w:p>
    <w:p>
      <w:r>
        <w:t>Of the total number of dealerships mentioned, there is a network of 60 dealerships that distribute the HYUNDAI brand and that, despite the widespread decline in the number of dealerships, mainly independent ones, as a consequence of the crisis, in the case of HYUNDAI has remained at stable levels.</w:t>
      </w:r>
    </w:p>
    <w:p>
      <w:r>
        <w:t>The business operation of the dealerships is characterized by a management model based on volume. Thus, in the expansive period between 2004 and 2009, the profitability on the invoicing of the dealerships remained at an average between 0.8% and 2.3%, and in 2012 it was at -0.94% with a tendency to decrease.</w:t>
      </w:r>
    </w:p>
    <w:p>
      <w:r>
        <w:t>According to the aforementioned FACONAUTO report, dealerships finance the stocks of vehicles, spare parts, and accessories from manufacturers, buying the vehicles at the "maximum recommended price" or "list price," which means paying the supplier an average of 15% more than the "retail" or final sale price, as the discounts applied by the dealerships for various concepts (an average of €3,200 per vehicle) are not taken into account. Therefore, until they sell the vehicle to the end customer, dealerships cannot begin to recover the applicable promotions and discounts, which means continuing to finance that differential for an additional 15 to 45 days.</w:t>
      </w:r>
    </w:p>
    <w:p>
      <w:r>
        <w:t>On the other hand, dealerships make significant investments in land and facilities for display, warehouses, and workshops, etc. The average investment of a dealership located in a metropolitan area exceeds €6 million and is amortized over an average period of 15 to 20 years, but only serves for the distribution of vehicles of a certain brand due to the exclusivity of the specific standards required by each brand, as already indicated.</w:t>
      </w:r>
    </w:p>
    <w:p>
      <w:r>
        <w:rPr>
          <w:b/>
        </w:rPr>
        <w:t>[Pages 19–21]</w:t>
      </w:r>
    </w:p>
    <w:p>
      <w:r>
        <w:t>therefore, in the aforementioned FACONAUTO Report, it is stated that Spanish dealerships ensure a high level of competition among different brands and of rivalry within the distribution network in a mature market where no manufacturer exceeded, in 2012, a 10% share of the passenger car market and a 25% share of the commercial vehicle market. The aforementioned Report concludes by indicating that the business operation of dealerships is characterized by a management model based on volume, which must assume an excessively high risk, with leverage that doubles the company's own resources, to obtain an average profitability on sales that is negative in most networks and less than 1% in the healthiest networks. Thus, during the expansive period of the automotive market in Spain, between 2004 and 2009, the profitability on the sales of dealerships remained, as we have seen, at an average between 0.8% and 2.3% and in 2012 at -0.94%.</w:t>
      </w:r>
    </w:p>
    <w:p>
      <w:r>
        <w:t>In short, the aforementioned Report indicates that the automotive sector is a sector with very low margins, based on an obsolete business model that links the return on investment to sales volume, which has led to its profitability gradually decreasing with the economic crisis until reaching the most negative records in June 2012. The Report also indicates that it has an oversized service offer (for a market of 1,200,000 passenger cars) and that this excess of operators causes low profitability and other negative effects.</w:t>
      </w:r>
    </w:p>
    <w:p>
      <w:r>
        <w:t>However, the trend has reversed in the last two years, both in the new car market and in the used vehicle market, as reported in press news in 2014 that echoed the increases in sales in a percentage of 10% compared to 2013, thanks to the Plan PIVE-5, referring to data from the Spanish Association of Automobile and Truck Manufacturers (ANFAC), the National Association of Motor Vehicle Sellers, Repair and Spare Parts (GANVAN), and FACONAUTO.</w:t>
      </w:r>
    </w:p>
    <w:p>
      <w:r>
        <w:t>Regarding the distribution of HYUNDAI vehicles in Spain, in 2012, 29,409 units were registered, with a 4.6% growth compared to the previous year, placing the market share at 4.2%. In 2013, this trend continued with a growth of 3.8%, allowing it to reach a market share of 4.3%, and ranking eleventh in the list of the best-selling brands in Spain. In 2014, the registrations of HYUNDAI vehicles from January to June of that year increased by 10.3% compared to the same period in 2013, as shown in the attached table:</w:t>
      </w:r>
    </w:p>
    <w:p>
      <w:r>
        <w:t>Taking as a reference the latest available data from the General Directorate of Traffic, out of a total of 710,638 registrations of passenger cars in 2012, 29,520 passenger cars correspond to HYUNDAI. Of these, in the "Madrid Area," comprising the provinces of Guadalajara and Madrid, there were a total of 10,626 registrations, which means 36% of the total HYUNDAI passenger cars registered throughout the national territory. With this data, the DC calculated the market shares of the involved companies and, to facilitate understanding, prepared the table attached below, where it is observed that the largest market share, both nationally and in relation to the so-called "Madrid Area," corresponds to GAMBOA, followed by COBENDAI, according to the information provided by the companies, although CARS COREA, IBERDAI, LIDERDAI, MERODIGAR, SANTÓN OLIVA, YUNCAR, and ROCAL did not provide data on HYUNDAI registrations:</w:t>
      </w:r>
    </w:p>
    <w:p>
      <w:r>
        <w:t>COMPANY AND UNITS SOLD/REGISTERED HYUNDAI Market Share Market Share</w:t>
        <w:br/>
        <w:t>HYUNDAI Spain 2012 (29,520) 2012 (10,626)</w:t>
        <w:br/>
        <w:t>GAMBOA (1,791 units) 6.06% 16.85%</w:t>
        <w:br/>
        <w:t>COBENDAI (1,584 units) 5.36% 14.9%</w:t>
        <w:br/>
        <w:t>ALMOAUTO MOTOR (186 units) 0.63% 1.75%</w:t>
        <w:br/>
        <w:t>ZONAUTO (162 units) 0.54% 1.52%</w:t>
        <w:br/>
        <w:t>TAPISA (71 units) 0.24% 0.66%</w:t>
      </w:r>
    </w:p>
    <w:p>
      <w:r>
        <w:t>Regarding the volume of sales represented over the national sales of the HYUNDAI brand, it should be noted that in June 2013, according to the monthly reports sent by the HYUNDAI brand to its dealerships, in the "Madrid Area," GAMBOA ranks first, followed by COBENDAI, YUNCAR, CARS COREA, ALMOAUTO MOTOR, and ZONAUTO, as can be seen in the attached table.</w:t>
      </w:r>
    </w:p>
    <w:p>
      <w:r>
        <w:rPr>
          <w:b/>
        </w:rPr>
        <w:t>[Pages 22–24]</w:t>
      </w:r>
    </w:p>
    <w:p>
      <w:r>
        <w:t>In this table, it is also observed that all the companies involved in the so-called "Madrid Zone" are included, with the exception of SEGOHYUN, S.L., which is the dealership located in the province of Segovia and which, according to the information in the file, would not have participated in the alleged anticompetitive practices.</w:t>
      </w:r>
    </w:p>
    <w:p>
      <w:r>
        <w:t>It is, therefore, a mature market, relatively transparent, with a reduced number of dealerships in the so-called "Madrid Zone," but with wide coverage by the companies involved in the file (with the only exception of the aforementioned SEGOHYUN, S.L.), with no entry of new competitors throughout the development of the alleged infringement.</w:t>
      </w:r>
    </w:p>
    <w:p>
      <w:r>
        <w:t>Regarding demand in this market, three channels can be distinguished: companies dedicated to renting motor vehicles, fleets of private companies, and individuals. Among these sales channels, the one for individuals stands out, followed by that of company fleets, and lastly, rental companies. By channels, until June 2014, the one related to individuals has been strongly driving the market, thanks to the PIVE Plan, with an increase of 17.4% and a total of 40,483 registrations. For its part, the company channel experienced a growth of 20.6% and a total of 19,624 registrations during this period, and finally, the rental company channel with a 36.6% growth and a total of 30,051 units, although it should be noted that this channel is heavily influenced by the seasonal effect of Holy Week.</w:t>
      </w:r>
    </w:p>
    <w:p>
      <w:r>
        <w:t>Regarding the models demanded from the HYUNDAI brand in 2012, the i30 model and the i35 model, with figures of 8,314 units and 9,212 units, respectively, are positioned as the most demanded models of the brand in the Spanish market, being precisely these models, along with the new Santa Fe, the ones that were the subject of the agreements by the companies implicated that are analyzed in this file.</w:t>
      </w:r>
    </w:p>
    <w:p>
      <w:r>
        <w:t>III. ESTABLISHED FACTS</w:t>
      </w:r>
    </w:p>
    <w:p>
      <w:r>
        <w:t>Taking into account the information in the file, obtained by the DC both during the inspection carried out on June 4 and 5, 2013, at the consulting firm ANT's headquarters, as well as in the responses from the companies involved to the information requests made to them, the DC considered the facts presented in sections (89) to (117) of the PCH to be established, which are, in general terms, as follows:</w:t>
      </w:r>
    </w:p>
    <w:p>
      <w:r>
        <w:t>The DC understands that the practices contrary to competition law that were allegedly carried out - consisting of agreements on price fixing and commercial and service conditions, in addition to an exchange of commercially sensitive information in the Spanish market for the distribution of motor vehicles of the Hyundai brand, at least since 2012, among independent official dealerships of the mentioned brand and with the direct collaboration of ANT and HORWATH - were structured by geographical areas defined by their members: "Madrid Zone" and "Barcelona Zone."</w:t>
      </w:r>
    </w:p>
    <w:p>
      <w:r>
        <w:t>In each of these areas, different dealerships participated, according to their geographical scope of influence, with homogeneous behavior thanks to a common denominator, ANT, which acted as a facilitator and monitor of the agreements adopted by the dealerships in each area, controlling the selling price and commercial conditions agreed upon by them and facilitating the exchange of information, in compliance with the agreements adopted.</w:t>
      </w:r>
    </w:p>
    <w:p>
      <w:r>
        <w:t>The services provided by ANT consisted of evaluating customer service and quality of the companies that contracted their services, under the brand "The Indiscreet Customer," but aside from these evaluations carried out by the evaluators hired by ANT, this company also provided its services by conducting so-called "price studies" or "market/marketing studies," which collected information on the agreed vehicle models, information subsequently exchanged with the dealerships that were members of the alleged cartel, identifying the prices offered by those dealerships.</w:t>
      </w:r>
    </w:p>
    <w:p>
      <w:r>
        <w:t>Thus, it was reflected in the invoices issued by ANT to the implicated dealerships and in various documents related to ANT's methodology of action, which indicated their confidential nature due to the "danger" of this type of studies, as well as the ignorance on the part of the evaluators who visited the dealerships, with the aim of obtaining the best possible offer for a specific model, of the existence of the agreements adopted by the dealerships. As evidenced by various documents collected during the ANT inspection, based on the visits made by ANT's evaluators and the sheets they prepared for each visit to each dealership, ANT collected this information, to later send it to the implicated dealerships, indicating whether the maximum discount had been respected or whether discounts or gifts that were not included in the agreement had been offered, checking whether the dealerships that were members of the cartel complied with the commercial policy established by them, as evidenced in the multiple sheets in the file.</w:t>
      </w:r>
    </w:p>
    <w:p>
      <w:r>
        <w:t>The information shared with all the implicated dealerships in each area was the information regarding the prices offered by each dealership, for a specific model, the discounts applied, gifts offered, as well as the "incidents" or "irregularities" detected, with this exchange of information between ANT and the implicated dealerships being a key piece for controlling compliance with the agreements adopted, as evidenced in the documents called "Market Study Conditions" and the letter titled "HYUNDAI-BCN" dated December 26, 2006.</w:t>
      </w:r>
    </w:p>
    <w:p>
      <w:r>
        <w:t>The objective of these "market studies" or "price studies" was, as ANT expressly specified, to eliminate price competition and homogenize the maximum discounts, identifying those dealerships that violated the adopted price-fixing agreements, offering higher discounts and cheaper prices, and sending these "incidents," that is, the violations, to the members of the cartel, facilitating the compliance monitoring.</w:t>
      </w:r>
    </w:p>
    <w:p>
      <w:r>
        <w:rPr>
          <w:b/>
        </w:rPr>
        <w:t>[Pages 25–27]</w:t>
      </w:r>
    </w:p>
    <w:p>
      <w:r>
        <w:t>monitoring compliance with the agreements adopted, as indicated in a presentation of the Commercial Policy dated September 13, 2012. Thus, ANT had the necessary information to carry out the monitoring of the agreements adopted, indicating the vehicles included in the agreements, as well as the campaigns applied, as evidenced in the documentation collected during the inspection of the ANT headquarters, corroborated by CARS COREA and MERODIGAR in response to the information requests made, also providing a summary table, for a specific model, with the identification of the dealership, campaigns to be applied, market price, offers, gifts, appraisals, etc., and, where applicable, the incidents detected regarding the non-compliance with some of the terms of the agreements adopted, as reflected in the summary tables included in the file.</w:t>
      </w:r>
    </w:p>
    <w:p>
      <w:r>
        <w:t>Notwithstanding the two cited "geographical areas of influence" in which the DC found that the cartels were organized, and even observing indications of the existence of agreements contrary to competition law in the "Barcelona Zone" - at least during 2006 and 2007 - as evidenced in the service proposal made by ANT in 2006 to the dealerships in that area on December 26, 2006, and the email dated June 25, 2007, from a dealership to ANT, referring to what was agreed in a previous meeting, the DC considered the practice in that area to be time-barred as they could not provide evidence of its continuity beyond the year 2007.</w:t>
      </w:r>
    </w:p>
    <w:p>
      <w:r>
        <w:t>Regarding the "Madrid Zone," the DC has gathered evidentiary elements that, at least since 2012, would demonstrate the existence of the aforementioned price-fixing agreement and commercial and service conditions, as well as the exchange of commercially sensitive information regarding the distribution of HYUNDAI motor vehicles among the dealerships ALMOAUTO MOTOR, CARS COREA, COBENDAI, IBERDAI, LIDERDAI, MERODIGAR, GAMBOA, ROCAL, SANTÓN OLIVA, TAPISA, YUNCAR, and ZONAUTO, with the collaboration, the DC understands, of ANT and HORWATH.</w:t>
      </w:r>
    </w:p>
    <w:p>
      <w:r>
        <w:t>Thus, in September 2012, ANT presented to the HYUNDAI dealerships in the so-called "Madrid Zone" the methodology to be employed by that company to monitor the agreements adopted by those dealerships, as evidenced in an internal email from ANT dated September 12, 2012, attaching the document "Presentation of Commercial Policy," which indicated the following:</w:t>
      </w:r>
    </w:p>
    <w:p>
      <w:r>
        <w:t>“(…) CURRENT SITUATION</w:t>
        <w:br/>
        <w:t>• LOW PROFITABILITY PER OPERATION</w:t>
        <w:br/>
        <w:t>• FEW SALES</w:t>
        <w:br/>
        <w:t>• PRICE WAR</w:t>
        <w:br/>
        <w:t>PURPOSE OF THIS ACTION</w:t>
        <w:br/>
        <w:t>• AVOID THE PRICE WAR</w:t>
        <w:br/>
        <w:t>• HOMOGENIZATION OF MAXIMUM DISCOUNTS</w:t>
        <w:br/>
        <w:t>ACHIEVING THIS……</w:t>
        <w:br/>
        <w:t>INCREASING THE COMMERCIAL MARGIN PER VEHICLE SOLD</w:t>
        <w:br/>
        <w:t>STUDY WE PROPOSE</w:t>
        <w:br/>
        <w:t>OUR EVALUATORS OR “DISCREET BUYERS” WILL VISIT</w:t>
        <w:br/>
        <w:t>YOUR DEALERSHIPS WITH THE OBJECTIVE OF OBTAINING THE BEST POSSIBLE OFFER FOR A SPECIFIC MODEL</w:t>
        <w:br/>
        <w:t>WE WILL CHECK IF ALL THE DEALERSHIPS COMPLY OR NOT WITH THE ESTABLISHED COMMERCIAL POLICY</w:t>
        <w:br/>
        <w:t>METHODOLOGY</w:t>
        <w:br/>
        <w:t>FIRST VISIT</w:t>
        <w:br/>
        <w:t>OUR EVALUATOR VISITS THE DEALERSHIP AND SHOWS INTEREST IN A SPECIFIC MODEL. AFTER RECEIVING COMPLETE ATTENTION FROM THE SALES PERSON, THEY RECEIVE A FIRST OFFER FOR THAT VEHICLE.</w:t>
        <w:br/>
        <w:t>SECOND VISIT</w:t>
        <w:br/>
        <w:t>THE EVALUATOR RETURNS A FEW DAYS LATER AND TELLS THE SELLER THAT THEY HAVE BEEN TO ANOTHER DEALERSHIP AND HAVE RECEIVED A BETTER OFFER. THEY WILL BUY THE CAR FROM THEM IF THEY LET THE VEHICLE GO AT “THIS” PRICE</w:t>
        <w:br/>
        <w:t>(…) BUDGETS.- WE WILL PROVIDE YOU WITH THE BUDGETS OBTAINED AND/OR ANY WRITTEN DOCUMENTATION OBTAINED AS BUDGETS ON BLANK PAPER OR EVEN ON THE BACK OF BUSINESS CARDS.</w:t>
      </w:r>
    </w:p>
    <w:p>
      <w:r>
        <w:t>OFFERS OBTAINED - EACH OBTAINED OFFER WILL CONSIST OF VEHICLE PRICE + APPRAISAL OF THE USED CAR (IF ANY) + GIFTS OBTAINED.</w:t>
        <w:br/>
        <w:t>INCIDENTS - ANY IMPORTANT INCIDENT THAT MAY AFFECT THE OFFER WILL BE REFLECTED IN A SECTION OF “OBSERVATIONS”.</w:t>
        <w:br/>
        <w:t>(…) TRANSPARENCY - WE WILL PRESENT TO EACH DEALERSHIP A SUMMARY TABLE WITH THE COMPLETE OFFER (PRICE, GIFTS, AND APPRAISAL IF APPLICABLE) OFFERED BY EACH DEALER.</w:t>
        <w:br/>
        <w:t>PRIVACY - QUALITY DATA REFERRED TO EACH DEALERSHIP WILL ONLY BE KNOWN BY EACH DEALERSHIP.</w:t>
        <w:br/>
        <w:t>CONFIDENTIALITY - THIS TYPE OF WORK IS CARRIED OUT WITH THE HIGHEST LEVEL OF CONFIDENTIALITY. IN OUR DOCUMENTATION, WE WILL ALWAYS REFER TO “MARKET STUDIES” AND OBTAINED OFFERS AND DETECTED INCIDENTS. NONE OF OUR EVALUATORS WILL REALLY KNOW THE FINAL PURPOSE OF THE STUDY (…).”</w:t>
      </w:r>
    </w:p>
    <w:p>
      <w:r>
        <w:t>It was also noted that at least one meeting took place in September 2012 between representatives of the dealerships ALMOAUTO MOTOR, CARS COREA, COBENDAI, IBERDAI, LIDERDAI, MERODIGAR, GAMBOA, ROCAL, SANTÓN OLIVA, TAPISA, YUNCAR, and ZONAUTO, as evidenced by the handwritten notes of ANT collected during the inspection of that company and the response from ROCAL to the information request made:</w:t>
      </w:r>
    </w:p>
    <w:p>
      <w:r>
        <w:t>“(…) in September of that same year 2012, I was invited/called by another dealership, in my capacity as a representative of ROCAL AUTOMOCIÓN, to attend a meeting on marketing techniques for dealerships, which was held in September, with the attendance of representatives from various HYUNDAI dealerships in Madrid. In this meeting, various marketing and sales techniques were presented to the attendees, the presentation was developed by a person who indicated they belonged to the company ANT SERVICALIDAD SL. (…)”</w:t>
      </w:r>
    </w:p>
    <w:p>
      <w:r>
        <w:t>Thus, from the aforementioned handwritten notes, a meeting was evidenced on September 14 and another subsequent one on September 24, 2012, attended by representatives of the dealerships ALMOAUTO MOTOR, CARS COREA.</w:t>
      </w:r>
    </w:p>
    <w:p>
      <w:r>
        <w:rPr>
          <w:b/>
        </w:rPr>
        <w:t>[Pages 28–30]</w:t>
      </w:r>
    </w:p>
    <w:p>
      <w:r>
        <w:t>COBENDAI, IBERDAI, LIDERDAI, MERODIGAR, GAMBOA, ROCAL, SANTÓN OLIVA, TAPISA, YUNCAR, and ZONAUTO, in which the affected geographical area was established, the models of vehicles of the HYUNDAI brand subject to the agreement, the commercial policy to be followed regarding gifts, the fines to be imposed on dealerships that violated the agreements, the number of reports that ANT would send, the start date of October 1, 2012, from which ANT would monitor the implementation of the agreements adopted by the cartel, etc.17:</w:t>
        <w:br/>
        <w:t>“Fines €500 up to €3,000 progressive</w:t>
        <w:br/>
        <w:t>Registration If the client registers</w:t>
        <w:br/>
        <w:t>i30 Campaigns €390 €300</w:t>
        <w:br/>
        <w:t>ix35 Campaigns €550 €400</w:t>
        <w:br/>
        <w:t>New Santa Fe Campaigns €550 €400</w:t>
        <w:br/>
        <w:t>With KIT triangles, floor mats, flashlight.</w:t>
        <w:br/>
        <w:t>(…)</w:t>
        <w:br/>
        <w:t>No gifts allowed unless the margin is higher</w:t>
        <w:br/>
        <w:t>(…) - Margin €30 G - 3</w:t>
        <w:br/>
        <w:t>-</w:t>
        <w:br/>
        <w:t>- No. of Evaluations M - 2</w:t>
        <w:br/>
        <w:t>P - 1</w:t>
        <w:br/>
        <w:t>All of Madrid and Guadalajara</w:t>
        <w:br/>
        <w:t>If the pact is mentioned, that dealership pays €100. I will put it in the table (M/P).</w:t>
        <w:br/>
        <w:t>(…) Financing never below 7.95% (…)</w:t>
        <w:br/>
        <w:t>Sale of accessories at R.R.P. (…)</w:t>
        <w:br/>
        <w:t>Sale SMEs s/ campaigns without discounts</w:t>
        <w:br/>
        <w:t>Leasing out (…)</w:t>
        <w:br/>
        <w:t>(…) ⇒ Margin of error = €30 (…)</w:t>
        <w:br/>
        <w:t>(…) ⇒ No. of evaluations</w:t>
        <w:br/>
        <w:t>Large = 3 studies</w:t>
        <w:br/>
        <w:t>Medium = 2 studies</w:t>
        <w:br/>
        <w:t>Small = 1 study</w:t>
        <w:br/>
        <w:t>Vehicles subject to:</w:t>
        <w:br/>
        <w:t>- Hyundai Spain website</w:t>
        <w:br/>
        <w:t>- All Madrid + Guadalajara</w:t>
        <w:br/>
        <w:t>- Iberdai P - Merodigar Motor P</w:t>
        <w:br/>
        <w:t>- Motor Gamboa G x3 - Rocal Automoción P</w:t>
        <w:br/>
        <w:t>- Liderdai P - Cars Korea M x2</w:t>
        <w:br/>
        <w:t>- GP Coreavi P - Cobendai M x2</w:t>
        <w:br/>
        <w:t>17 Document “Hyundai Madrid” (folios 106 to 117), collected during the ANT inspection.</w:t>
        <w:br/>
        <w:t>28</w:t>
      </w:r>
    </w:p>
    <w:p>
      <w:r>
        <w:t>- Almoauto P - SANTÓN Oliva (guadal) P</w:t>
        <w:br/>
        <w:t>- Hyuncar Motor M x2 - Zonauto (Aranjuez) P</w:t>
        <w:br/>
        <w:t>17 Studies</w:t>
        <w:br/>
        <w:t>⇒ If a seller mentions the word “agreements” it is a €100 fine for that dealership (…)</w:t>
        <w:br/>
        <w:t>Fines</w:t>
        <w:br/>
        <w:t>1st ⇒ 500 2nd ⇒ 1,000 etc.</w:t>
        <w:br/>
        <w:t>Increase by €300 each time</w:t>
        <w:br/>
        <w:t>For the same dealership</w:t>
        <w:br/>
        <w:t>i.e. accumulate with the same</w:t>
        <w:br/>
        <w:t>CAP - 3,000 €</w:t>
        <w:br/>
        <w:t>From the 7th ⇒ 3,000 €</w:t>
        <w:br/>
        <w:t>Cars subject to:</w:t>
        <w:br/>
        <w:t>i-30</w:t>
        <w:br/>
        <w:t>ix35</w:t>
        <w:br/>
        <w:t>Santa Fe (new model) (…)</w:t>
        <w:br/>
        <w:t>i30: €390 €300</w:t>
        <w:br/>
        <w:t>ix35: €550 €400</w:t>
        <w:br/>
        <w:t>Santa F: €550 €400</w:t>
        <w:br/>
        <w:t>If the client registers</w:t>
        <w:br/>
        <w:t>Includes</w:t>
        <w:br/>
        <w:t>- Triangles</w:t>
        <w:br/>
        <w:t>- Vests</w:t>
        <w:br/>
        <w:t>- Floor mats</w:t>
        <w:br/>
        <w:t>- Gloves, flashlight, etc. (…)</w:t>
        <w:br/>
        <w:t>Financing:</w:t>
        <w:br/>
        <w:t>• Financing Tables ⇒ Request from contact person</w:t>
        <w:br/>
        <w:t>• Basic protection. Without insurance.</w:t>
        <w:br/>
        <w:t>(…) Start date 1/10/2012”.</w:t>
        <w:br/>
        <w:t>Thus, in the email sent on October 1, 2012, by ANT to GAMBOA, confirmation was requested from the participating dealerships in this cartel of the so-called “Madrid Zone”18 and an Excel document19 was attached identifying the twelve dealerships involved in that area. Also on that same date, in an internal email20 from ANT, the “Hyundai Madrid Protocol”21 was attached, which is detailed below, specifying all the particularities and conditions indicated by the participating dealerships, identifying the contact persons – two executives from GAMBOA and another from IBERDAI – to resolve possible issues in monitoring the agreements adopted by the cartel:</w:t>
        <w:br/>
        <w:t>HYUNDAI MADRID NETWORK</w:t>
        <w:br/>
        <w:t>START DATE.- 01/10/2012</w:t>
        <w:br/>
        <w:t>FIRST CONTACT PERSON (Executive GAMBOA)</w:t>
        <w:br/>
        <w:t>DEALERSHIP GAMBOA</w:t>
        <w:br/>
        <w:t>PHONE (…)</w:t>
        <w:br/>
        <w:t>EMAIL</w:t>
        <w:br/>
        <w:t>CONTACTS FOR CLIENT FOLLOW-UP MONTH BY MONTH. RATES, QUESTIONS, ETC.</w:t>
        <w:br/>
        <w:t>(Executive IBERDAI) (…) (…)</w:t>
        <w:br/>
        <w:t>(Executive GAMBOA) (…) (…)</w:t>
        <w:br/>
        <w:t>PRICE PER STUDY PRICE VISIT THIRD OF DEPOSIT</w:t>
        <w:br/>
        <w:t>€150 €75</w:t>
        <w:br/>
        <w:t>REMARKS REGARDING THIS REMARKS REGARDING THIS</w:t>
        <w:br/>
        <w:t>WHEN THE MATTER IS MORE MATURE THE SAME DAY OF THE DEPOSIT OR THE NEXT DAY</w:t>
        <w:br/>
        <w:t>PROPOSE UNIQUE AND TRIPLE VISITS THE EVALUATOR WILL CALL THE DEALERSHIP, AS A CLIENT,</w:t>
        <w:br/>
        <w:t>STATING THAT CIRCUMSTANCES HAVE CHANGED AND HE WILL NOT BUY THE CAR. IF HE DOES NOT WANT TO REQUEST A REFUND, WHAT PEDRO SEES AS CONVENIENT</w:t>
        <w:br/>
        <w:t>MARGIN OF ERROR VALUATIONS</w:t>
        <w:br/>
        <w:t>€30 GANVAM (-15%)</w:t>
        <w:br/>
        <w:t>REMARKS REGARDING THIS REMARKS REGARDING THIS</w:t>
        <w:br/>
        <w:t>FOR VEHICLES OVER 10 YEARS OLD, THE VALUE OF THE CAR MUST BE CALCULATED</w:t>
        <w:br/>
        <w:t>CONSIDERING THE DEPRECIATION OF YEARS 9 AND 10 AND TRANSFERRING IT TO THE AGE OF THE CAR. MAXIMUM VALUATION FOR THESE VEHICLES €500</w:t>
        <w:br/>
        <w:t>SUBJECT VEHICLES</w:t>
        <w:br/>
        <w:t>i 30 €390 REGISTRATION DISCOUNT: ONLY CAMPAIGNS</w:t>
        <w:br/>
        <w:t>21 Documents “Hyundai Madrid” (folios 73 to 75), file attached to the internal email from ANT of October 1, 2012 (folios 634.1 and 635) and file attached to the internal email from ANT of November 13, 2012 (folios 648 and 659), collected during the ANT inspection.</w:t>
      </w:r>
    </w:p>
    <w:p>
      <w:r>
        <w:rPr>
          <w:b/>
        </w:rPr>
        <w:t>[Pages 31–33]</w:t>
      </w:r>
    </w:p>
    <w:p>
      <w:r>
        <w:t xml:space="preserve">DISCOUNT: ONLY CAMPAIGNS  </w:t>
        <w:br/>
        <w:t xml:space="preserve">21 Documents "Hyundai Madrid" (folios 73 to 75), attached file to the internal email of ANT dated October 1, 2012 (folios 634.1 and 635) and attached file to the internal email of ANT dated November 13, 2012 (folios 648 and 659), collected during the ANT inspection.  </w:t>
        <w:br/>
        <w:t>30</w:t>
      </w:r>
    </w:p>
    <w:p>
      <w:r>
        <w:t xml:space="preserve">DISCOUNT: 7% INCLUDED  </w:t>
        <w:br/>
        <w:t xml:space="preserve">ix 35 €550 REGISTRATION CAMPAIGNS  </w:t>
        <w:br/>
        <w:t xml:space="preserve">NEW SANTA FE €550 REGISTRATION DISCOUNT: ONLY CAMPAIGNS  </w:t>
        <w:br/>
        <w:t xml:space="preserve">FINANCING SALE TO SMEs  </w:t>
        <w:br/>
        <w:t xml:space="preserve">THE CURRENT CAMPAIGN APPLIES  </w:t>
        <w:br/>
        <w:t xml:space="preserve">NEVER BELOW 7.95%. NO INSURANCE FOR SMEs. NO DISCOUNT  </w:t>
        <w:br/>
        <w:t xml:space="preserve">ACCESSORIES RENTING  </w:t>
        <w:br/>
        <w:t xml:space="preserve">THEY ARE AUDITED EVEN IF THEY ARE NOT IN  </w:t>
        <w:br/>
        <w:t xml:space="preserve">SOLD AT RETAIL PRICE THIS COMMERCIAL POLICY.  </w:t>
        <w:br/>
        <w:t xml:space="preserve">PENALTIES FOR INCIDENTS  </w:t>
        <w:br/>
        <w:t xml:space="preserve">1ST INCIDENT €500  </w:t>
        <w:br/>
        <w:t xml:space="preserve">EACH INCIDENT INCREASES BY €500 UP TO A CAP OF €3,000. THAT IS, FROM THE  </w:t>
        <w:br/>
        <w:t xml:space="preserve">SIXTH ONWARDS IT IS €3,000 EACH TIME THERE IS AN INCIDENT  </w:t>
        <w:br/>
        <w:t xml:space="preserve">OBSERVATIONS  </w:t>
        <w:br/>
        <w:t xml:space="preserve">* WHEN THE CLIENT REGISTERS, NO REGISTRATION FEE IS CHARGED BUT A PRE-DELIVERY FEE OF  </w:t>
        <w:br/>
        <w:t xml:space="preserve">€300 FOR THE i30 AND €400 FOR THE ix 35 AND THE SANTA FE. IN THESE CASES, IT CAN NEVER BE MORE  </w:t>
        <w:br/>
        <w:t xml:space="preserve">THAN 5%.  </w:t>
        <w:br/>
        <w:t xml:space="preserve">* THE PRE-DELIVERY INCLUDES TRIANGLES, VESTS, FLOOR MATS, GLOVES, FLASHLIGHT…  </w:t>
        <w:br/>
        <w:t xml:space="preserve">* GIFTS ARE NOT ALLOWED. UNLESS THERE IS MARGIN, OF COURSE. LIKE ALL.  </w:t>
        <w:br/>
        <w:t xml:space="preserve">* AUTOMATIC REGISTRATIONS.- THEY MAY CAUSE PROBLEMS. WE WILL SEE LATER.  </w:t>
        <w:br/>
        <w:t xml:space="preserve">NUMBER OF EVALUATIONS PER DEALERSHIP  </w:t>
        <w:br/>
        <w:t xml:space="preserve">THREE GROUPS OF DEALERSHIPS ARE ESTABLISHED: LARGE, MEDIUM, AND SMALL.  </w:t>
        <w:br/>
        <w:t xml:space="preserve">NUMBER OF STUDIES LARGE DEALERSHIPS 3  </w:t>
        <w:br/>
        <w:t xml:space="preserve">NUMBER OF STUDIES MEDIUM DEALERSHIPS 2  </w:t>
        <w:br/>
        <w:t xml:space="preserve">NUMBER OF STUDIES SMALL DEALERSHIPS 1  </w:t>
        <w:br/>
        <w:t xml:space="preserve">DEALERSHIPS  </w:t>
        <w:br/>
        <w:t xml:space="preserve">IBERDAI SMALL MERODIGAR MOTOR SMALL  </w:t>
        <w:br/>
        <w:t xml:space="preserve">MOTOR GAMBOA LARGE ROCAL AUTOMOTIVE SMALL  </w:t>
        <w:br/>
        <w:t xml:space="preserve">LIDERDAI SMALL CAR'S COREA MEDIUM  </w:t>
        <w:br/>
        <w:t xml:space="preserve">GP KOREAVI SMALL COBENDAI MEDIUM  </w:t>
        <w:br/>
        <w:t xml:space="preserve">ALMOAUTO SMALL SANTÓN OLIVA (GUADALAJARA) SMALL  </w:t>
        <w:br/>
        <w:t xml:space="preserve">YUNCAR MOTOR MEDIUM ZONAUTO (ARANJUEZ) SMALL  </w:t>
        <w:br/>
        <w:t xml:space="preserve">SUMMARY TO BE CONSIDERED  </w:t>
        <w:br/>
        <w:t xml:space="preserve">VALUATION FOR VEHICLES OVER 10 YEARS OLD MUST BE CALCULATED  </w:t>
        <w:br/>
        <w:t xml:space="preserve">THE VALUE OF THE CAR OBSERVING THE DEPRECIATION OF  </w:t>
        <w:br/>
        <w:t xml:space="preserve">THE 9TH AND 10TH YEARS AND TRANSFERRING IT TO THE AGE OF THE CAR.  </w:t>
        <w:br/>
        <w:t xml:space="preserve">MAXIMUM VALUATION FOR THESE VEHICLES €500  </w:t>
        <w:br/>
        <w:t xml:space="preserve">CARS OVER 10 YEARS OLD SHOULD BE TAKEN AS USED TO BE VALUED OF THIS TYPE BECAUSE  </w:t>
        <w:br/>
        <w:t xml:space="preserve">IT IS SAID THAT THERE ARE MORE AND MORE GIVEN THAT THE FLEET  </w:t>
        <w:br/>
        <w:t xml:space="preserve">IS VERY OLD.  </w:t>
        <w:br/>
        <w:t xml:space="preserve">ADDITIONAL PENALTY IF A SELLER MENTIONS THE WORD "AGREEMENT" OR  </w:t>
        <w:br/>
        <w:t xml:space="preserve">SIMILAR THERE IS A PENALTY OF €100  </w:t>
        <w:br/>
        <w:t xml:space="preserve">PAYMENTS AND DEPOSITS TO BE MADE WHEN THE  </w:t>
        <w:br/>
        <w:t xml:space="preserve">INCIDENT IS NOT DEMONSTRATED IN WRITING  </w:t>
        <w:br/>
        <w:t xml:space="preserve">PAYMENTS AND DEPOSITS COMMENT THAT ABOUT €300 OR €500 IS SUFFICIENT. !!  </w:t>
        <w:br/>
        <w:t xml:space="preserve">BE CAREFUL!! THEY COMMENT THAT MONDAYS ARE WHEN THERE ARE THE MOST  </w:t>
        <w:br/>
        <w:t xml:space="preserve">CANCELLATIONS OF PURCHASED VEHICLES.  </w:t>
        <w:br/>
        <w:t>31</w:t>
      </w:r>
    </w:p>
    <w:p>
      <w:r>
        <w:t xml:space="preserve">Once the services of ANT were contracted by the HYUNDAI dealerships in the  </w:t>
        <w:br/>
        <w:t xml:space="preserve">"Madrid Zone" for it to monitor compliance with the  </w:t>
        <w:br/>
        <w:t xml:space="preserve">agreements supposedly adopted by these dealerships, it was necessary for  </w:t>
        <w:br/>
        <w:t xml:space="preserve">ANT to know the price at which they could sell and the campaigns that  </w:t>
        <w:br/>
        <w:t xml:space="preserve">were included in said agreements, with this information being reported by  </w:t>
        <w:br/>
        <w:t xml:space="preserve">them to ANT through GAMBOA, since an executive of that dealership  </w:t>
        <w:br/>
        <w:t xml:space="preserve">was one of the contact persons of the cartel with ANT, as indicated in the  </w:t>
        <w:br/>
        <w:t xml:space="preserve">Protocol and evidenced in the email sent by that GAMBOA executive to ANT dated October 3, 2012.  </w:t>
        <w:br/>
        <w:t xml:space="preserve">22 Subsequently, on November 6, 2012, ANT sent an email  </w:t>
        <w:br/>
        <w:t xml:space="preserve">to another GAMBOA executive who had also been identified as  </w:t>
        <w:br/>
        <w:t xml:space="preserve">a contact person to provide the contact details of the other  </w:t>
        <w:br/>
        <w:t xml:space="preserve">participating dealerships to send them the studies already conducted for the month of  </w:t>
        <w:br/>
        <w:t xml:space="preserve">October, with ANT attaching a table listing those dealerships, namely  </w:t>
        <w:br/>
        <w:t xml:space="preserve">ALMOAUTO MOTOR, CARS COREA, COBENDAI, IBERDAI, LIDERDAI,  </w:t>
        <w:br/>
        <w:t xml:space="preserve">MERODIGAR, GAMBOA, ROCAL, SANTÓN OLIVA, TAPISA (which is referred to as G.P.  </w:t>
        <w:br/>
        <w:t xml:space="preserve">KOREAVI), YUNCAR, and ZONAUTO.  </w:t>
        <w:br/>
        <w:t xml:space="preserve">23 Thus, ANT sent the first "market studies" to these dealerships starting in October 2012, following the visits of its evaluators monitoring the  </w:t>
        <w:br/>
        <w:t xml:space="preserve">compliance with the agreements adopted by the cartel. These studies  </w:t>
        <w:br/>
        <w:t xml:space="preserve">included comparative tables of the prices and commercial conditions  </w:t>
        <w:br/>
        <w:t xml:space="preserve">offered by the participating dealerships, detailing the so-called  </w:t>
        <w:br/>
        <w:t xml:space="preserve">"incidents," that is, the non-compliance with some of the agreed terms,  </w:t>
        <w:br/>
        <w:t xml:space="preserve">as stated in the internal email of ANT dated November 13, 2012, attaching the tables related to October 2012, evidencing the  </w:t>
        <w:br/>
        <w:t xml:space="preserve">participation in this alleged cartel of ALMOAUTO MOTOR, CARS COREA,  </w:t>
        <w:br/>
        <w:t xml:space="preserve">COBENDAI, IBERDAI, LIDERDAI, MERODIGAR, GAMBOA, ROCAL, SANTÓN  </w:t>
        <w:br/>
        <w:t xml:space="preserve">OLIVA, TAPISA (which is referred to as G.P. KOREAVI), YUNCAR, and ZONAUTO, as  </w:t>
        <w:br/>
        <w:t xml:space="preserve">reflected in the aforementioned table for the month of October 2012.  </w:t>
        <w:br/>
        <w:t xml:space="preserve">24:  </w:t>
        <w:br/>
        <w:t xml:space="preserve">OCTOBER 2012:  </w:t>
        <w:br/>
        <w:t xml:space="preserve">22 Email sent by GAMBOA to ANT on October 3, 2012, with the subject "October HYUNDAI campaigns" collected during the ANT inspection (folios 644 and 645).  </w:t>
        <w:br/>
        <w:t xml:space="preserve">23 Email sent by ANT to GAMBOA on November 6, 2012, with the subject "Hyundai contact details," collected during the ANT inspection (folios 646 and 647).  </w:t>
        <w:br/>
        <w:t xml:space="preserve">24 Files attached to the internal email of ANT dated November 13, 2012 (folios 648 and 649), collected during the ANT inspection.  </w:t>
        <w:br/>
        <w:t>32</w:t>
      </w:r>
    </w:p>
    <w:p>
      <w:r>
        <w:t xml:space="preserve">NUMBER OF DEALERSHIPS EVALUATED: 12  </w:t>
        <w:br/>
        <w:t xml:space="preserve">NUMBER OF STUDIES PER DEALERSHIP EVALUATION MODE: TWO VISITS  </w:t>
        <w:br/>
        <w:t xml:space="preserve">1 IBERDAI MOTORS, S.A. 1 VISIT 1  </w:t>
        <w:br/>
        <w:t xml:space="preserve">2 LIDERDAI, S.A. 1 EVALUATION OF CUSTOMER SERVICE,  </w:t>
        <w:br/>
        <w:t xml:space="preserve">SHOWING INTEREST IN A MODEL IN  </w:t>
        <w:br/>
        <w:t xml:space="preserve">3 G.P. KOREAVI 1 PARTICULAR.  </w:t>
        <w:br/>
        <w:t xml:space="preserve">4 YUNCAR MOTOR, S.L. 2 VISIT 2  </w:t>
        <w:br/>
        <w:t xml:space="preserve">5 MERODIGAR MOTOR, S.L. 1  </w:t>
        <w:br/>
        <w:t xml:space="preserve">OBTAINING GIFTS AND/OR A LOWER PRICE THAN IN THE FIRST VISIT.  </w:t>
        <w:br/>
        <w:t xml:space="preserve">6 ROCAL AUTOMOTIVE, S.L. 1  </w:t>
        <w:br/>
        <w:t xml:space="preserve">7 CARS COREA S.L. 2  </w:t>
        <w:br/>
        <w:t xml:space="preserve">8 COBENDAI, S.L. 2 REQUESTED MODELS  </w:t>
        <w:br/>
        <w:t xml:space="preserve">9 SANTON OLIVA, S.L. 1 i30, 1.4 CRDI (DIESEL) MANUAL GEAR CHANGE, 90 CV GLS TECH  </w:t>
        <w:br/>
        <w:t xml:space="preserve">10 ZONAUTO SUR, S.L. 1 AND METALLIC PAINT  </w:t>
        <w:br/>
        <w:t xml:space="preserve">iX35, 1.7 CRDI (DIESEL) MANUAL GEAR CHANGE, 115CV TRACTION  </w:t>
        <w:br/>
        <w:t xml:space="preserve">11 MOTOR GAMBOA 3  </w:t>
        <w:br/>
        <w:t xml:space="preserve">2 4X2 GLS TECH WITH METALLIC PAINT  </w:t>
        <w:br/>
        <w:t xml:space="preserve">12 ALMOAUTO MOTOR, S.L. 1  </w:t>
        <w:br/>
        <w:t xml:space="preserve">GIFTS  </w:t>
        <w:br/>
        <w:t xml:space="preserve">ONLY THOSE THAT REPRESENT A SIGNIFICANT IMPROVEMENT IN THE OFFER ARE CONSIDERED AS GIFTS. THEREFORE, GIFTS  </w:t>
        <w:br/>
        <w:t xml:space="preserve">LIKE TRIANGLES AND VESTS (SAFETY KIT) ARE NOT TAKEN INTO ACCOUNT.  </w:t>
        <w:br/>
        <w:t xml:space="preserve">The tables related to the month of October 2012 attached in the aforementioned internal email of ANT dated November 13, 2012 coincide with those provided by CARS COREA and MERODIGAR in response to the  </w:t>
        <w:br/>
        <w:t xml:space="preserve">information requests made. In these tables, the monitoring of the agreements adopted by these dealerships of the HYUNDAI brand in the so-called "Madrid Zone" regarding certain models of vehicles included in said agreements can be observed. The information exchanged was related to market price, offers, gifts, valuations, etc., as could be seen, for example, in one of the summary tables sent by ANT.  </w:t>
        <w:br/>
        <w:t xml:space="preserve">25 Likewise, the information provided by CARS COREA included the evaluations conducted in different dealerships, showing the monitoring of the agreements adopted regarding the campaigns to be applied, the models included in the agreements, the price to be offered, the gifts, the valuations, etc. and, in  </w:t>
        <w:br/>
        <w:t xml:space="preserve">25 Files attached to the internal email of ANT dated November 13, 2012 (folios 648 and 649), collected during the ANT inspection and information provided by MERODIGAR and CARS COREA in response to the information requests made (folios 1143 to 1169 and 1233 to 1258, respectively).  </w:t>
        <w:br/>
        <w:t>33</w:t>
      </w:r>
    </w:p>
    <w:p>
      <w:r>
        <w:rPr>
          <w:b/>
        </w:rPr>
        <w:t>[Pages 34–36]</w:t>
      </w:r>
    </w:p>
    <w:p>
      <w:r>
        <w:t>in its case, the incidents detected, as noted in the summary tables sent, such as in the following26:</w:t>
      </w:r>
    </w:p>
    <w:p>
      <w:r>
        <w:t>26 Information provided by CARS COREA in response to the information request made (folios 1233 to 1258)</w:t>
      </w:r>
    </w:p>
    <w:p>
      <w:r>
        <w:t>Additionally, the file contains the invoices issued by ANT to the participating HYUNDAI dealerships in the "Madrid Zone," in which these services are billed as the so-called "market studies" or "marketing studies," although as has been demonstrated, these reports corresponded to the monitoring of the agreements adopted by the cartel. Thus, in the invoices to which the DC had access, most of which were collected during the ANT inspection, although some of them were also provided by some of the dealerships involved in response to the information requests made, it is observed that these invoices issued by ANT to ALMOAUTO MOTOR27, CARS COREA28, COBENDAI29, IBERDAI30, LIDERDAI31, MERODIGAR32, GAMBOA33, ROCAL34, SANTÓN OLIVA35, YUNCAR36, and ZONAUTO37, coincide in dates and concepts for the different dealerships, confirming that they are identical studies, contracted and carried out on the same date for these dealerships in order to monitor compliance with the aforementioned agreements adopted.</w:t>
      </w:r>
    </w:p>
    <w:p>
      <w:r>
        <w:t>On the other hand, the handwritten notes of ANT regarding the meeting held in September 2012 indicate the participation of HORWATH, referring to the fact that he also made a presentation. Likewise, on October 1, 2012, ANT sent an email to HORWATH sending him the Protocol of the HYUNDAI dealerships in the so-called "Madrid Zone"38. Both HORWATH, in the allegations he submitted on May 7, 201439, and the HYUNDAI dealerships in the "Madrid Zone" in response to the information requests made, after being questioned by the DC regarding their relationship with that company, stated to the DC that they had never had a professional relationship or service provision of any kind and claimed to be unaware of HORWATH40.</w:t>
      </w:r>
    </w:p>
    <w:p>
      <w:r>
        <w:t>However, although for example ROCAL claims to have had no relationship whatsoever with HORWATH, which it says it absolutely does not know, without having any information or documentation from it and with which it has had no contact, the truth is that ROCAL sent that company an email on October 31, 2012, providing its contact details, in response to the one sent that same day by HORWATH, requesting this information, given that in November the work to be carried out by that company for the HYUNDAI dealerships in the "Madrid Zone" would begin, as had been foreseen in the aforementioned meeting of September 201241:</w:t>
      </w:r>
    </w:p>
    <w:p>
      <w:r>
        <w:t>“Good afternoon; as we are about to start our work this November, I would kindly ask you to send me as soon as possible the contact details of the responsible person to whom we should address ourselves to establish the work dates, as well as the social data of the dealership for the billing of our fees.”</w:t>
      </w:r>
    </w:p>
    <w:p>
      <w:r>
        <w:t>On the other hand, this email was forwarded on November 16, 2012, by HORWATH to ANT, with HORWATH also sending ANT the contact details he had of the HYUNDAI dealerships in the "Madrid Zone," namely, ALMOAUTO MOTOR, CARS COREA, COBENDAI, IBERDAI, LIDERDAI, MERODIGAR, GAMBOA, ROCAL, SANTÓN OLIVA, TAPISA (which he refers to as G.P. KOREAVI), YUNCAR, and ZONAUTO42.</w:t>
      </w:r>
    </w:p>
    <w:p>
      <w:r>
        <w:t>LEGAL GROUNDS</w:t>
      </w:r>
    </w:p>
    <w:p>
      <w:r>
        <w:t>FIRST. COMPETENCY ENABLEMENT</w:t>
      </w:r>
    </w:p>
    <w:p>
      <w:r>
        <w:t>In accordance with the provisions of the first additional provision of Law 3/2013, of June 4, creating the National Commission of Markets and the</w:t>
      </w:r>
    </w:p>
    <w:p>
      <w:r>
        <w:t>40 Responses from IBERDAI, LIDERDAI, ZONAUTO, MERODIGAR, GAMBOA, ALMOAUTO MOTOR, COBENDAI, TAPISA, CARS COREA, and ROCAL to the information requests made (folios 1100, 1105, 1110, 1143 and 1144, 1219, 1221, 1224, 1230, 1233 and 1271, respectively).</w:t>
      </w:r>
    </w:p>
    <w:p>
      <w:r>
        <w:t>41 Emails exchanged between ROCAL and HORWATH on October 31, 2012, with the subject "Contact Data" (folios 661 and 662), collected during the ANT inspection.</w:t>
      </w:r>
    </w:p>
    <w:p>
      <w:r>
        <w:t>42 Emails exchanged between ROCAL and HORWATH on October 31, 2012, with the subject "Contact Data," and forwarded by HORWATH to ANT on November 16, 2012 (folios 660 to 662), collected during the ANT inspection.</w:t>
      </w:r>
    </w:p>
    <w:p>
      <w:r>
        <w:rPr>
          <w:b/>
        </w:rPr>
        <w:t>[Pages 37–39]</w:t>
      </w:r>
    </w:p>
    <w:p>
      <w:r>
        <w:t>Competencia, by Order ECC/1796/2013, of October 4, of the Ministry of Economy and Competitiveness, established October 7, 2013, as the date for the operation of the CNMC. According to the second additional provision of the same Law, "references in current legislation to the National Competition Commission [...] shall be understood as references to the National Commission of Markets and Competition [...]" and "References in Law 15/2007, of July 3, to the Investigation Directorate of the National Competition Commission shall be understood as references to the Competition Directorate of the National Commission of Markets and Competition."</w:t>
      </w:r>
    </w:p>
    <w:p>
      <w:r>
        <w:t>On the other hand, according to Article 5.1.c) of Law 3/2013, the CNMC is responsible for "applying the provisions of Law 15/2007, of July 3, regarding conduct that prevents, restricts, and distorts competition." Article 20.2 of the same law assigns to the Council the function of "resolving the sanctioning procedures provided for in Law 15/2007, of July 3," and according to Article 14.1.a) of the organic statute of the CNMC approved by Royal Decree 657/2013, of August 30, "the Competition Chamber shall hear matters related to the application of Law 15/2007, of July 3."</w:t>
      </w:r>
    </w:p>
    <w:p>
      <w:r>
        <w:t>Consequently, the authority to resolve this procedure corresponds to the Competition Chamber of the CNMC Council.</w:t>
      </w:r>
    </w:p>
    <w:p>
      <w:r>
        <w:t>SECOND. OBJECT OF THE RESOLUTION AND APPLICABLE REGULATIONS</w:t>
      </w:r>
    </w:p>
    <w:p>
      <w:r>
        <w:t>In this sanctioning file, this Chamber must resolve, based on the instruction carried out by the DC, as reflected in the Report and Proposal for Resolution, whether the investigated conduct constitutes anti-competitive practices, prohibited by Article 1 of the LDC, consisting of agreements to fix prices and commercial conditions affecting the retail distribution sector of Hyundai brand vehicles in the so-called "Madrid Zone."</w:t>
      </w:r>
    </w:p>
    <w:p>
      <w:r>
        <w:t>The DC considers that the analyzed conduct is a practice prohibited by Article 1 of the LDC, which corresponds to the definition of a cartel.</w:t>
      </w:r>
    </w:p>
    <w:p>
      <w:r>
        <w:t>Regarding the applicable national regulations, this file concerns practices carried out during the validity of Law 15/2007, of July 3, on the Defense of Competition (LDC), which prohibits agreements that have as their object, produce, or may produce the effect of fixing, directly or indirectly, prices or other commercial or service conditions in all or part of the national market, opposing any direct or indirect contact between competitors that aims to influence the behavior of a real or potential competitor, or to disclose to that competitor the behavior that has been decided to adopt or is intended to be adopted in the market.</w:t>
      </w:r>
    </w:p>
    <w:p>
      <w:r>
        <w:t>Specifically, the conduct related to the alleged practices took place from at least September 2012 to June 2013. In light of this, Law 15/2007 is the applicable norm to this sanctioning procedure.</w:t>
      </w:r>
    </w:p>
    <w:p>
      <w:r>
        <w:t>THIRD. LEGAL ASSESSMENT OF THE INSTRUCTING BODY</w:t>
      </w:r>
    </w:p>
    <w:p>
      <w:r>
        <w:t>Upon completion of the instruction of the file, the DC understands that the existence of agreements adopted and implemented by the involved companies to fix prices, through the determination of maximum discounts, and commercial conditions, is evidenced, monitoring such agreements through the exchange of strategically and commercially sensitive information, leading to a homogenization in the marketing conditions of the Hyundai brand in the so-called "Madrid Zone," restricting competition in the retail distribution sector of vehicles of that brand.</w:t>
      </w:r>
    </w:p>
    <w:p>
      <w:r>
        <w:t>Based on Article 50.4 of the LDC, the DC has proposed to the Competition Chamber of the Council the following:</w:t>
      </w:r>
    </w:p>
    <w:p>
      <w:r>
        <w:t>“- First. That the existence of a practice prohibited by Article 1 of the LDC be declared, due to the agreements adopted and implemented by the dealerships ALMOAUTO MOTOR, S.L., CARS COREA, S.L., COBENDAI, S.L., IBERDAI MOTORS, S.A., LIDERDAI, S.A., MERODIGAR MOTOR, S.L., MOTOR GAMBOA, S.A., ROCAL AUTOMOCIÓN, S.L., SANTÓN OLIVA, S.L., TALLERES PITA, S.A., YUNCAR MOTOR, S.L., and ZONAUTO SUR, S.L., through contacts and meetings between representatives of these Hyundai brand dealerships in the so-called Madrid Zone, with the collaboration of ANT SERVICALIDAD, S.L. and HORWATH AUDITORES ESPAÑA, S.L.P.</w:t>
      </w:r>
    </w:p>
    <w:p>
      <w:r>
        <w:t>- Second. That this collusive conduct be classified, for the purposes of determining the sanction to be imposed, as a very serious infringement of Article 62.4.a) of the LDC.”</w:t>
      </w:r>
    </w:p>
    <w:p>
      <w:r>
        <w:t>Furthermore, the DC proposes that all companies identified in point One be declared responsible for these infringements, in accordance with Article 61 of the LDC.</w:t>
      </w:r>
    </w:p>
    <w:p>
      <w:r>
        <w:t>Considering the information contained in the file, the DC believes that the existence of agreements adopted and implemented by the involved parties through contacts and meetings between representatives of these companies, dealerships of Hyundai brand vehicles in the so-called "Madrid Zone," with the collaboration of the consulting firms ANT and HORWATH, from September 2012 until at least June 2013, is evidenced. The DC states in its proposal for resolution that it has been established that the dealerships adopted agreements to fix prices and commercial conditions, monitoring the agreements adopted through the exchange of strategically and commercially sensitive information carried out by ANT and HORWATH, which were contracted by these dealerships to carry out such monitoring, leading to a homogenization of the marketing conditions of certain models of Hyundai brand vehicles in the repeated "Madrid Zone," thereby restricting competition in the retail distribution sector of vehicles of that brand.</w:t>
      </w:r>
    </w:p>
    <w:p>
      <w:r>
        <w:t>FOURTH. ALLEGATIONS PRESENTED TO THE PROPOSAL FOR RESOLUTION</w:t>
      </w:r>
    </w:p>
    <w:p>
      <w:r>
        <w:t>On November 27, 2014, the DC submitted its Report with a proposal for resolution to the Competition Chamber of the CNMC Council, in which it proposes, as previously mentioned, that the existence of a practice prohibited by Article 1 of the LDC be declared, and that the collusive conduct it understands to be evidenced be classified, for the purposes of determining the sanction to be imposed, as a very serious infringement of Article 62.4.a) of the LDC.</w:t>
      </w:r>
    </w:p>
    <w:p>
      <w:r>
        <w:t>The involved companies have presented allegations to the proposal for resolution, many of which coincide, which are subsequently addressed by this Competition Chamber.</w:t>
      </w:r>
    </w:p>
    <w:p>
      <w:r>
        <w:t>4.1. On the incorrect delimitation of the relevant market and the lack of competence of the CNMC</w:t>
      </w:r>
    </w:p>
    <w:p>
      <w:r>
        <w:t>Various involved companies (such as GAMBOA, ZONAUTO, SANTÓN OLIVA, MERODIGAR, LIDERDAI, ROCAL AUTOMOCIÓN) agree in arguing in their written allegations to the PR, as they did regarding the PCH, that the delimitation of the relevant market made by the DC is not correct, even labeling it as "completely arbitrary and unrelated to the reality of the sector and its functioning" (folio 6669, allegations of GAMBOA).</w:t>
      </w:r>
    </w:p>
    <w:p>
      <w:r>
        <w:t>While the DC defines the affected market as that of the distribution of passenger motor vehicles of the HYUNDAI brand through independent dealerships of the manufacturer of that brand, various involved parties indicate that the relevant market for this file would be that of "the sale to private customers of new vehicles of any brand that belong to the same segments and are of similar price and quality characteristics as the...</w:t>
      </w:r>
    </w:p>
    <w:p>
      <w:r>
        <w:rPr>
          <w:b/>
        </w:rPr>
        <w:t>[Pages 40–42]</w:t>
      </w:r>
    </w:p>
    <w:p>
      <w:r>
        <w:t>folios 7478 to 7494 (LIDERDAI SA), folios 7533 to 7553 (MERODIGAR MOTOR, SL), folios 7563 to 7581 (ROCAL AUTOMOCIÓN SL), folios 7582 to 7600 (IBERDAI MOTORS SA), folios 7615 to 7652 (TALLERES PITA, SA), folios 7721 to 7742 (CARS COREA SL), folios 8365 to 8404 (ALMOAUTO MOTOR SA), folios 8826 to 8832 (ANT).</w:t>
        <w:br/>
        <w:t>39</w:t>
      </w:r>
    </w:p>
    <w:p>
      <w:r>
        <w:t>models 30i, 35x, and Santa Fe” (folio 6674 allegations of GAMBOA). Other parties involved restrict the affected market to two models, considering that there is no documentation in the file that allows for the consideration of any agreement related to the Santa Fe model (folio 7536, allegations MERODIGAR; folio 7735, allegations CARS COREA).</w:t>
      </w:r>
    </w:p>
    <w:p>
      <w:r>
        <w:t>Different parties involved argue that the determination of the affected market should not include sales of rental vehicles (folio 7537, allegations MERODIGAR) or leasing, stating that “the supposed protocol governing the cartel (folio 74 of the file) excludes from its application vehicles intended for leasing: ‘they are audited even though they are not in the commercial policy’” (folio 7648 allegations of TAPISA and folio 8398 allegations ALMOAUTO MOTOR).</w:t>
      </w:r>
    </w:p>
    <w:p>
      <w:r>
        <w:t>In turn, regarding the geographical market, while some dealerships in their allegations dispute the addition made in the PCH and in the PR of dealerships from the provinces of Madrid, Guadalajara, and Segovia, arguing against the assessment of the DC that the geographical market should be considered national or even extend to the European economic area (folio 6679, allegations of GAMBOA; folio 7489 allegations of LIDERDAI), other parties involved, on the contrary, consider that the affected market does not exceed that of the Autonomous Community of Madrid and, therefore, that the competent authority for the instruction of the file is not the DC (folio 7443, allegations SANTÓN OLIVA; folios 7565-7568, allegations ROCAL).</w:t>
      </w:r>
    </w:p>
    <w:p>
      <w:r>
        <w:t xml:space="preserve">Response from the Competition Chamber of the Council: </w:t>
        <w:br/>
        <w:t>Even though in this case, given that it concerns a collusive practice prohibited by Article 1 LDC, it would not have been necessary to carry out a delimitation of the relevant market since it is not an essential element of the infringing type, it should be noted that the definition of the market contained in the proposed resolution is, in the opinion of this Chamber, accurate.</w:t>
      </w:r>
    </w:p>
    <w:p>
      <w:r>
        <w:t>The notions of relevant market and affected market are clearly differentiated in the PR prepared by the DC, with the latter being delineated by the accreditation of the facts and the content of the agreements. The affected market coincides with the market in which the infringing conduct materializes, that is, for which the analyzed agreements are taken, which in this file corresponds to the distribution of passenger motor vehicles of the brand HYUNDAI, models i30, ix35, and Santa Fe, through independent dealerships of the manufacturer.</w:t>
      </w:r>
    </w:p>
    <w:p>
      <w:r>
        <w:t>Since it is the companies and entities themselves that with their anticompetitive conduct determine the scope affected by the infringement (Resolution of the Council of the CNC of July 30, 2013, Expte. S/0380/11 Rental Cars and Resolution of the CNMC of September 22, 2014, Expte. S/0428/12 PALLETS), this Chamber considers that it has been sufficiently evidenced in this file that the affected market is that of the distribution of passenger motor vehicles of the brand HYUNDAI through independent dealerships of the manufacturer. The facts accredited in the file have developed exclusively by official independent dealerships of the brand and the relevant agreements were adopted both regarding sales made to individuals and to SMEs, with the exchanges of information relating to the models i30, ix35, and Santa Fe corroborating the validity of the definition of the affected market made by the DC.</w:t>
      </w:r>
    </w:p>
    <w:p>
      <w:r>
        <w:t>This Chamber also fully agrees with the analysis carried out with the DC in concluding that the conduct subject to this file has had effects on competition in part of the Spanish market, reaching a supra-autonomous scope, affecting the Autonomous Communities of Madrid and Castilla-La Mancha. The determination of the CNMC as the competent authority to instruct and resolve this sanctioning file, therefore, cannot raise any doubt. As the Competition Authority has had the opportunity to reiterate (see, for example, RCNC of October 26, 2011, Expte. S/0192/09, Asphalts), “the criterion for the allocation between the State and the Autonomous Communities of the competence to pursue and sanction restrictive conduct is not the national, autonomous, or local nature of the relevant product market in each case, but the geographical infra-autonomous or supra-autonomous scope of the restrictive effects of competition that a particular conduct produces or may produce.” This point has been endorsed by the National Court (among others, SAN of May 7, 2014): “The Chamber shares these approaches, because it results from the file that the conduct affected or could affect various Autonomous Communities.”</w:t>
      </w:r>
    </w:p>
    <w:p>
      <w:r>
        <w:t>These issues, raised by the parties also in their allegations to the PCH, have already been, in the opinion of this Chamber, duly addressed by the DC in the proposed resolution, and there are no new data or reasons that could provoke a response different from that already expressed then or that justify further analysis.</w:t>
      </w:r>
    </w:p>
    <w:p>
      <w:r>
        <w:t xml:space="preserve">4.2. On the lack of accreditation of the facts </w:t>
        <w:br/>
        <w:t>The majority of the companies involved (GAMBOA, ZONAUTO, SANTÓN OLIVA, MERODIGAR, ROCAL AUTOMOCIÓN, IBERDAI, CARS COREA, ALMOAUTO, and TAPISA) agree in alleging that the DC has not sufficiently accredited the practices described in the PR, and that the accusation is based on mere indications. It is also a common allegation to consider that the right to the presumption of innocence has been violated due to insufficient evidence.</w:t>
      </w:r>
    </w:p>
    <w:p>
      <w:r>
        <w:t xml:space="preserve">Response from the Competition Chamber: </w:t>
        <w:br/>
        <w:t>Given the characteristics of the conduct being analyzed, the DC has assessed the evidence obtained and incorporated into the file, particularly the documentation collected during the inspection of the ANT headquarters and the responses provided by the parties involved to the corresponding information requests, which has allowed it to determine both the facts that are considered accredited and the participation of the accused companies in them.</w:t>
      </w:r>
    </w:p>
    <w:p>
      <w:r>
        <w:t>It is well known that the use of circumstantial evidence in the field of competition law has been repeatedly accepted by the Supreme Court (STS of October 6 and November 5, 1997, October 26, 1998, and January 28, 1999). For circumstantial evidence to lawfully undermine the presumption of innocence, “it is necessary that the indications are based not on mere suspicions, rumors, or conjectures, but on fully accredited facts, and that there is a precise and direct link between the base facts and the one that is being accredited, according to the rules of human judgment” (SAN of May 7, 2014). This Chamber understands that the conclusions reached by the DC are congruently supported, and in accordance with a logical and reasoned argument, in the accredited facts.</w:t>
      </w:r>
    </w:p>
    <w:p>
      <w:r>
        <w:t>Indeed, the documentation in the file allows us to conclude that in September 2012, ANT made a presentation for the Hyundai dealerships in the so-called “Madrid Zone,” regarding the methodology to be applied by the consultant to monitor the agreements adopted by those dealerships. An internal email from ANT dated September 12, 2012, is included in the file, which attaches a document “Commercial Policy Presentation,” in which clear indications are made about the content of the services of ANT [“avoid price wars; homogenization of maximum discounts, increase the commercial margin per vehicle sold; we will check whether all dealerships comply with the established commercial policy; transparency - we will present to each dealership a summary table with the complete offer (prices, gifts, and valuation if applicable) offered by each dealership; privacy - the quality data related to each dealership will only be known by each dealership; confidentiality - this type of work is carried out with the highest level of confidentiality. In our documentation, we will always refer to ‘market studies’ and to offers obtained and incidents detected. None of our evaluators will really know the final purpose of the study (…)”].</w:t>
      </w:r>
    </w:p>
    <w:p>
      <w:r>
        <w:rPr>
          <w:b/>
        </w:rPr>
        <w:t>[Pages 43–45]</w:t>
      </w:r>
    </w:p>
    <w:p>
      <w:r>
        <w:t>Similarly, it is evidenced by the documentation in the file that at least one meeting took place in September 2012 between ANT and representatives of the involved dealerships. The handwritten notes from ANT collected during the inspection coincide on this point with the response from ROCAL to the information request made. The handwritten notes from ANT reflect a meeting on September 14 and another on September 24, 2012, attended by representatives of the involved dealerships, during which the affected geographical area, the Hyundai vehicle models subject to the agreement, the existing commercial policy regarding gifts, the fines to be imposed on dealerships that fail to comply with the agreements, if applicable, the penalties to be imposed if the dealerships "mention the pact" or "mention the word agreement," the number of reports to be sent by ANT, or the date of October 1, 2012, as the start date for monitoring the implementation of the agreements adopted by the cartel were discussed.</w:t>
      </w:r>
    </w:p>
    <w:p>
      <w:r>
        <w:t>The file also contains an email dated October 1, 2012, sent by ANT to GAMBOA, which includes a list of dealerships and in the text of the message refers to "the concessions that fall under the commercial policy." From the same date, there is an internal email from ANT in which a document titled "Hyundai Madrid Protocol" is attached, which includes the aforementioned elements of dealership data, vehicles subject to the agreements, "penalties for incidents," additional penalties in case the seller mentions the word "agreement" or similar, etc., as well as the names of the contact persons from two of the dealerships (GAMBOA and IBERDAI) to resolve issues related to rates or other questions month by month.</w:t>
      </w:r>
    </w:p>
    <w:p>
      <w:r>
        <w:t>In this regard, the file also includes an email sent by the sales manager of GAMBOA to ANT dated October 3, 2012, attaching "this month's campaigns" and mentioning possible short-term corrections. There are other emails between ANT and GAMBOA, and internal emails from ANT, related to the sending of studies conducted by ANT in October to the involved dealerships. The studies included comparative tables of the prices and commercial conditions offered by the dealerships, with information on market price, offers, gifts, appraisals, etc. This information coincides with that provided by some dealerships in response to the information requests (CARS COREA, MERODIGAR) and allows for the assessment of the follow-up on the agreements adopted by the dealerships regarding the campaigns to be applied, the vehicle models included in the agreements, the price to be offered, the gifts, the appraisals, and, if applicable, the incidents detected.</w:t>
      </w:r>
    </w:p>
    <w:p>
      <w:r>
        <w:t>Additionally, the file contains invoices issued by ANT to the involved dealerships for services designated as "marketing studies" or "market studies," all invoices coinciding in dates and concepts and collected during the ANT inspection as well as provided by some of the dealerships in the information requests.</w:t>
      </w:r>
    </w:p>
    <w:p>
      <w:r>
        <w:t>4.3. On the duration of the infringement</w:t>
      </w:r>
    </w:p>
    <w:p>
      <w:r>
        <w:t>The representation of ANT indicates that its services to the involved dealerships were limited to those provided in October 2012, so it cannot be held responsible for any alleged monitoring activities beyond that date. GAMBOA, ZONAUTO, SANTÓN OLIVA, SL, YUNCAR, MERODIGAR, LIDERDAI, ROCAL, CARS COREA, ALMOAUTO, and TAPISA also argue that the existence of an alleged infringement could not extend in time beyond the limits of October 2012. The involved parties argue that there is no information in the file that proves, as the DC asserts, that the infringement continued until the inspection at the ANT headquarters in June 2013.</w:t>
      </w:r>
    </w:p>
    <w:p>
      <w:r>
        <w:t>Response from the Competition Chamber:</w:t>
      </w:r>
    </w:p>
    <w:p>
      <w:r>
        <w:t>The DC establishes, regarding the duration of the infringement, the most favorable conclusion possible for the involved parties, in light of the information available in the file. Indeed, the start date of the infringement, September 2012, is set at the most favorable limit for the involved parties, which is the date on which communications between the involved parties are recorded for the purpose of articulating the follow-up on what was agreed upon by the cartel through the services of ANT. Although rationality suggests that the cartel should have preexisted those actions, this Chamber considers that, with a correct criterion, the DC limits the start of the infringement to such a finding based on the evidentiary evidence in the file.</w:t>
      </w:r>
    </w:p>
    <w:p>
      <w:r>
        <w:t>Regarding the conclusion of the cartel, this Chamber also finds appropriate the conclusion that the inspection carried out at one of the cartel companies in June 2013 reasonably marks its end. Both dates are sufficiently close in time to the established facts to affirm the continuity of the infringement from September 2012.</w:t>
      </w:r>
    </w:p>
    <w:p>
      <w:r>
        <w:t>In this regard, it is appropriate to cite the community jurisprudence that states that the lack of evidence of the execution of an agreement by a company during a certain period does not allow for the deduction of the non-existence of an infringement by that company during the period in question. Thus: “[...] the Court of Justice has already stated that, in most cases, the existence of a practice or agreement contrary to competition is inferred from certain coincidences and indications that, considered as a whole, can constitute, in the absence of a coherent explanation, proof of an infringement of competition rules (judgments Aalborg Portland and others/Commission, previously cited, paragraph 57, as well as from September 21, 2006, Nederlandse Federatieve Vereniging voor de Groothandel op Elektrotechnisch Gebied/Commission, C-105/04 P, Rec. p. I-8725, paragraph 94). (71) Such indications and coincidences, evaluated globally, can not only reveal the existence of agreements or practices contrary to competition but also the duration of continued collusive practices and the period of application of agreements made against competition rules (see, in this sense, the judgment Nederlandse Federatieve Vereniging voor de Groothandel op Elektrotechnisch Gebied/Commission, previously cited, paragraphs 95 and 96). (72) Regarding the lack of evidence on the existence of an agreement during certain specific periods or, at least, regarding its execution by a company during a specific period, it should be noted that the fact that such evidence has not been provided for certain specific periods does not prevent considering that the infringement existed during a longer overall period than those periods, provided that such verification is based on objective and consistent indications. In the context of an infringement lasting several years, the fact that the manifestations of the agreement occur in different periods, which may be separated by more or less long intervals, does not influence the existence of that agreement, as long as the different actions that are part of this infringement pursue a single purpose and are framed within a single and continuous infringement (see, in this sense, the judgment Nederlandse Federatieve Vereniging voor de Groothandel op Elektrotechnisch Gebied/Commission, previously cited, paragraphs 97 and 98).” (Judgment of the CJEU of December 6, 2012, case C-441/11 P)</w:t>
      </w:r>
    </w:p>
    <w:p>
      <w:r>
        <w:t>European jurisprudence and precedents from resolutions of the Spanish Competition Authority, validated in contentious proceedings, also support the DC's criterion, which this Competition Chamber fully shares, to grant.</w:t>
      </w:r>
    </w:p>
    <w:p>
      <w:r>
        <w:rPr>
          <w:b/>
        </w:rPr>
        <w:t>[Pages 46–48]</w:t>
      </w:r>
    </w:p>
    <w:p>
      <w:r>
        <w:t>relevance, for the purposes of determining the duration of the infringement, to the fact that there is no evidence that any of the companies, prior to the inspection conducted at the ANT headquarters in June 2013, had unequivocally expressed to the other cartel members their intention or decision to end their participation in it.</w:t>
      </w:r>
    </w:p>
    <w:p>
      <w:r>
        <w:t>4.4. On the non-existence of a cartel or the lack of participation of the companies in it.</w:t>
      </w:r>
    </w:p>
    <w:p>
      <w:r>
        <w:t>Several companies involved (GAMBOA, MERODIGAR, IBERDAI, CARS COREA, ALMOAUTO, and TAPISA) argue that the DC has not demonstrated in this case a cartel infringement, as there is no specific price fixing but, at most, an alleged agreement to coordinate the policy of maximum discounts on the prices of three models of the Hyundai brand.</w:t>
      </w:r>
    </w:p>
    <w:p>
      <w:r>
        <w:t>It is a common argument among the involved parties to highlight the peculiarities of the automobile distribution market, which distance it from the more usual parameters of the distribution sector in general and which would prevent, according to the involved parties, each dealership from actually setting the final sale prices of new vehicles to consumers.</w:t>
      </w:r>
    </w:p>
    <w:p>
      <w:r>
        <w:t>The involved parties, as an alternative explanation to the accusation made by the DC and to the evidence in the case file, point out that the relationship with ANT and the services contracted with it referred to the evaluation of the performance of the dealership salespeople in the sales processes, or to reports contracted by the dealerships to assess their competition, or finally, to reports to control the quality of the services provided by the dealerships and to try to meet the objectives set by the brand.</w:t>
      </w:r>
    </w:p>
    <w:p>
      <w:r>
        <w:t>Response from the Competition Chamber:</w:t>
      </w:r>
    </w:p>
    <w:p>
      <w:r>
        <w:t>Article 1 of the LDC prohibits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of the direct or indirect fixing of prices or other commercial or service conditions.</w:t>
      </w:r>
    </w:p>
    <w:p>
      <w:r>
        <w:t>This Chamber agrees with the DC in the assessment that the existence of the concordance of wills constitutive of the illicit agreement attributed to the involved parties has been demonstrated, a price-fixing cartel and other commercial and service conditions, as well as the participation in it of the companies accused in this case.</w:t>
      </w:r>
    </w:p>
    <w:p>
      <w:r>
        <w:t>Thus, it can only be concluded that an agreement on maximum discounts among competing dealerships, when the discount is applied to the same recommended retail price set by the brand, constitutes a price-fixing agreement, through which it is intended to preserve or guarantee certain commercial margins and weaken the necessary competitive tension.</w:t>
      </w:r>
    </w:p>
    <w:p>
      <w:r>
        <w:t>Despite being aware of the peculiarities, reiterated by the involved parties, of the automobile distribution market, this Competition Chamber of the Council agrees with the DC in concluding that there is room for action by the dealerships to autonomously set the final price to the customer.</w:t>
      </w:r>
    </w:p>
    <w:p>
      <w:r>
        <w:t>In this sense, the allegations of some of the involved parties regarding the existence of differences in the prices applied to the different Hyundai models relevant to this case must be rebutted. The experience of this Competition Authority, as well as that derived from the community scope, allows affirming the existence of a diversity of behaviors regarding the coordinated application of prices that differ from the traditional agreement of identical or symmetrical price fixing. As the Council of the CNC has previously pointed out, “[...] the practice that is considered prohibited in this case does not consist of the companies having set uniform prices, but rather that they have set the order of magnitude of the increases to be applied to the rates that serve as a basis, according to the companies themselves, for negotiation with their clients” (RCNC of July 31, 2010, Expte. S/0120/08 Freight Forwarders). This analysis has been endorsed by the National Court in its ruling of April 16, 2014: “The fact that there have been different prices, not rates, when applied to customers, admitting in this sense the expert opinions provided by the plaintiff does not prevent, as understood by the contested resolution (p. 97, when it indicates that there are differences in the final prices), that the cartel consisted of the fixing of a range regarding the price, which was clearly anticompetitive, regardless of whether the customers had a certain [margin] for negotiation, but already quite more limited.”</w:t>
      </w:r>
    </w:p>
    <w:p>
      <w:r>
        <w:t>Against the logical and cohesive explanation provided by the DC based on the evidence in the case file, which allows concluding that the only reasonable explanation for the established facts is the existence of the conduct attributed to the involved parties, they have not provided, in the various phases of allegations, plausible explanations that counter the conviction reached by the DC in its PR. Thus, one of the involved parties (GAMBOA) argues that the exchange of information analyzed in the PCH aimed to obtain data that would allow controlling whether the brand equitably fulfilled the evaluation of compliance by the dealerships with the objectives, campaigns, and service obligations imposed on them, being information that is not confidential. However, such an explanation is unsustainable in light of the information available in the case file, as it does not allow understanding, for example, the provision of penalties defined in their amount for the non-compliance of the dealerships regarding the commercial policy, nor does it explain why that purpose of the studies alleged is not reflected in any of the available documentation.</w:t>
      </w:r>
    </w:p>
    <w:p>
      <w:r>
        <w:t>Against the allegations of the involved parties, which carry out an artificial individualized analysis of the behaviors, avoiding the connection between the behaviors, the proven facts, and the indications provided by the DC, this Chamber considers that the analysis of competitive conduct must be carried out as a whole, since behaviors that could be justified or not present profiles of anticompetitive infringement if presented in isolation, when analyzed as a whole, reveal a global agreement of a marked anticompetitive nature.</w:t>
      </w:r>
    </w:p>
    <w:p>
      <w:r>
        <w:t>The organizational framework designed by the involved parties evidences the concurrence of the characteristics typical of cartels: thus, the deliberate concealment of illicit agreements, the regularity of contacts and meetings, the provision of reprisals against companies that fail to comply with the collective agreements, and the use of third companies to carry out control and monitoring of the agreements.</w:t>
      </w:r>
    </w:p>
    <w:p>
      <w:r>
        <w:t>None of the involved parties has provided any evidence that they have distanced themselves clearly and expressly from the controversial agreements, communicating it to the other participants in the cartel.</w:t>
      </w:r>
    </w:p>
    <w:p>
      <w:r>
        <w:t>4.5. On the effects in the market of the behaviors and their impact on the sanction. On the application of the de minimis rule.</w:t>
      </w:r>
    </w:p>
    <w:p>
      <w:r>
        <w:t>As a consequence of discussing the DC's consideration that we are facing behaviors that constitute an infringement by object, many of the involved parties argue the need to establish the effects of the alleged actions.</w:t>
      </w:r>
    </w:p>
    <w:p>
      <w:r>
        <w:t>Some of the involved parties (GAMBOA, YUNCAR, MERODIGAR, LIDERDAI, CARS COREA) argue that the DC has not proven that there has been an increase in prices and the consequent harm to the consumer, pointing out that in some cases their prices even decreased during the relevant period.</w:t>
      </w:r>
    </w:p>
    <w:p>
      <w:r>
        <w:t>Response from the Competition Chamber:</w:t>
      </w:r>
    </w:p>
    <w:p>
      <w:r>
        <w:t>As the Council of the CNC has pointed out on previous occasions (see, among others, the Resolution of the CNC of July 31, 2010, Expte. S/0120/10,</w:t>
      </w:r>
    </w:p>
    <w:p>
      <w:r>
        <w:rPr>
          <w:b/>
        </w:rPr>
        <w:t>[Pages 49–51]</w:t>
      </w:r>
    </w:p>
    <w:p>
      <w:r>
        <w:t>Transitarios) and this Competition Chamber of the Council has reiterated (RCNMC of September 22, 2014, Expte. S/0428/12 Palés) that in the assessment of collusive behaviors, proof of actual effects contrary to competition is not required when it has been determined that they are restrictive by their object. For the purposes of assessing the behaviors provided for in Article 1 of the LDC, what is relevant is the ability to achieve the goal of distorting free competition, given that the infringing type does not require that the objective of violating free competition be achieved; it is sufficient that it is aimed at that goal in the execution of the conduct, whether or not it is successful (Resolution of the Council of the CNC of March 27, 2012, Expte. S/0237/10 Motorcycles).</w:t>
      </w:r>
    </w:p>
    <w:p>
      <w:r>
        <w:t>It is well established that any price-fixing cartel, by its very nature, produces a significant distortion of competition in the considered market, which exclusively benefits the companies participating in the agreements constituting the infringement, to the direct detriment of customers.53 Price agreements, as is the case with market allocations, are infringements by object, given the direct relationship between the conduct and its negative effects, real or potential. The parties involved present an argument here that would be more appropriate for a civil damages claim. That the cartel did not have real effects, in their case, is an argument to deny any potential compensation for damages, and an element to be considered when determining the amount of the sanction, but it does not affect the potentially harmful nature of the conduct for competition, which is what is relevant in the context of administrative sanctioning procedures. This Chamber agrees with the DC in considering that the conduct attributed to the parties involved is specifically capable, taking into account the legal and economic context in which it is framed, of restricting or distorting the play of competition in the distribution of motor vehicles of the HYUNDAI brand through independent dealerships of the manufacturer.</w:t>
      </w:r>
    </w:p>
    <w:p>
      <w:r>
        <w:t>The Court of Justice has established that the verification that a concerted practice has an object contrary to competition is not “subject to the verification of the existence of a direct relationship between that practice and consumer prices,” since the prohibition of such conduct “is not only aimed at protecting the direct interests of competitors or consumers, but the structure of the market and, thus, competition as such” (Judgment of the Court of Justice of June 4, 2009, case C-8/08, T-Mobile).</w:t>
      </w:r>
    </w:p>
    <w:p>
      <w:r>
        <w:t>53 As community jurisprudence points out, its “anticompetitive effects are so evident that no economic analysis is required.” See, among others, CJEU Judgment of November 20, 2008, case C-209/07, Beef Meat, and CJEU Judgment of December 13, 2012, case C-226/11, Expedia.</w:t>
      </w:r>
    </w:p>
    <w:p>
      <w:r>
        <w:t>Regarding the allegations related to the exchange of information and the need to prove its effects contrary to competition, this Chamber understands that what is relevant to conclude the anticompetitive nature of the exchange of information is the concurrence of three cumulative elements: the establishment that such conduct creates an artificial transparency of the market, this information limited to the parties, and, finally, capable of affecting their competitive conduct. In this case, this Chamber fully agrees with the DC in the assessment that the exchange of sensitive information has taken place and is aimed at facilitating, making viable, and allowing the control of a conduct of agreement on discounts, anticompetitive by object.</w:t>
      </w:r>
    </w:p>
    <w:p>
      <w:r>
        <w:t>Notwithstanding the above, this Chamber considers that the DC has duly demonstrated during the instruction of the procedure that the conduct carried out by the parties, in addition to having an object contrary to competition, has had real effects.</w:t>
      </w:r>
    </w:p>
    <w:p>
      <w:r>
        <w:t>It has been established by the multiple documented evidences in the file that the final price of the Hyundai brand vehicle models included in the agreement has been determined by the involved dealerships through the various elements on which they coordinated their commercial policy (maximum discounts, campaigns to be applied, gifts, appraisals, fines for non-compliance, and even “margins of error”). This does not mean price equality, but rather the determination that the final price of the agreed vehicle models was not lower than that which guaranteed them certain margins, with the ability to standardize their prices, an essential element whose impact directly affects free competition. The establishment that the involved companies offer different prices does not cast doubt, contrary to what several of them have alleged, on the existence of a cartel, in the sense of an agreement for the fixation of maximum discounts to be offered among direct competitors, all of them members of a selective distribution network of vehicles of a certain brand.</w:t>
      </w:r>
    </w:p>
    <w:p>
      <w:r>
        <w:t>This Chamber considers that the effects of the infringing conduct are established, according to the information available in the file, which materialized in a homogeneity of the maximum discounts offered by Hyundai brand dealerships in the “Madrid Zone” during the duration of the cartel, and in the consequent compartmentalization of the market. The agreements managed to reduce the uncertainty of the involved companies regarding the offers that their competitors could make concerning certain models of vehicles of the brand.</w:t>
      </w:r>
    </w:p>
    <w:p>
      <w:r>
        <w:t>This Chamber also agrees with the DC that the allegation regarding less significant conduct cannot be accepted in any case, given that the companies involved are accused of adopting agreements that had as their object the fixation of prices and commercial conditions, which constitutes a very serious infringement constitutive of a cartel, with direct capacity to distort competition, which is excluded from the de minimis exemption (art. 2.1 RDC). In the same sense, regarding the impossibility of considering the conduct constitutive of a cartel as less significant, as a restriction of competition by object, one can see, by way of example, the RCNC of December 1, 2011 (Expte. S/0269/10 Transitarios 2) or the RCNC of May 23, 2013 (Expte. S/0303/10 Sanitation Distributors). Likewise, the CJEU Judgment of December 13, 2012, (case C-226/11, Expedia) clearly ruled on the validity of applying Article 101 TFEU to an agreement between companies even when it does not reach the thresholds set by the European Commission in its de minimis Communication, as long as such agreement constitutes a significant restriction of competition.</w:t>
      </w:r>
    </w:p>
    <w:p>
      <w:r>
        <w:t>4.6. On the role of ANT as a collaborator and facilitator in the conduct being analyzed</w:t>
      </w:r>
    </w:p>
    <w:p>
      <w:r>
        <w:t>ANT denies its status as a collaborator in a cartel and claims that its activity was solely aimed at preventing sales at a loss.</w:t>
      </w:r>
    </w:p>
    <w:p>
      <w:r>
        <w:t>Response of the Competition Chamber:</w:t>
      </w:r>
    </w:p>
    <w:p>
      <w:r>
        <w:t>This Competition Chamber considers it established that ANT, despite being an entity external to the affected market, has actively participated in the infringement by acting as a controller of compliance with the cartel agreements in the so-called “Madrid Zone.” Its control and monitoring work has contributed to the maintenance of the cartel and, therefore, to restricting competition in the affected market.</w:t>
      </w:r>
    </w:p>
    <w:p>
      <w:r>
        <w:t>ANT's services were contracted to facilitate the monitoring of the effective compliance with the agreements adopted by the involved parties, and therefore to facilitate the execution and maintenance of the same over time, even providing for a system of fines for cases where non-compliance with the agreed terms was detected through ANT's reports. There is also no doubt regarding ANT's knowledge of the illicit nature of the conduct, since its own methodology explicitly states the confidential nature “given the dangerousness of this type of studies,”54 as well as the mention that none of the evaluators “will really know the final purpose of the study.”</w:t>
      </w:r>
    </w:p>
    <w:p>
      <w:r>
        <w:t>The information in the file establishes ANT's attempt to give its services an appearance of legality through the use of expressions that are not suspicious and even vague (“market studies”), with the aim of remaining unnoticed by third parties external to the agreements. This manifests</w:t>
      </w:r>
    </w:p>
    <w:p>
      <w:r>
        <w:rPr>
          <w:b/>
        </w:rPr>
        <w:t>[Pages 52–54]</w:t>
      </w:r>
    </w:p>
    <w:p>
      <w:r>
        <w:t>the concurrence of the cognitive and volitional elements of the conduct by its authors.</w:t>
      </w:r>
    </w:p>
    <w:p>
      <w:r>
        <w:t>Community jurisprudence has established, in a settled manner, that “any company that has adopted collusive behavior, including advisory firms that do not operate in the affected reference market, could reasonably foresee that the prohibition established by Article 81 EC, paragraph 1, was applicable to it in principle. Indeed, such a company could not ignore, or it was possible for it to understand, that in the decision-making practice of the Commission and in previous community jurisprudence, the basis for the express recognition of the responsibility of an advisory firm for an infringement of Article 81 EC, paragraph 1, was already sufficiently clear and precise when that firm actively and deliberately contributes to a cartel among producers operating in a market different from that in which the said firm operates” (Judgment of the Court of First Instance of July 8, 2008, case T-99/04, AC-Treuhand AG v. Commission).</w:t>
      </w:r>
    </w:p>
    <w:p>
      <w:r>
        <w:t>The strategic role played by the company ANT constitutes a clear added value for the effectiveness of the agreements, in addition to being a characteristic element, as already mentioned, of this type of conduct, which is by no means new to the Competition Authority. This type of control mechanisms common in cartels typically operates through information exchanges via auditing systems, or through the use of a supervisor or coordinator.</w:t>
      </w:r>
    </w:p>
    <w:p>
      <w:r>
        <w:t>4.7. On the filing of the proceedings against MASTERCLAS DE AUTOMOCIÓN.</w:t>
      </w:r>
    </w:p>
    <w:p>
      <w:r>
        <w:t>The DC in its resolution proposal points to the existence of indications of a cartel in the Barcelona area, at least during 2006 and 2007, with the participation of ANT and among other dealerships, MASTERCLAS AUTOMOCIÓN. There is no evidence to support the continuity of such a cartel beyond 2007, so the DC considers such practice to be time-barred for the mentioned area.</w:t>
      </w:r>
    </w:p>
    <w:p>
      <w:r>
        <w:t>Article 68 of the LDC states that very serious infringements will be time-barred after four years, serious infringements after two years, and minor infringements after one year. The term of the statute of limitations will be computed from the day the infringement was committed or, in the case of continuous infringements, from the day they ceased. Furthermore, in its third paragraph, it states that the statute of limitations is interrupted by any act of the Administration with formal knowledge of the interested party aimed at compliance with the Law, and by the acts carried out by the interested parties to ensure, complete, or execute the corresponding resolutions.</w:t>
      </w:r>
    </w:p>
    <w:p>
      <w:r>
        <w:t>The Directorate of Competition has proposed to this Chamber the filing of the proceedings against MASTERCLAS DE AUTOMOCIÓN, S.A., as the commission of an infringement by said company has not been proven beyond the year 2007, in accordance with the provisions of Article 33 of the RDC.</w:t>
      </w:r>
    </w:p>
    <w:p>
      <w:r>
        <w:t>In view of the proposal from the DC, this Competition Chamber of the Council considers it appropriate to file the proceedings against MASTERCLAS DE AUTOMOCIÓN, as the commission of an infringement by said company has not been proven.</w:t>
      </w:r>
    </w:p>
    <w:p>
      <w:r>
        <w:t>4.8. On the determination of the amount of the sanction.</w:t>
      </w:r>
    </w:p>
    <w:p>
      <w:r>
        <w:t>Some of the parties involved (ANT and COBENDAI), citing various judgments from the National Court, argue that the maximum sanction that could be imposed would be 10% of the turnover obtained by the company in question in the economic activity area in which the infringement occurred, in the year prior to the imposition of the fine.</w:t>
      </w:r>
    </w:p>
    <w:p>
      <w:r>
        <w:t>Response from the Competition Chamber:</w:t>
      </w:r>
    </w:p>
    <w:p>
      <w:r>
        <w:t>For reasons of coherence and order of exposition, this Chamber considers it more appropriate to address this issue in the Seventh Legal Basis, relating to the determination of the sanction, where a detailed and extensive response will be given to that allegation.</w:t>
      </w:r>
    </w:p>
    <w:p>
      <w:r>
        <w:t>FIFTH.- OTHER ISSUES RAISED IN THE RESOLUTION PHASE</w:t>
      </w:r>
    </w:p>
    <w:p>
      <w:r>
        <w:t>5.1. On the practice of the proposed evidence.</w:t>
      </w:r>
    </w:p>
    <w:p>
      <w:r>
        <w:t>In their submissions to the PR of the DC, the parties involved have presented the following documentary evidence: sales records, promotional campaigns of Hyundai, purchase and sale contracts, and sales invoices (thus, LIDERDAI and CARS COREA).</w:t>
      </w:r>
    </w:p>
    <w:p>
      <w:r>
        <w:t>On the other hand, some of the involved entities have requested the practice of documentary and expert evidence. Thus (a) MOTOR GAMBOA requests that the sectoral associations ANFAC and FACONAUTO be contacted to inform about the models that can be considered belonging to the same segment as the Hyundai models affected; likewise (b) MOTOR GAMBOA provides an expert report “Analysis of the Competitiveness of the Spanish Automotive Market”; (c) SANTÓN OLIVA requests an interrogation regarding their attendance at dealership meetings; finally, (d) ALMOAUTO and TAPISA announce the preparation of an economist expert opinion to verify the non-application of the agreements reached in the alleged cartel.</w:t>
      </w:r>
    </w:p>
    <w:p>
      <w:r>
        <w:t>In some cases, this is a reiteration of evidence already proposed or submitted in the instruction phase.</w:t>
      </w:r>
    </w:p>
    <w:p>
      <w:r>
        <w:t>This Chamber considers that neither the documents incorporated into the file nor the evidence proposed in the submissions to the PR are decisive in terms of defense. In view of the instruction carried out by the DC and the supporting documentation of the behaviors attributed available in the file, this Chamber considers that all the factual elements on which the declaration of infringement is based are available in the present file and the additional evidence requested does not provide added value in terms of defense for the parties involved nor is it capable of altering the assessment made by the DC in its PR.</w:t>
      </w:r>
    </w:p>
    <w:p>
      <w:r>
        <w:t>In particular, (a) the information from the sectoral associations about models in the same market segment as the Hyundai models subject to the agreement is irrelevant for the purposes of this file. The affected market has been established as that of the distribution of passenger motor vehicles of the HYUNDAI brand, models i30, ix35, and Santa Fe, through independent dealerships of the manufacturer, and the proposed report does not alter the determining elements of the illicit conduct and therefore is not decisive in terms of defense. Regarding (b) the expert report provided “Analysis of the Competitiveness of the Spanish Automotive Market”, it conducts an analysis and formulates conclusions (“enormous competitiveness of the Spanish automotive market, clearly incompatible, at a general level, with any type of agreement that seeks to restrict competitive actions and that could result in harm to the Customer[s]”) that do not undermine the reality of the agreements and exchanges of information established in the file. Thirdly, (c) the requested interrogation regarding attendance at the meetings of one of the dealerships lacks the capacity to undermine the participation of the same established by other means. Finally, (d) the economist expert report announced by ALMOAUTO MOTOR and TAPISA and not submitted with their allegations due to not having it at the time of formulating the allegations, has not been provided.</w:t>
      </w:r>
    </w:p>
    <w:p>
      <w:r>
        <w:rPr>
          <w:b/>
        </w:rPr>
        <w:t>[Pages 55–57]</w:t>
      </w:r>
    </w:p>
    <w:p>
      <w:r>
        <w:t>Regarding the request for a hearing made by some of the parties involved (SANTÓN OLIVA, YUNCAR, ROCAL AUTOMOCIÓN, ALMOAUTO MOTOR, and TAPISA) in their written submissions, it should be noted that the hearing is provided for in the LDC as an action that the Council may agree to at its discretion, "when it considers it appropriate for the analysis and judgment of the object of the file" (arts. 19.1 and 37.2 RDC). The Council, taking into account that it is within its authority to agree to hold a hearing when it deems it convenient for the examination and analysis of the object of the file, does not consider it necessary for the assessment of the present matter to grant the request for a hearing, without this denial leading to any kind of defenselessness for the parties, as has been repeatedly stated by the Audiencia Nacional, and given the ample opportunities utilized by the parties throughout the procedure to present allegations and confront the arguments of the DC.</w:t>
      </w:r>
    </w:p>
    <w:p>
      <w:r>
        <w:t>5.2. Requests for confidentiality of information provided during the resolution phase.</w:t>
      </w:r>
    </w:p>
    <w:p>
      <w:r>
        <w:t>Finally, in accordance with what was requested when notifying the resolution proposal by the DC, or subsequently in the Council phase (agreement of January 29, 2015, folios 8955-8960), the involved companies have provided information regarding which several of them request a declaration of confidentiality in accordance with the provisions of Article 42 of the LDC. To the extent that such requests refer to information related to business volumes in the affected market, it is agreed to declare such information confidential. Likewise, to maintain the necessary coherence in the procedure and to ensure a balance between transparency and confidentiality uniformly for all companies, such declaration also occurs ex officio, in cases where the request has not been made by the company.</w:t>
      </w:r>
    </w:p>
    <w:p>
      <w:r>
        <w:t>For all these reasons, this Competition Chamber has agreed to declare confidential the following information:</w:t>
        <w:br/>
        <w:t>- The folios related to the business volume corresponding to the market for the distribution of motor vehicles of the HYUNDAI brand regarding the models i30, ix35, and Santa Fe, for the years 2012, 2013, and 2014, as they are presented with a high degree of disaggregation and with sensitive information, from the following companies: CARS COREA, S.L. (folios 9170-9173), COBENDAI, S.L. (folios 9131-9135), IBERDAI MOTORS, S.A. (folios 9136-9159), LIDERDAI, S.A. (folios 8991-9061), MERODIGAR MOTOR, S.L. (folios 9073-9074 and 9120-9124), MOTOR GAMBOA, S.A. (folios 9064-9066), ROCAL AUTOMOCIÓN, S.L. (folios 9166-9168), SANTÓN OLIVA, S.L. (folio 9215 and 9215.1), ALMOAUTO MOTOR, S.L. (folios 9206-9214), TALLERES PITA, S.A. (folios 9198-9205), YUNCAR MOTOR, S.L. (folios 9070-9071) and ZONAUTO SUR, S.L. (folios 9160-9163).</w:t>
      </w:r>
    </w:p>
    <w:p>
      <w:r>
        <w:t>- Commercial information contained in allegations to the PR from the following companies: COBENDAI (folios 6510-6546, 6584-6587), ZONAUTO (folios 6626-6650), MOTOR GAMBOA (folios 6930-7301, 7381-7397, 7407-7410), SANTÓN OLIVA (folios 7454 and 7461), YUNCAR MOTOR (folio 7476), LIDERDAI (folios 7495-7512), MERODIGAR MOTOR (folios 7513-7532, folio 7556 and folio 7562), IBERDAI (folios 7601 to 7614), TAPISA (folios 7717-7720), CARS CORREA (folios 7721-8340), ALMOAUTO (folios 8407-8824).</w:t>
      </w:r>
    </w:p>
    <w:p>
      <w:r>
        <w:t>SIXTH.- ASSESSMENT OF THE COMPETITION CHAMBER OF THE COUNCIL</w:t>
      </w:r>
    </w:p>
    <w:p>
      <w:r>
        <w:t>In accordance with the above grounds, this Competition Chamber considers that it has been established that the companies referred to in this resolution engaged in an infringement consisting of a practice prohibited by Article 1 of the LDC.</w:t>
      </w:r>
    </w:p>
    <w:p>
      <w:r>
        <w:t>The infringement consists of the adoption and implementation of agreements on price fixing and other commercial conditions and the exchange of sensitive information among the dealerships of the Hyundai brand: ALMOAUTO MOTOR, S.L., CARS COREA, S.L., COBENDAI, S.L., IBERDAI MOTORS, S.A., LIDERDAI, S.A., MERODIGAR MOTOR, S.L., MOTOR GAMBOA, S.A., ROCAL AUTOMOCIÓN, S.L., SANTÓN OLIVA, S.L., TALLERES PITA, S.A., YUNCAR MOTOR, S.L., and ZONAUTO SUR, S.L., with the collaboration of ANT SERVICALIDAD, S.L.</w:t>
      </w:r>
    </w:p>
    <w:p>
      <w:r>
        <w:t>Regarding the conduct of HORWATH, however, this Competition Chamber of the Council does not share the attribution of responsibility made by the DC in its PR. The established facts regarding HORWATH's participation in a meeting with ANT and the involved dealerships, in which it allegedly made a presentation, as well as the exchanges of emails between HORWATH and one of the involved dealerships do not allow for a conclusion, with the sufficient degree of certainty required, of HORWATH's participation as a collaborator and facilitator in the cartel infringement of the so-called "Madrid Zone" being analyzed. The exculpatory evidence presented by HORWATH in its allegations is not sufficient to undermine the indications appreciated by the DC during the investigation phase that indeed point to its participation in the alleged facts, as proposed by the instructing body. However, the degree of conviction regarding HORWATH's participation in the alleged facts based on the indicated indications is insufficient to undermine the presumption of innocence. Therefore, this Competition Chamber of the Council considers that HORWATH's conduct as a facilitator and collaborator of the cartel is not sufficiently established.</w:t>
      </w:r>
    </w:p>
    <w:p>
      <w:r>
        <w:t>With the indicated exception, this Competition Chamber considers it sufficiently established that the Hyundai brand dealerships involved, through contacts and meetings among representatives of those independent dealerships in the so-called "Madrid Zone," with the collaboration of A.N.T. SERVICALIDAD, S.L., have engaged in practices contrary to competition rules through the commission of illicit conduct in the market for the distribution of motor vehicles of the HYUNDAI brand. The illicit conduct consisted of the adoption of agreements on maximum discount fixing and the continuous exchange of sensitive information over time from September 2012 to June 2013, with the affected market being that of distribution to individuals and SMEs of the models i30, ix35, and Santa Fe.</w:t>
      </w:r>
    </w:p>
    <w:p>
      <w:r>
        <w:t>The conjunction of all the cited elements leads us to the conclusion that we are facing practices constitutive of a cartel, as the necessary conditions contained in the Fourth Additional Provision of the LDC are met. Regarding the subjective element required, it is evident that the parties in this procedure are companies competing in the same market for the distribution of motor vehicles of the HYUNDAI brand and that they have engaged in agreements over a period that spans at least from September 2012 to the development of inspections by the DC in June 2013. These agreements, consisting mainly of price fixing, through maximum discount fixing, appraisal prices, or offered gifts, and the exchange of strategic and sensitive information, constitute conduct that both Article 1 of the LDC and the Fourth Additional Provision of the same Law foresee as prohibited agreements deserving of sanction.</w:t>
      </w:r>
    </w:p>
    <w:p>
      <w:r>
        <w:t>It has also been established that the companies adopted their agreements with manifest concealment and secrecy, as well as the role regarding the control of the effective implementation and supervision of those agreements carried out by the company ANT, which, despite being economic agents not participating in the defined product market, performed a strategic role for the maintenance of the cartel.</w:t>
      </w:r>
    </w:p>
    <w:p>
      <w:r>
        <w:t>In relation to the exchange of sensitive information, this Chamber considers that it is information that fully fits the characteristics of a collusive agreement restricting competition described in the Guidelines on the applicability of Article 101 of the TFEU to horizontal cooperation agreements.</w:t>
      </w:r>
    </w:p>
    <w:p>
      <w:r>
        <w:rPr>
          <w:b/>
        </w:rPr>
        <w:t>[Pages 58–60]</w:t>
      </w:r>
    </w:p>
    <w:p>
      <w:r>
        <w:t>The aforementioned Guidelines establish that the exchange of strategic data between competitors, that is, data that reduces the strategic uncertainty of the market, is more likely to fall within the scope of Article 101 than exchanges of other types of information. The exchange of strategic data can lead to restrictive effects on competition as it reduces the independence of the parties to make decisions, diminishing their incentives to compete. Strategic information may refer to prices (i.e., actual prices, discounts, increases, reductions, or rebates), customer lists, production costs, quantities, sales volumes, sales, capacities, qualities, marketing plans, risks, investments, technologies, and R&amp;D programs and their results.</w:t>
      </w:r>
    </w:p>
    <w:p>
      <w:r>
        <w:t>The exchange of information analyzed here (prices, discounts, gifts, commercial conditions, models of products to which they apply) therefore fits into the category of strategic information likely to produce an evident impact on the relevant market subject to this case. It is undeniable, in conclusion, that the type of information exchanged here must be considered sensitive and strategic information of the dealerships, so its disclosure to the other competitors breaks with the logic of business conduct and undermines the basic rules of the proper competitive functioning of the market.</w:t>
      </w:r>
    </w:p>
    <w:p>
      <w:r>
        <w:t>From the documentation in the file that gives rise to this resolution, it follows that the parties engaged in the described conduct, with the content of the emails obtained during the inspections, the handwritten notes of ANT, as well as the information provided in the responses to the information requests and the evidence of other types of conduct developed by the companies that are typically characteristic of habitual cartel conduct, such as the deliberate concealment of illicit agreements, monitoring compliance levels, and the commonly agreed fines against companies that breach the collective agreements.</w:t>
      </w:r>
    </w:p>
    <w:p>
      <w:r>
        <w:t>Although both price-fixing agreements and the exchange of sensitive information constitute restrictions on competition by their object, and this is sufficient to appreciate the administrative illicit and determine the corresponding responsibilities, it has also been proven that both behaviors have caused harmful effects on effective competition in the market for the distribution of passenger motor vehicles of the HYUNDAI brand through independent dealerships of the manufacturer, by reducing the uncertainty of the involved companies regarding the offers that their competitors could make regarding certain models of vehicles of the brand.</w:t>
      </w:r>
    </w:p>
    <w:p>
      <w:r>
        <w:t>Finally, it should be noted that the proven behaviors constitute a single and continuous infringement contrary to competition law, of a very serious nature, in accordance with Article 62.4.a) of the LDC, which considers very serious infringements the development of collusive behaviors typified in Article 1 of the LDC that consist of cartels or other agreements, decisions, or collective recommendations, concerted practices or consciously parallel behaviors among competing companies.</w:t>
      </w:r>
    </w:p>
    <w:p>
      <w:r>
        <w:t>SEVENTH. DETERMINATION OF THE SANCTION</w:t>
      </w:r>
    </w:p>
    <w:p>
      <w:r>
        <w:t>7.1.- Responsibility of the companies.</w:t>
      </w:r>
    </w:p>
    <w:p>
      <w:r>
        <w:t>The responsibility of the companies referred to in the Third Legal Basis of this Resolution is, in the opinion of this Competition Chamber, unquestionable in light of the proven facts and the evidence and other elements of judgment contained in the file, so this Chamber agrees with the attribution of responsibility made by the DC in its resolution proposal.</w:t>
      </w:r>
    </w:p>
    <w:p>
      <w:r>
        <w:t>Having established and qualified the conduct contrary to the LDC, Article 63.1 of the same regulation conditions the exercise of the sanctioning power regarding fines by the Competition Authority on the presence of intent or negligence in the infringing subject in carrying out the imputed conduct.</w:t>
      </w:r>
    </w:p>
    <w:p>
      <w:r>
        <w:t>In this case, the Chamber considers that it has been widely proven that the involved dealerships, as well as ANT in its capacity as collaborator, knew and were aware of the illicit nature of the conduct developed during the analyzed period. Thus, the secret nature of the agreements, the existence of handwritten notes, the use of specific monitoring measures to ensure compliance with the adopted agreements, the provision for imposing sanctions or fines on those who breach the agreements, and the personal and economic means of the companies are sufficient elements to consider the existence of a conscious and sought action by the parties without any of the companies being able to claim ignorance of the illicit behavior. Particularly revealing are the references to the confidential nature of ANT's methodology of action, given the "danger" of this type of studies, as well as the provision of the aforementioned fines both for cases of deviation from the agreed terms and for cases of express mention by the dealerships' salespeople to customers about the existence of an "agreement" on maximum discounts.</w:t>
      </w:r>
    </w:p>
    <w:p>
      <w:r>
        <w:t>From the documentation in the file, it follows that both the involved dealerships and ANT actively contributed to the implementation of the conduct; that there is a sufficiently concrete and determining causal link between their activity and the conduct; that there is also a willingness to participate in the restrictive practice, as well as knowledge of the illicit behaviors of the other participants.</w:t>
      </w:r>
    </w:p>
    <w:p>
      <w:r>
        <w:t>However, regarding the conduct of HORWATH, as anticipated in the Sixth Legal Basis, this Competition Chamber of the Council considers that it is not sufficiently proven.</w:t>
      </w:r>
    </w:p>
    <w:p>
      <w:r>
        <w:t>7.2.- Criteria for determining the fine and applicable law.</w:t>
      </w:r>
    </w:p>
    <w:p>
      <w:r>
        <w:t>Article 62.4.a) of the LDC establishes that behaviors consisting of cartels or other agreements, decisions, or collective recommendations, concerted practices or consciously parallel behaviors among competing companies, whether real or potential, will be classified as very serious infringements.</w:t>
      </w:r>
    </w:p>
    <w:p>
      <w:r>
        <w:t>Article 63.1 of the LDC grants the CNMC the power to sanction companies and associations of these that, deliberately or through negligence, infringe the prohibition of collusive agreements. According to established jurisprudence, the principle of culpability is inherent to cartel infringements, but in addition to the proven facts of this Resolution, it is established that the companies were aware of the illicit nature of their anti-competitive conduct.</w:t>
      </w:r>
    </w:p>
    <w:p>
      <w:r>
        <w:t>Subsection c) of the same article states that very serious infringements may be punished with a fine of up to 10 percent of the total turnover of the infringing company in the financial year immediately preceding the imposition of the fine, and in cases where it is not possible to determine the turnover, subsection 3.c) states that the amount of the fine will be more than 10 million euros.</w:t>
      </w:r>
    </w:p>
    <w:p>
      <w:r>
        <w:t>Article 64 of the LDC states that the amount of the sanctions will be set taking into account, among others, the following criteria: a) The size and characteristics of the market affected by the infringement; b) The market share of the responsible company or companies; c) The scope of the infringement; d) The duration of the infringement; e) The effect of the infringement on the rights and legitimate interests of consumers and users or on other economic operators; f) The illicit benefits obtained as a result of the infringement; g) The aggravating and mitigating circumstances that apply to each of the responsible companies.</w:t>
      </w:r>
    </w:p>
    <w:p>
      <w:r>
        <w:t>In their allegations, COBENDAI and ANT (folios 6505, 8831-32), citing various rulings from the National Court, argue that the maximum sanction that could be imposed would be 10% of the turnover obtained by the company in the economic activity area in which the infringement occurred (market affected by the infringement), in the financial year prior to the imposition of the fine.</w:t>
      </w:r>
    </w:p>
    <w:p>
      <w:r>
        <w:rPr>
          <w:b/>
        </w:rPr>
        <w:t>[Pages 61–63]</w:t>
      </w:r>
    </w:p>
    <w:p>
      <w:r>
        <w:t>to determine the appropriate sanction within the established limits, ensuring that the penalty reflects the actual impact of the infringement on competition in the relevant market.</w:t>
      </w:r>
    </w:p>
    <w:p>
      <w:r>
        <w:t>In summary, the Supreme Court emphasizes that the "total volume of business" serves as a comprehensive measure for calculating fines, and that the percentages outlined in Article 63.1 of the LDC should be viewed as upper limits within a sanctioning scale, rather than as extrinsic thresholds. The court also underscores the importance of considering specific market conditions and the nature of the infringement when determining penalties, thereby ensuring that sanctions are both dissuasive and proportionate to the violation committed.</w:t>
      </w:r>
    </w:p>
    <w:p>
      <w:r>
        <w:rPr>
          <w:b/>
        </w:rPr>
        <w:t>[Pages 64–66]</w:t>
      </w:r>
    </w:p>
    <w:p>
      <w:r>
        <w:t>likewise address the requirements of the principle of proportionality in the sense to which the reflections of the court of first instance tend in its majority opinion, that is, taking into account that element along with the rest included in Article 64.1 of Law 15/2007.</w:t>
      </w:r>
    </w:p>
    <w:p>
      <w:r>
        <w:t>This Court is aware of the difficulty involved in reconciling, in a single act and with the sole rules contained in Articles 63 and 64 of Law 15/2007, the demands of effectiveness and deterrent capacity of the sanctions in the field of competition defense, on one hand, with those derived - and also unavoidable - from the principle of proportionality, on the other. […]</w:t>
      </w:r>
    </w:p>
    <w:p>
      <w:r>
        <w:t>Throughout the procedural controversy, reference has been made to the deterrent purpose of fines in the field of competition defense, a purpose that certainly corresponds to them and which, in the case of infringements of Articles 101 and 102 of the TFEU, is inescapable for the effectiveness of both, even when applied by the national authorities of the Member States. But such a character is neither exclusive to this sector of the legal system nor can it be established as the prevailing point of reference for the calculation in a specific case, displacing the principle of proportionality.</w:t>
      </w:r>
    </w:p>
    <w:p>
      <w:r>
        <w:t>The administrative sanctions provided for the exercise of economic activities - in the field of competition law which, despite some reductionist positions, does not differ in this respect from other sectors of the sanctioning legal system - must be set at a level sufficiently deterrent so that, when making their own decisions, companies do not aspire to obtain economic benefits derived from the infringements that turn out to be greater than the costs (the sanctions) inherent to the repression of those. If, in addition to this equation, the legislator considers it appropriate to increase the "deterrent effect" to higher levels, it has the normative capacity to do so within the respect for constitutional requirements.</w:t>
      </w:r>
    </w:p>
    <w:p>
      <w:r>
        <w:t>All of this, ultimately, has forced this Court to reconsider the method previously followed for determining the sanctions and their adequacy to the postulates of the aforementioned judgment62 although, as indicated by the High Court, the criteria used must in any case be those set forth in Article 64 of the LDC.</w:t>
      </w:r>
    </w:p>
    <w:p>
      <w:r>
        <w:t>62 This new approach for determining sanctions has been explained in some detail in the CNMC Resolution of February 26, 2015, Expte. S/425/12 Dairy Industries 2.</w:t>
      </w:r>
    </w:p>
    <w:p>
      <w:r>
        <w:t>7.3. Elements of graduation leading to specify the scale of sanction.</w:t>
      </w:r>
    </w:p>
    <w:p>
      <w:r>
        <w:t>As already noted, the infringement being analyzed here is classified by the LDC as very serious, to which a fine of up to 10% of the total turnover of the infringers in the immediately preceding financial year to the imposition of the sanctions, that is, 2014, is associated.</w:t>
      </w:r>
    </w:p>
    <w:p>
      <w:r>
        <w:t>On the other hand, as stated by the Supreme Court, this 10% should be conceived as the maximum limit of a sanctioning scale or range. This percentage "marks the maximum of the sanctioning rigor for the sanction corresponding to the infringing conduct that, within the respective category, has the highest unlawful density." Given this, the 10% should be reserved as the "sanctioning response applicable to the most blameworthy infringement of the possible ones within its category." Consequently, starting from the graduation criteria of Article 64.1 of the LDC and its manifestation in this specific case, it will be necessary to determine the percentage from which, within the minimum and maximum (10%) of the sanctioning scale provided for in the Law, to start in order to subsequently individualize the corresponding sanction for each responsible subject.</w:t>
      </w:r>
    </w:p>
    <w:p>
      <w:r>
        <w:t>It is advisable in this regard to take into consideration the general or global factors of the conduct, leaving for a later analysis and specification (individualization) the specific factors relating to the conduct of each of the infringers, including, where appropriate, aggravating and mitigating circumstances of an individual nature.</w:t>
      </w:r>
    </w:p>
    <w:p>
      <w:r>
        <w:t>Some elements allow considering the conduct as particularly harmful and damaging within those prohibited by Article 1 of the LDC. In this sense, the conduct directly affects the formation of prices by the involved companies, in addition to also incorporating the exchange of other sensitive information. The conduct, moreover, has been carried out in an institutionalized manner through the collaboration of ANT, continuous monitoring and control of the degree of compliance with the agreements has been conducted, and mechanisms of retaliation or penalization have been foreseen for those participants who deviated from them, which constitutes particularly blameworthy circumstances in a conduct such as the one described.</w:t>
      </w:r>
    </w:p>
    <w:p>
      <w:r>
        <w:t>However, other important elements of the conduct operate in the opposite direction and lead to gradate the fine below the upper segment of the sanctioning range. Firstly, Article 64.1.c) of the LDC refers to the "scope of the infringement." According to the analysis presented, the territorial scope of the conduct is limited (in contrast to a scenario in which the conduct took place with an implantation throughout the national territory). Furthermore, it is noted that, within its area of action in the "Madrid area," the conduct has been developed by a significant percentage of the dealerships of the HYUNDAI brand implanted in the area, which, however, have a smaller share when other relevant brands are included in the analysis.</w:t>
      </w:r>
    </w:p>
    <w:p>
      <w:r>
        <w:t>Secondly, Article 64.1.d) of the LDC refers to the duration of the conduct. In this case, and in contrast to other cases analyzed and resolved by this Competition Court of the Council, a particularly short duration of the cartel (nine months) is noted, which will also be reflected in a lesser scope of the conduct.</w:t>
      </w:r>
    </w:p>
    <w:p>
      <w:r>
        <w:t>Following the aforementioned judgment of the Supreme Court, the set of factors presented here allows specifying, within the legal scale that runs from the minimum amount to 10% of the total turnover of each responsible subject in 2014, the assessment of the unlawful density of the conduct, and leads this Competition Court of the Council to consider that the sanctioning reproach in this case must be effectively deterrent, although the principle of proportionality requires that the sanction does not sit in the upper segment of the scale. All of this without prejudice to the adjustments upwards or downwards that correspond to be made in the individualization phase of the sanctions according to the conduct of each company.</w:t>
      </w:r>
    </w:p>
    <w:p>
      <w:r>
        <w:t>7.4. Individualization of the sanctions.</w:t>
      </w:r>
    </w:p>
    <w:p>
      <w:r>
        <w:t>In the absence of mitigating and aggravating circumstances (Art. 64.2 and 64.3), the individualization of the sanction for each of the responsible subjects must be done taking into consideration the specific graduation factors susceptible to individualization.</w:t>
      </w:r>
    </w:p>
    <w:p>
      <w:r>
        <w:t>Firstly, based on Article 64.1.a) of the LDC, it is advisable to take into consideration the dimension of the company's action in the market affected by the infringement. The responsible companies have been required63 to provide the value of the market affected by the conduct, that is, the value corresponding to the distribution of three models (i30, ix35, and Santa Fe) of the Hyundai brand (private channel), during the infringing period attributable to each company. For these purposes, it is considered that the period runs from September 2012 (inclusive) to June 2013 (exclusive, since the end term of the conduct coincides with the inspection of June 4).</w:t>
      </w:r>
    </w:p>
    <w:p>
      <w:r>
        <w:t>Next, the total value of the affected market during the duration period, indicated in the previous paragraph, of the conduct attributed to each of the companies is reproduced. The percentage or share is added in the last column.</w:t>
      </w:r>
    </w:p>
    <w:p>
      <w:r>
        <w:t>63 The responses to the request are recorded in the following pages: LIDERDAI (pages 8990 to 9061), MOTOR GAMBOA (pages 9062 to 9066), HORWATH (pages 9067 and 9068 and 9227-9236), YUNCAR (pages 9069 to 9072); MERODIGAR (pages 9073 to 9130), COBENDAI (pages 9131 to 9135), IBERDAI (pages 9136 to 9159) and ZONAUTO (pages 9160 to 9163), ROCAL AUTOMOCIÓN (pages 9164 to 9168), CARS COREA (pages 9169 to 9177); TAPISA (pages 9178 to 9185), ANT (pages 9217), SANTÓN OLIVA (pages 9215 and 9215.1) and ALMOAUTO MOTOR (pages 9206-9214).</w:t>
      </w:r>
    </w:p>
    <w:p>
      <w:r>
        <w:rPr>
          <w:b/>
        </w:rPr>
        <w:t>[Pages 67–69]</w:t>
      </w:r>
    </w:p>
    <w:p>
      <w:r>
        <w:t>of each of the companies based on their sales during the months of the conduct attributed in the affected market.</w:t>
      </w:r>
    </w:p>
    <w:p>
      <w:r>
        <w:t>Value of Market Share Participation</w:t>
        <w:br/>
        <w:t>Company Affected in the Conduct</w:t>
        <w:br/>
        <w:t>(in thousands of €) (%)</w:t>
        <w:br/>
        <w:t>ALMOAUTO MOTOR, S.L. 1,948 6.7</w:t>
        <w:br/>
        <w:t>CARS COREA, S.L. 2,727 9.3</w:t>
        <w:br/>
        <w:t>COBENDAI, S.L. 4,850 16.6</w:t>
        <w:br/>
        <w:t>IBERDAI MOTORS, S.A. 1,288 4.4</w:t>
        <w:br/>
        <w:t>LIDERDAI, S.A. 732 2.5</w:t>
        <w:br/>
        <w:t>MERODIGAR MOTOR, S.L. 478 1.6</w:t>
        <w:br/>
        <w:t>MOTOR GAMBOA, S.A. 9,455 32.3</w:t>
        <w:br/>
        <w:t>ROCAL AUTOMOCIÓN, S.L. 1,011 3.5</w:t>
        <w:br/>
        <w:t>SANTÓN OLIVA, S.L. 786 2.7</w:t>
        <w:br/>
        <w:t>TALLERES PITA, S.A. 768 2.6</w:t>
        <w:br/>
        <w:t>YUNCAR MOTOR, S.L. 4,292 14.7</w:t>
        <w:br/>
        <w:t>ZONAUTO SUR, S.L. 906 3.1</w:t>
      </w:r>
    </w:p>
    <w:p>
      <w:r>
        <w:t>The highest turnover in the affected market by the conduct indicates a greater intensity or participation in the conduct and, in particular, a greater potential illicit gain. Therefore, it is considered appropriate to the principle of proportionality and the necessary individualization of the fines to adjust the percentage of the sanction upwards or downwards based on the greater participation of each company in the overall turnover in the affected market by the conduct.</w:t>
      </w:r>
    </w:p>
    <w:p>
      <w:r>
        <w:t>Secondly, regarding the duration of the conduct (art. 64.1.d of the LDC), since it is identical in all cases (9 months), it is not possible to introduce elements of differentiation or individualization of the sanction for this reason.</w:t>
      </w:r>
    </w:p>
    <w:p>
      <w:r>
        <w:t>As for ANT, the consideration of its determining role, not as a mere assistant or passive collaborator of the cartel, but as a true active facilitator and key instrument of the exchange of information, inducing and proposing "stabilization" measures (i.e., monitoring or retaliation) knowing their illegality, leads to aggravating its fine compared to that determined for the dealerships.</w:t>
      </w:r>
    </w:p>
    <w:p>
      <w:r>
        <w:t>7.5. The illicit benefit as a criterion of proportionality.</w:t>
      </w:r>
    </w:p>
    <w:p>
      <w:r>
        <w:t>Taking into account the criterion of the illicit benefit obtained by the infringing companies (article 64.1.f of the LDC) is particularly important in order to avoid "the commission of the typified infringements being more beneficial for the infringer than compliance with the infringed norms" (art. 131.2 of Law 30/1992), a criterion to which the aforementioned ruling of the Supreme Court pays special attention by stating that "the administrative sanctions provided for the exercise of economic activities [...] must be set at a sufficiently deterrent level so that, when making their own decisions, companies do not seek to obtain economic benefits derived from the infringements that turn out to be greater than the costs (the sanctions) inherent to the repression of them."</w:t>
      </w:r>
    </w:p>
    <w:p>
      <w:r>
        <w:t>The most authoritative economic doctrine has consistently and soundly pointed out the enormous damage that collusion among competing companies causes both in the economic sector in which it occurs and in the welfare of consumers. These damages arise from anti-competitive conduct and are related to the illicit benefits obtained by companies that restrict competition, although the damages produced may be greater than the illicit benefits obtained by the cartel members. Therefore, focusing on the illicit benefit is a prudent stance because it implies starting from a conservative estimate of the illegitimate effects of the infringement.</w:t>
      </w:r>
    </w:p>
    <w:p>
      <w:r>
        <w:t>Scientific works that attempt to assess the illicit benefits obtained by participants in anti-competitive conduct usually start from some estimate of the price variation produced by the collusive conduct, which gives rise to the illicit benefits of the companies. The estimates vary, depending on the specific economic sectors and the particular circumstances of each case. Several recent studies offer a general overview of the state of the issue and conclude that the average price variation produced by cartels that have operated in Europe can be estimated between 15% and 20%. In turn, to obtain an estimate of the illicit benefit, that estimated percentage of price variation, produced by the anti-competitive conduct, is applied to the volume of the affected market during the infringement. In this way, the volume of the affected market during the anti-competitive conduct constitutes a valid reference point for estimating the illicit benefit obtained by the companies as a result of the infringement.</w:t>
      </w:r>
    </w:p>
    <w:p>
      <w:r>
        <w:t>Based on these and other similar studies, the Competition Authorities of various countries use different percentages as a reference to estimate the illicit benefit and the potential damage associated with collusive conduct. For very serious infringements, in most countries, those percentages are above 10% of the volume of the affected market during the conduct, as a general presumption for setting that illicit gain and potential damage. This is clearly reflected in the Fine Communication of the German Competition Authority (Bundeskartellamt).</w:t>
      </w:r>
    </w:p>
    <w:p>
      <w:r>
        <w:t>Regarding the case at hand in this Resolution, the anti-competitive conduct would translate into a reduction of the uncertainty that the dealerships would have faced, in the absence of the cartel, regarding when, how, and to what extent each of them would apply discounts on vehicle prices, which in turn would result in a reduction of the importance of the discounts applied as a commercial tool and in higher retail prices than would have occurred in the absence of the collusive agreements.</w:t>
      </w:r>
    </w:p>
    <w:p>
      <w:r>
        <w:t>While 10% of the volume of the affected market can be considered a valid and prudent starting point for generally determining the illicit benefit of anti-competitive conduct, as previously noted, the structure of the car dealership sector, analyzed by the Competition Directorate, allows for the presumption that the conduct developed would result in an illicit gain of less than 10 percentage points on sales, making it more prudent to set that reference estimate in the range of 5-10%.</w:t>
      </w:r>
    </w:p>
    <w:p>
      <w:r>
        <w:t>On such premises, the following table shows, for illustrative purposes, a prudent estimate of the ranges of illicit benefit that can be used as a reference for the modulation of the sanctions, which is obtained by applying 5% and 10% respectively on the value of the market affected by the conduct of each of the companies.</w:t>
      </w:r>
    </w:p>
    <w:p>
      <w:r>
        <w:rPr>
          <w:b/>
        </w:rPr>
        <w:t>[Pages 70–72]</w:t>
      </w:r>
    </w:p>
    <w:p>
      <w:r>
        <w:t>Reference interval</w:t>
        <w:br/>
        <w:t>of illicit profit</w:t>
        <w:br/>
        <w:t>Company (5%-10% of the value</w:t>
        <w:br/>
        <w:t>of the affected market,</w:t>
        <w:br/>
        <w:t>in thousands of €)</w:t>
        <w:br/>
        <w:t>ALMOAUTO MOTOR, S.L. 97 - 195</w:t>
        <w:br/>
        <w:t>CARS COREA, S.L. 136 - 273</w:t>
        <w:br/>
        <w:t>COBENDAI, S.L 242 - 485</w:t>
        <w:br/>
        <w:t>IBERDAI MOTORS, S.A. 64 - 129</w:t>
        <w:br/>
        <w:t>LIDERDAI, S.A. 37 - 73</w:t>
        <w:br/>
        <w:t>MERODIGAR MOTOR, S.L. 24 - 48</w:t>
        <w:br/>
        <w:t>MOTOR GAMBOA, S.A., 473 - 945</w:t>
        <w:br/>
        <w:t>ROCAL AUTOMOCIÓN, S.L. 50 - 101</w:t>
        <w:br/>
        <w:t>SANTÓN OLIVA, S.L. 39 - 79</w:t>
        <w:br/>
        <w:t>TALLERES PITA, S.A. 38 - 77</w:t>
        <w:br/>
        <w:t>YUNCAR MOTOR, S.L. 215 - 429</w:t>
        <w:br/>
        <w:t>ZONAUTO SUR, S.L. 45 - 91</w:t>
        <w:br/>
        <w:t>It is necessary to emphasize that the 5-10% range is a reference interval, or a general presumption adapted to the case referred to in this Resolution, which can be used without reservation because the illicit profit estimated in this way is not used directly for the determination of the sanction, but only to modulate in any case downward the fine by comparing it with that estimated illicit profit. If the sanction is found to be disproportionate in comparison with the estimated illicit profit for the infringement, an adjustment of the sanction will be necessary to ensure the proportionality required by the ruling of the Supreme Court of January 29, 2015.</w:t>
        <w:br/>
        <w:t>It is also important to underline that proportionality does not require that the sanction be lower than the estimated illicit profit used as a reference, which is limited to acting as a modulating criterion. When an anticompetitive behavior has a short duration, as is the case here, the proportion that the sanction represents with respect to the illicit profit will necessarily be higher than when the unlawful behaviors have a long duration, and this unequal treatment is precisely what will ensure the proportionality of the sanctions for the more serious and prolonged infringements, especially those committed by multi-product companies.</w:t>
        <w:br/>
        <w:t>7.6. Final amount of the fines</w:t>
        <w:br/>
        <w:t>The following table shows the total turnover of the companies involved in 2014; the appropriate sanctioning rate for the unlawful conduct of each company, within the sanctioning range indicated in Article 63.1 of the LDC, which has been set taking into account the considerations contained in this Legal Basis; and the monetary sanction resulting from applying the sanctioning rate to the total turnover in the year prior to the sanction.</w:t>
        <w:br/>
        <w:t>Total</w:t>
        <w:br/>
        <w:t>Turnover</w:t>
        <w:br/>
        <w:t>Company (VT, in €) Sanctioning Rate Fine (in €)</w:t>
        <w:br/>
        <w:t>(%)</w:t>
        <w:br/>
        <w:t>2014</w:t>
        <w:br/>
        <w:t>A.N.T. SERVICALIDAD, S.L. 580,586 2.50 14,514</w:t>
        <w:br/>
        <w:t>ALMOAUTO MOTOR, S.L. 10,171,976 1.40 142,408</w:t>
        <w:br/>
        <w:t>CARS COREA, S.L. 10,022,183 1.60 160,355</w:t>
        <w:br/>
        <w:t>COBENDAI, S.L. 22,597,494 1.80 406,755</w:t>
        <w:br/>
        <w:t>IBERDAI MOTORS, S.A. 5,950,330 1.20 71,404</w:t>
        <w:br/>
        <w:t>LIDERDAI, S.A. 4,975,370 1.10 54,729</w:t>
        <w:br/>
        <w:t>MERODIGAR MOTOR, S.L. 2,616,838 1.00 26,168</w:t>
        <w:br/>
        <w:t>MOTOR GAMBOA, S.A. 33,927,730 1.90 644,627</w:t>
        <w:br/>
        <w:t>ROCAL AUTOMOCIÓN, S.L. 4,853,350 1.20 58,240</w:t>
        <w:br/>
        <w:t>SANTÓN OLIVA, S.L. 4,754,704 1.10 52,302</w:t>
        <w:br/>
        <w:t>TALLERES PITA, S.A. 7,404,240 1.10 81,447</w:t>
        <w:br/>
        <w:t>YUNCAR MOTOR, S.L. 15,437,805 1.70 262,443</w:t>
        <w:br/>
        <w:t>ZONAUTO SUR, S.L. 5,070,793 1.10 55,779</w:t>
        <w:br/>
        <w:t>By virtue of this, having seen the cited articles and the others of general application, the Competition Chamber of the National Commission of Markets and Competition,</w:t>
        <w:br/>
        <w:t>HAS RESOLVED</w:t>
        <w:br/>
        <w:t>FIRST.- To declare that in this case an infringement of Article 1 of Law 15/2007, of July 3, on the Defense of Competition, has been established, in the terms set out in Legal Basis Sixth of this Resolution.</w:t>
        <w:br/>
        <w:t>SECOND.- In accordance with the responsibility attributed in Legal Basis Seventh, to declare the following companies responsible for the aforementioned infringements:</w:t>
        <w:br/>
        <w:t>1. A.N.T. SERVICALIDAD, S.L., as collaborator and facilitator to ensure compliance with the agreements adopted by the dealerships of the HYUNDAI brand participating in the cartel of the so-called "Madrid Zone," from September 2012 to June 2013.</w:t>
        <w:br/>
        <w:t>2. [*deleted, in accordance with the Agreement for correction of material error of March 18, 2015].</w:t>
        <w:br/>
        <w:t>3. ALMOAUTO MOTOR, S.L., participant in the price-fixing and commercial conditions cartel, as well as the exchange of commercially sensitive information among HYUNDAI dealerships in the Madrid Zone, from September 2012 to June 2013.</w:t>
        <w:br/>
        <w:t>4. CARS COREA, S.L., participant in the price-fixing and commercial conditions cartel, as well as the exchange of commercially sensitive information among HYUNDAI dealerships in the so-called "Madrid Zone," from September 2012 to June 2013.</w:t>
        <w:br/>
        <w:t>5. COBENDAI, S.L., participant in the price-fixing and commercial conditions cartel, as well as the exchange of commercially sensitive information among HYUNDAI dealerships in the so-called "Madrid Zone," from September 2012 to June 2013.</w:t>
        <w:br/>
        <w:t>6. IBERDAI MOTORS, S.A., participant in the price-fixing and commercial conditions cartel, as well as the exchange of commercially sensitive information among HYUNDAI dealerships in the so-called "Madrid Zone," from September 2012 to June 2013.</w:t>
        <w:br/>
        <w:t>7. LIDERDAI, S.A., participant in the price-fixing and commercial conditions cartel, as well as the exchange of commercially sensitive information among HYUNDAI dealerships in the so-called "Madrid Zone," from September 2012 to June 2013.</w:t>
        <w:br/>
        <w:t>8. MERODIGAR MOTOR, S.L., participant in the price-fixing and commercial conditions cartel, as well as the exchange of commercially sensitive information among HYUNDAI dealerships in the so-called "Madrid Zone," from September 2012 to June 2013.</w:t>
        <w:br/>
        <w:t>9. MOTOR GAMBOA, S.A., participant in the price-fixing and commercial conditions cartel, as well as the exchange of commercially sensitive information among HYUNDAI dealerships in the so-called "Madrid Zone," from September 2012 to June 2013.</w:t>
        <w:br/>
        <w:t>10. ROCAL AUTOMOCIÓN, S.L., participant in the price-fixing and commercial conditions cartel, as well as the exchange of commercially sensitive information among HYUNDAI dealerships in the so-called "Madrid Zone," from September 2012 to June 2013.</w:t>
        <w:br/>
        <w:t>11. SANTÓN OLIVA, S.L., participant in the price-fixing and commercial conditions cartel, as well as the exchange of commercially sensitive information among HYUNDAI dealerships in the so-called "Madrid Zone," from September 2012 to June 2013.</w:t>
      </w:r>
    </w:p>
    <w:p>
      <w:r>
        <w:rPr>
          <w:b/>
        </w:rPr>
        <w:t>[Pages 73–74]</w:t>
      </w:r>
    </w:p>
    <w:p>
      <w:r>
        <w:t>12. TALLERES PITA, S.A., participant in the price-fixing and commercial conditions cartel, as well as the exchange of commercially sensitive information among HYUNDAI dealerships in the so-called "Madrid Zone," from September 2012 to June 2013.</w:t>
      </w:r>
    </w:p>
    <w:p>
      <w:r>
        <w:t>13. YUNCAR MOTOR, S.L., participant in the price-fixing and commercial conditions cartel, as well as the exchange of commercially sensitive information among HYUNDAI dealerships in the so-called "Madrid Zone," from September 2012 to June 2013.</w:t>
      </w:r>
    </w:p>
    <w:p>
      <w:r>
        <w:t>14. ZONAUTO SUR, S.L, participant in the price-fixing and commercial conditions cartel, as well as the exchange of commercially sensitive information among HYUNDAI dealerships in the so-called "Madrid Zone," from September 2012 to June 2013.</w:t>
      </w:r>
    </w:p>
    <w:p>
      <w:r>
        <w:t>THIRD.- Impose the following fines on the responsible authors of the infringing conduct:</w:t>
        <w:br/>
        <w:t>1. A.N.T. SERVICALIDAD, S.L.: €14,514</w:t>
        <w:br/>
        <w:t>2. ALMOAUTO MOTOR, S.L: €142,408</w:t>
        <w:br/>
        <w:t>3. CARS COREA, S.L.: €160,355</w:t>
        <w:br/>
        <w:t>4. COBENDAI, S.L: €406,755</w:t>
        <w:br/>
        <w:t>5. IBERDAI MOTORS, S.A: €71,404</w:t>
        <w:br/>
        <w:t>6. LIDERDAI, S.A.: €54,729</w:t>
        <w:br/>
        <w:t>7. MERODIGAR MOTOR, S.L.: €26,168</w:t>
        <w:br/>
        <w:t>8. MOTOR GAMBOA, S.A.: €644,627</w:t>
        <w:br/>
        <w:t>9. ROCAL AUTOMOCIÓN, S.L: €58,240</w:t>
        <w:br/>
        <w:t>10. SANTÓN OLIVA, S.L.: €52,302</w:t>
        <w:br/>
        <w:t>11. TALLERES PITA, S.A.: €81,447</w:t>
        <w:br/>
        <w:t>12. YUNCAR MOTOR, S.L.: €262,443</w:t>
        <w:br/>
        <w:t>13. ZONAUTO SUR, S.L.: €55,779</w:t>
      </w:r>
    </w:p>
    <w:p>
      <w:r>
        <w:t>FOURTH.- Proceed to archive the proceedings against MASTERCLAS DE AUTOMOCIÓN, S.A. and HORWATH AUDITORES ESPAÑA, S.L.P. for not having established the commission of an infringement by these companies, in the terms set forth in the Fourth and Seventh Grounds.</w:t>
      </w:r>
    </w:p>
    <w:p>
      <w:r>
        <w:t>FIFTH.- Urge the Directorate of Competition of this National Commission of Markets and Competition to monitor and ensure the full compliance with this Resolution.</w:t>
      </w:r>
    </w:p>
    <w:p>
      <w:r>
        <w:t>SIXTH.- Resolve on the confidentiality regarding the documentation provided by the companies in accordance with what is indicated in the Fifth Legal Basis.</w:t>
      </w:r>
    </w:p>
    <w:p>
      <w:r>
        <w:t>Communicate this Resolution to the Directorate of Competition of the National Commission of Markets and Competition and notify the interested parties, informing them that there is no administrative appeal against it, and that they may file a contentious-administrative appeal in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