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https://www.cnmc.es/expedientes/s049813</w:t>
      </w:r>
    </w:p>
    <w:p>
      <w:r>
        <w:t>Pages translated : 19</w:t>
      </w:r>
    </w:p>
    <w:p/>
    <w:p>
      <w:r>
        <w:rPr>
          <w:b/>
        </w:rPr>
        <w:t>[Pages 1–3]</w:t>
      </w:r>
    </w:p>
    <w:p>
      <w:r>
        <w:t xml:space="preserve">RESOLUTION (Exp. S/0498/13 CLUB EXCELENCIA EN GESTIÓN VÍA INNOVACIÓN)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February 26, 2015</w:t>
      </w:r>
    </w:p>
    <w:p>
      <w:r>
        <w:t>THE COMPETITION CHAMBER of the National Commission of Markets and Competition, with the composition stated above, has issued a RESOLUTION in the Sanctioning File S/0498/13 CLUB EXCELENCIA EN GESTIÓN VÍA INNOVACIÓN, instructed by the Competition Directorate for violation of Article 1 of Law 15/2007 of July 3, on the Defense of Competition, consisting of a price agreement for the evaluation activities for obtaining the Recognition of Excellence in Management from the CEG and a customer allocation, as the CEG could direct to a specific certification entity the requests for information or recognition it receives from an organization that is a client of that certification entity.</w:t>
      </w:r>
    </w:p>
    <w:p>
      <w:r>
        <w:t>The rapporteur has been Councilor Mr. Benigno Valdés Díaz.</w:t>
      </w:r>
    </w:p>
    <w:p>
      <w:r>
        <w:t xml:space="preserve">BACKGROUND  </w:t>
        <w:br/>
        <w:t>FIRST.- On January 22, 2013, the Directorate of Investigation of the defunct CNC received two letters from the company SERVICIOS DE ASISTENCIA MÉDICA DE URGENCIA, S.A. (SAMU) and from the ASOCIACIÓN PARA LA DEFENSA DE LA COMPETENCIA ANDALUZA (ADECOA), in which these entities filed a complaint against (1) the CLUB EXCELENCIA EN GESTIÓN VÍA INNOVACIÓN (CEG), (2) BUREAU VERITAS IBERIA, S.L., (3) LGAI TECHNOLOGICAL CENTER, S.A., (4) SGS INTERNATIONAL CERTIFICATION SERVICES IBÉRICA, S.A., and (5) the ASOCIACIÓN ESPAÑOLA DE NORMALIZACIÓN Y CERTIFICACIÓN, for alleged prohibited conduct under Law 15/2007, of July 3, on the Defense of Competition, consisting of offering identical certification budgets for the provision of the evaluation service of the quality and excellence procedure of the CLUB EXCELENCIA EN GESTIÓN VÍA INNOVACIÓN (CEG), and the creation by it of the Center for Exchange and Benchmarking (CIBE), where experience exchanges would take place through the practice of benchmarking activity.</w:t>
      </w:r>
    </w:p>
    <w:p>
      <w:r>
        <w:t>SECOND.- On March 15, 2013, the defunct Directorate of Investigation, within the framework of a reserved information with reference number DP/2013/005, requested information from BUREAU VERITAS IBERIA, S.L.; LGAI TECHNOLOGICAL CENTER, S.A.; SGS INTERNATIONAL CERTIFICATION SERVICES IBÉRICA, S.A., and the ASOCIACIÓN ESPAÑOLA DE NORMALIZACIÓN Y CERTIFICACIÓN regarding their activities in general, and in particular about the activity related to the EFQM Model and the relationship maintained with the CEG (folios 125 to 145).</w:t>
      </w:r>
    </w:p>
    <w:p>
      <w:r>
        <w:t>On the same date, information was requested from the CEG regarding its legal form, its activity, the EFQM model, the relationship with the aforementioned certification entities, as well as clarifications on various issues and expressions detected on its website (folios 146 to 151).</w:t>
      </w:r>
    </w:p>
    <w:p>
      <w:r>
        <w:t>Between March 27 and April 8, 2013, responses to the information requests were received at the Directorate of Investigation (folios 221 to 224, 249 to 254, 274 to 289, 290 to 294, and 310 to 316).</w:t>
      </w:r>
    </w:p>
    <w:p>
      <w:r>
        <w:t>On April 22, 2013, the defunct Directorate of Investigation requested the CEG to provide copies of the documents regulating its collaboration relationship with the mentioned certification entities (folios 334 to 336). On April 25, 2013, the CEG provided said documentation (folios 339 to 377, 388 to 426, 436 to 476, 487 to 527, 538 to 542, and 719 to 760).</w:t>
      </w:r>
    </w:p>
    <w:p>
      <w:r>
        <w:t>On June 19, 2013, the defunct Directorate of Investigation requested the CEG information about the legal nature of the collaboration contracts signed with the certification entities; how the recognition process of the Recognition Scheme for Excellence in Management of the CEG was developed; data on other certification entities with which the CEG collaborated, and clarification of expressions such as "minimum reference thresholds" or "Reference Fees of the CEG/EFQM Recognition Schemes" detected in the documentation provided by the CEG (folios 543 to 548). On July 4, 2013, the CEG responded to this information request (folios 568 to 665).</w:t>
      </w:r>
    </w:p>
    <w:p>
      <w:r>
        <w:t>On November 14, 2013, the Competition Directorate (DC) of the CNMC, within the framework established in section 2 of article 49 of Law 15/2007, of July 3, on the Defense of Competition, agreed to initiate an investigation under reference S/0498/13, incorporating into it the documentation from the reserved information conducted under ref. DP/2013/005 (folio 1).</w:t>
      </w:r>
    </w:p>
    <w:p>
      <w:r>
        <w:t>On the same date, and in accordance with article 31 of Law 30/1992, of November 26, on the Legal Regime of Public Administrations and Common Administrative Procedure (LRJAP-PAC), the DC requested ADECOA to justify its interest in the matter to be considered an interested party in a potential sanctioning procedure (folios 666 to 669). On November 29, 2013, ADECOA renounced being an interested party due to the burden of administrative procedures it entailed (folios 670 to 677).</w:t>
      </w:r>
    </w:p>
    <w:p>
      <w:r>
        <w:t>THIRD.- On December 3, 2013, the DC agreed to initiate the reference file against the accused, as well as against LLOYD’S REGISTER QUALITY ASSURANCE ESPAÑA, S.L. and TÜV RHEINLAND IBÉRICA INSPECTION, CERTIFICATION &amp; TESTING, S.A. as it was deduced, from the information obtained, the existence of rational indications of the commission by the cited entities of a violation of article 1 of Law 15/2007, consisting of a price agreement for the evaluation activities for obtaining the Recognition of Excellence in Management from the CEG and a customer allocation, as the CEG could direct to a specific certification entity the requests for information or recognition it receives from client organizations of that certification entity (folios 678 to 680). The cited agreement was notified to the parties between December 9 and 12, 2013 (folios 681 to 712).</w:t>
      </w:r>
    </w:p>
    <w:p>
      <w:r>
        <w:t>FOURTH.- On December 16, 2013, the Competition Directorate requested LLOYD’S REGISTER QUALITY ASSURANCE ESPAÑA, S.L. and TÜV RHEINLAND IBÉRICA INSPECTION, CERTIFICATION &amp; TESTING, S.A. information about their activity in general and, in particular, about the activity related to the EFQM, as well as about the relationship with the CEG (folios 713 to 718). LLOYD’S REGISTER QUALITY ASSURANCE ESPAÑA, S.L. responded to this request on January 8, 2014 (folios 801 to 804 and confidential folios 805 to 851), and TÜV RHEINLAND IBÉRICA INSPECTION, CERTIFICATION &amp; TESTING, S.A. sent its response by mail on January 14, 2014 (folios 1113 to 1162 and 1172 to 1176 and confidential folios 1097 to 1112 and 1163 to 1171).</w:t>
      </w:r>
    </w:p>
    <w:p>
      <w:r>
        <w:t>On January 15 and 16, 2014, BUREAU VERITAS IBERIA, S.L. (formerly named BUREAU VERITAS CERTIFICATION, S.A.) provided a deed of merger by absorption, modification of object, and increase of share capital, dated October 10, 2013, by virtue of which the corporate structure and name of said entity changed, becoming BUREAU VERITAS IBERIA, S.L. (folios 901 to 1063 and 1090 to 1094).</w:t>
      </w:r>
    </w:p>
    <w:p>
      <w:r>
        <w:rPr>
          <w:b/>
        </w:rPr>
        <w:t>[Pages 4–6]</w:t>
      </w:r>
    </w:p>
    <w:p>
      <w:r>
        <w:t>On January 16, 2014, the Competition Directorate requested LLOYD’S REGISTER QUALITY ASSURANCE ESPAÑA, S.L., formerly known as LLOYD’S REGISTER ESPAÑA, S.A., information regarding the succession of the latter company, as well as issues related to the relationships of the latter entity with the CEG (folios 1086 to 1089). This request was answered on January 24, 2014 (folios 1193 to 1198 and confidential folios 1199 to 1355).</w:t>
      </w:r>
    </w:p>
    <w:p>
      <w:r>
        <w:t>In light of the documentation provided by BUREAU VERITAS IBERIA, S.L. on January 15 and 16, 2014, the DC adopted, on January 17, 2014, an agreement whereby all actions taken with BUREAU VERITAS CERTIFICATION, S.A. within the framework of the reference file would be understood as having been carried out with BUREAU VERITAS IBERIA, S.L. (folio 1177). This agreement was notified to all interested parties between January 17 and 22, 2014 (folios 1178 to 1189).</w:t>
      </w:r>
    </w:p>
    <w:p>
      <w:r>
        <w:t>On January 24, 2014, LLOYD’S REGISTER QUALITY ASSURANCE ESPAÑA, S.L. submitted copies of several deeds whereby the corporate structure and name of said entity were changed, becoming LLOYD’S REGISTER QUALITY ASSURANCE ESPAÑA, S.L. (confidential folios 1199 to 1342).</w:t>
      </w:r>
    </w:p>
    <w:p>
      <w:r>
        <w:t>On that same date and in view of the documentation provided by LLOYD’S REGISTER QUALITY ASSURANCE ESPAÑA, S.L., the DC agreed that all actions within the framework of the reference file carried out with LLOYD’S REGISTER ESPAÑA, S.A. would be understood as having been carried out with LLOYD’S REGISTER QUALITY ASSURANCE ESPAÑA, S.L. (folio 1357). This agreement was notified to the interested parties between January 27 and 31, 2014 (folios 1358 to 1369).</w:t>
      </w:r>
    </w:p>
    <w:p>
      <w:r>
        <w:t>On April 9, 2014, the DC incorporated into the file (folio 1459) the Guide of the Recognition Scheme-European Excellence Seal of the Club Excelencia en Gestión (folios 1460 to 1469).</w:t>
      </w:r>
    </w:p>
    <w:p>
      <w:r>
        <w:t>FIFTH.- Between March 20 and 21, 2014, the CEG submitted a document requesting the initiation of a dialogue aimed at the possibility of starting actions related to a conventional termination of the reference file and clarifying certain aspects of the Excellence Seals, the Recognition Scheme, and the collaboration agreements (folios 1438-1453 and confidential folios 1454-1455).</w:t>
      </w:r>
    </w:p>
    <w:p>
      <w:r>
        <w:t>On April 9, 2014, a document from the CEG formally requesting the initiation of the conventional termination procedure provided for in article 52 of the LDC was entered into the CNMC registry (folios 1470-1471). Likewise, the CEG presented the general lines of a proposal for commitments it would be willing to assume (folios 1472-1474).</w:t>
      </w:r>
    </w:p>
    <w:p>
      <w:r>
        <w:t>As a continuation of that document, the CEG submitted various documentation on electronic CD media on April 29 and 30, 2014, which contained a proposed amended version of the collaboration contract model that the CEG was willing to sign with the various certification entities, and the annexes of said contract, as well as additional documentation (folios 1486-1496, 1503-1545, 1550-1551 and confidential folios 1497-1502 and 1546-1549).</w:t>
      </w:r>
    </w:p>
    <w:p>
      <w:r>
        <w:t>On May 19, 2014, the Competition Directorate agreed to initiate actions aimed at conventional termination, suspending the maximum resolution period of the file until the conclusion of the aforementioned, in accordance with article 37-1-g of Law 15/2007, of July 3, on the Defense of Competition (folios 1554-1555). The agreement was notified to the interested parties of the File between May 20 and 23, 2014, providing them with a copy of the commitments of the CEG, for the purpose of being able to present allegations (folios 1556-1622 to 1747 and confidential folios 1748-1757).</w:t>
      </w:r>
    </w:p>
    <w:p>
      <w:r>
        <w:t>SIXTH.- On November 26, 2014, the Competition Directorate submitted to this COMPETITION CHAMBER of the CNMC a proposal for acceptance of the commitments agreed upon with the parties in the conventional termination negotiation, as well as the closure of the File, without the need for compliance with said commitments to be subject to monitoring as they were already implemented by that date.</w:t>
      </w:r>
    </w:p>
    <w:p>
      <w:r>
        <w:t>PROVEN FACTS</w:t>
        <w:br/>
        <w:t>FIRST.- The parties in this File are:</w:t>
        <w:br/>
        <w:t>(A) As complainant, SERVICIOS DE ASISTENCIA MÉDICA DE URGENCIA, S.A. (SAMU, S.A.). According to its statutes, SAMU, S.A. aims to organize and operate any activities and businesses related to the provision of emergency medical assistance services (folios 29 to 31).</w:t>
      </w:r>
    </w:p>
    <w:p>
      <w:r>
        <w:t>(B) As defendants:</w:t>
        <w:br/>
        <w:t>(1) CLUB EXCELENCIA EN GESTIÓN VÍA INNOVACIÓN (CEG). It is a private non-profit business association whose purpose is to promote the competitiveness of companies and organizations through the continuous improvement of effectiveness and efficiency in management (folio 278, 343, 396, 444, 495, 1130 and confidential folio 807). CEG carries out its activities in Spanish territory but maintains exchanges and contacts with similar associations and entities from other countries. It is composed of 231 members, companies, and organizations from various sectors and sizes (folio 278).</w:t>
      </w:r>
    </w:p>
    <w:p>
      <w:r>
        <w:t>(2) ASOCIACIÓN ESPAÑOLA DE NORMALIZACIÓN Y CERTIFICACIÓN (AENOR). It is a private non-profit entity created in 1986 with the aim of contributing to improving the quality and competitiveness of companies, as well as their products and services, through the development of technical standards and certifications. It has a presence in all Spanish Autonomous Communities through 20 offices. It also has a permanent presence in 12 countries, mainly in Ibero-America and Europe.</w:t>
      </w:r>
    </w:p>
    <w:p>
      <w:r>
        <w:t>In the field of standardization, AENOR is the legally responsible body for the development and dissemination of technical standards in Spain. It is accredited by the National Accreditation Entity (ENAC, declared, according to Royal Decree 1715 of 2010, as the only body endowed with public authority to grant accreditations in accordance with the provisions of European Regulation CE No. 765/2008) for the certification of quality management systems in accordance with the ISO 9001:2000 standard (folio 345), ranking among the 10 most important certifiers in the world.</w:t>
      </w:r>
    </w:p>
    <w:p>
      <w:r>
        <w:t>With the purpose of extending the culture of quality, AENOR also develops a strong editorial activity, designs software for the management of systems, provides specialized training, and offers various information services.</w:t>
      </w:r>
    </w:p>
    <w:p>
      <w:r>
        <w:t>(3) BUREAU VERITAS IBERIA, S.L. (hereinafter, BUREAU VERITAS). It is a certification entity that, among other activities, provides certification and conformity assessment services with standards and reference models to all types of organizations, for management systems and for products (folio 250).</w:t>
      </w:r>
    </w:p>
    <w:p>
      <w:r>
        <w:t>(4) LGAI TECHNOLOGICAL CENTER, S.A. (hereinafter, LGAI). It was established on May 29, 2003, and its CNAE activity (acronym for National Classification of Economic Activities) is (7120) "Technical testing and analysis." Its corporate purpose is to provide testing, analysis, calibration, technological innovation, quality control, homologation, certification, inspection, and consulting services in any sector of industry or services. APPLUS+ is the trade name used by LGAI for its certification activities for management systems and product certification, calibrations, and various technological activities (folio 445).</w:t>
      </w:r>
    </w:p>
    <w:p>
      <w:r>
        <w:t>(5) SGS INTERNATIONAL CERTIFICATION SERVICES IBÉRICA, S.A. (hereinafter, SGS). A company created in 1994 that carries out certification, independent auditing, and conformity assessment activities with standards, normative documents, as well as standards and reference models, for all types of organizations in the industrial and service sectors. Its main line of business is certification – in accordance with the standards developed by various certification bodies – of products, services, and systems. Specifically, it provides certification services for management systems for various models and brands, such as EFQM, MADRID EXCELENTE, QUALICERT, and</w:t>
      </w:r>
    </w:p>
    <w:p>
      <w:r>
        <w:rPr>
          <w:b/>
        </w:rPr>
        <w:t>[Pages 7–9]</w:t>
      </w:r>
    </w:p>
    <w:p>
      <w:r>
        <w:t>ICT in the tourism sector, as well as various standards of the INTERNATIONAL ORGANIZATION FOR STANDARDISATION (ISO): ISO 14001 in the environmental field, ISO 10002:2004, ISO 9001, etc. (folio 312).</w:t>
      </w:r>
    </w:p>
    <w:p>
      <w:r>
        <w:t>(6) LLOYD’S REGISTER QUALITY ASSURANCE ESPAÑA, S.L. (hereinafter, LRQA España, S.L.). It is one of the entities currently conducting certification audit activities for management systems in Spain. It is the representative company in Spain of LRQA (LLOYD’S REGISTER QUALITY ASSURANCE LIMITED), an international certification company that provides certification and conformity assessment services with standards and reference models to all types of organizations. It was established in April 2013 (folio 801).</w:t>
      </w:r>
    </w:p>
    <w:p>
      <w:r>
        <w:t>(7) TÜV RHEINLAND IBÉRICA INSPECTION, CERTIFICATION &amp; TESTING, S.A. (hereinafter, TÜV). According to article 2 of its bylaws, its purpose is to collaborate with the Public Administration "in the exercise of the competencies that correspond to it regarding the oversight of compliance with regulations on [...] the safety and quality of products, systems, and installations, [...] and specifically regarding all matters related to inspection, review, verification, homologation, certification, control, and technical and regulatory testing, and also to offer the same services to manufacturers, public and private establishments of industry, commerce, services, companies, official bodies, entities, or individuals" (folio 1114). It offers a wide variety of activities, providing a vast range of services, among which the EFQM evaluation represents a minimal part (folio 1114).</w:t>
      </w:r>
    </w:p>
    <w:p>
      <w:r>
        <w:t>SECOND.- Regarding the EXCELLENCE MODELS.</w:t>
      </w:r>
    </w:p>
    <w:p>
      <w:r>
        <w:t>(1) EFQM Excellence Model. The EUROPEAN FOUNDATION FOR QUALITY MANAGEMENT (EFQM) is a non-profit foundation whose declared objective is to increase the effectiveness and efficiency of organizations (understood as companies, schools, hospitals, etc.), reinforcing quality in all aspects of their activities and stimulating the development of continuous improvement (folio 313). To achieve its objectives, EFQM has created the EFQM Business Excellence Model as a non-normative reference framework for the self-assessment of organizations (folios 250, 278 to 279). Organizations that apply the EFQM Model may access, upon evaluation, a Seal granted by EFQM (folios 396 to 397).</w:t>
      </w:r>
    </w:p>
    <w:p>
      <w:r>
        <w:t>EFQM is organized through a network of national partners, also referred to as National Partners, who, as representatives of EFQM, are responsible for implementing the Model in each country where they are present. In Spain, the national partner of EFQM is the CEG (folio 313).</w:t>
      </w:r>
    </w:p>
    <w:p>
      <w:r>
        <w:t>(2) CEG Recognition Scheme. Since 1999, CEG has deployed its own recognition scheme for excellence in management, called the Recognition Scheme for Excellence in Management (hereinafter, the Scheme), which is based on the application of the EFQM Model and is organized into different Seals and Levels (folio 396). Organizations may access the corresponding Level based on the evaluation result and obtain a Seal that can also be validated with the corresponding EFQM Seal (folio 279).</w:t>
      </w:r>
    </w:p>
    <w:p>
      <w:r>
        <w:t>Unlike other more standardized recognitions, the implementation of the Excellence Seal, as well as the EFQM Seal, is a voluntary decision by the organization that desires such Seal (folios 575 and 1442). CEG has limited resources, so it has opted to grant its Excellence Seals through the certification entities AENOR, LGAI, BUREAU VERITAS, LRQA ESPAÑA, S.L., SGS, and TÜV, under a collaboration contract with each entity that is analyzed in the following section (folio 1443).</w:t>
      </w:r>
    </w:p>
    <w:p>
      <w:r>
        <w:t>THIRD.- Structure of the contracts subject to complaint at the time of opening the File by the DC.</w:t>
      </w:r>
    </w:p>
    <w:p>
      <w:r>
        <w:t>At the time of opening the File by the DC, CEG and the certification entities considered here had signed collaboration contracts for them to participate in the evaluation activities for granting an Excellence Seal (folio 279). Specifically, as of the mentioned date, CEG has collaborated with BUREAU VERITAS since 1999 (folio 252); with SGS, LRQA España, S.L., and TÜV since 2002 (folios 313, 802, and 1122); with AENOR since 2003 (folio 223); and with LGAI since 2007 (folio 291). The collaboration contracts are complemented by other documents prepared by CEG, according to which these contracts are of a "sui generis" nature, with elements of an agency contract, franchise, and even an adhesion agreement (folio 569). In the contracts and complementary documents, common for the certification entities, the following issues are regulated, among others:</w:t>
      </w:r>
    </w:p>
    <w:p>
      <w:r>
        <w:t>(1) Prices. For the economic offers directed to the requesting organizations, the certification entities must use the presentation documents and the contents of the economic proposal developed by CEG (included in Annex II of the contract). Likewise, when establishing such offers, the certification entities have as reference both the prices and the other conditions established in the CEG Rate Templates (included in Annex IV of the contract).</w:t>
      </w:r>
    </w:p>
    <w:p>
      <w:r>
        <w:t>In the event that the conditions of the requesting organization are not included in the aforementioned templates, the certification entity receiving the request must communicate this to CEG, which must prepare, together with the entity, the economic proposal deemed most appropriate, and once agreed upon, it becomes the reference model to be applied in case another certification entity submits the same offer (folio 399).</w:t>
      </w:r>
    </w:p>
    <w:p>
      <w:r>
        <w:t>According to stipulation III. g) of the contract (folios 402 to 403), the structure of costs and final reference prices for the different levels of the Scheme is detailed in the Rate Templates included in Annex IV and is common to all certification entities. In accordance with the Templates and with what is established in the document related to billing, the certification entities bill the client the total amount of the contracted service, paying CEG its corresponding part, and CEG, in turn, does the same with the external evaluators who have participated and with EFQM.</w:t>
      </w:r>
    </w:p>
    <w:p>
      <w:r>
        <w:t>According to stipulation VI of the contract (folio 410), similar to stipulation III. b) (folio 399), the applicable prices are the same in their minimum reference thresholds for all certification entities. They establish parameters based on the number of employees of the requesting organization according to their management activities for economic valuation by the certification entity.</w:t>
      </w:r>
    </w:p>
    <w:p>
      <w:r>
        <w:t>Stipulation VI also contains a rule similar to that described in the previous paragraph (37) for the preparation and communication of specific economic proposals. Finally, the stipulation indicates that service offers to business groups must be previously agreed upon by all organizations in the scheme, both regarding technical conditions and discounts to be applied (folio 410).</w:t>
      </w:r>
    </w:p>
    <w:p>
      <w:r>
        <w:t xml:space="preserve">Annex IV of the contract (folios 721-730), titled Rate Templates, establishes, for each of the different levels of the Scheme, the "reference thresholds" calculated based on the following elements (folios 280 and 575-576): </w:t>
        <w:br/>
        <w:t xml:space="preserve">a. Minimum evaluation time required by the evaluators to carry out the evaluation according to the quality standards required by EFQM, the level of Recognition requested, and the size of the organization. Annex III of the contract includes the evaluation time tables. These tables establish, for organizations with a maximum of two locations, and for each type of seal, the number of days necessary to carry out the evaluation activity by the certification entities, based on the number of employees of the organization. For multi-site organizations, the preparation of a specific proposal will require collaboration between CEG and the certification entity. </w:t>
        <w:br/>
        <w:t xml:space="preserve">b. Cost per day of the evaluator or evaluators from the certification entity. </w:t>
        <w:br/>
        <w:t>c. Cost per day of the evaluator provided by CEG.</w:t>
      </w:r>
    </w:p>
    <w:p>
      <w:r>
        <w:rPr>
          <w:b/>
        </w:rPr>
        <w:t>[Pages 10–12]</w:t>
      </w:r>
    </w:p>
    <w:p>
      <w:r>
        <w:t xml:space="preserve">d. Certification entity fee.  </w:t>
        <w:br/>
        <w:t xml:space="preserve">e. CEG fee (management of the Recognition Scheme). Fee for the validation of the CEG certificate with that of the EFQM Model (paid by the CEG to the EFQM).  </w:t>
        <w:br/>
        <w:t xml:space="preserve">f. CEG Marketing fee.  </w:t>
        <w:br/>
        <w:t xml:space="preserve">The document titled Preparation of Offers and Contract Management (folios 597-605) aims to provide information in order to "homogeneously prepare standard and customized offers by the staff of any of the certification entities participating in the Recognition Scheme for Excellence, in accordance with common rates established and accepted by said entities" (folio 599). It describes the process of preparing economic offers, highlighting the following elements, in line with the stipulations of the contract described (folios 601-605):  </w:t>
        <w:br/>
        <w:t xml:space="preserve">a. The interested client requests information from a certification entity. Upon receiving the completed request questionnaire from the client, the certification entity prepares the economic proposal applying the rates included in the document "Standard Rate Table." The certification entity will send the economic proposal to the CEG for its approval (folios 601 to 602).  </w:t>
        <w:br/>
        <w:t xml:space="preserve">b. In cases where there is a customized contract, the certification entity selected by the client will prepare the economic proposal jointly with the CEG, based on the "Standard Contract Offer" (folios 616 to 620).  </w:t>
        <w:br/>
        <w:t xml:space="preserve">c. In the event that the client receives the offer, rejects it, and contacts other certification entities, the CEG will communicate and make that proposal available to the other entities. The CEG will never communicate to the other certification entities the already prepared proposal while the client has not finalized the commercial process with the initially selected entity, "in such a way that it guarantees their priority as the first selected provider" (folio 604).  </w:t>
        <w:br/>
        <w:t xml:space="preserve">Thirdly, the document regarding Instructions for Billing (folios 592-596) establishes the following conditions for prices:  </w:t>
        <w:br/>
        <w:t xml:space="preserve">a. "The public sale prices (PVP) applicable to the requesting organizations for all certification entities, and for the CEG in cases where it is subcontracted by said entities, are established by mutual agreement among all parties participating in the Recognition Scheme for Excellence in Management."  </w:t>
        <w:br/>
        <w:t xml:space="preserve">b. "The revision of these rates must be approved by the CEG Excellence in Management and the certification entities."  </w:t>
        <w:br/>
        <w:t xml:space="preserve">Finally, the document titled Recognition Scheme Guide (folios 1460-1469), published by the CEG on its website, includes a summary table of the Scheme with various information. In the section titled Other information, regarding the fees, it states "Unified for all certification entities" (folio 1463).  </w:t>
        <w:br/>
        <w:t xml:space="preserve">(2) Handling of client requests by the CEG. According to stipulation IV. f) of the contract (folio 406), if the CEG receives a request for information or recognition from an organization that is a client of a certification entity, such request must be redirected to that certification entity, unless the client expressly requests otherwise.  </w:t>
        <w:br/>
        <w:t xml:space="preserve">(3) Business plans, communication, and promotion. According to Annex I of the contract (folios 414-415), all certification entities must commit to an annual Business Plan that must establish minimum, mutually agreed objectives, the repeated failure of which could lead to exclusion from the Scheme. The review of those objectives is based on the % of compliance over the total sales value and not on the number of seals.  </w:t>
        <w:br/>
        <w:t xml:space="preserve">Stipulation III. h) of the contract (folios 403-404) states that at the beginning of each year, the CEG makes an estimate, based on the business plans established with the certification entities, of a budget for marketing and communication expenses of the Recognition Scheme. The marketing fees billed to clients are allocated to the financing of the Communication and Promotion Plan of the Scheme, which, once agreed upon among all members of the coalition, is managed by the CEG.  </w:t>
        <w:br/>
        <w:t xml:space="preserve">If the marketing fee billed by the certification entity exceeds a certain amount, the difference is allocated to general Communication and Promotion actions of the Scheme and to specific actions of the entity. Such actions are planned jointly and managed by the CEG, with the other entities being informed accordingly.  </w:t>
        <w:br/>
        <w:t xml:space="preserve">(4) Documentation and Technical Management of the Scheme. According to stipulation IV. b) of the contract (folios 404-405), any changes affecting the documentary system of the Scheme are agreed upon with the certification entities, as far as possible, although the necessary changes to maintain compliance with the EFQM scheme are mandatory.  </w:t>
        <w:br/>
        <w:t xml:space="preserve">(5) Validations. Stipulation IV. h) of the contract (folios 407 to 408) regulates the Technical Management and Validation of External Evaluations (from Awards or Autonomous Recognitions for Excellence) with the CEG brand. The contract provides for the involvement of evaluators from the certification entities in these procedures, establishing among them the following assignment criteria:  </w:t>
        <w:br/>
        <w:t xml:space="preserve">a. First, the criterion of the organization calling for the award, the client of the process, is taken into account.  </w:t>
        <w:br/>
        <w:t xml:space="preserve">b. If there is no criterion from the client, consultations are made with the aspiring organizations to avoid that what one certifier evaluates is then accredited by another. If the client expresses a preference for a certifying entity, it is taken into account.  </w:t>
        <w:br/>
        <w:t xml:space="preserve">c. In the absence of preferences expressed by the organization calling for the award, which is the client, "an assignment will be made as equitably as possible among all organizations in the scheme."  </w:t>
        <w:br/>
        <w:t xml:space="preserve">FOURTH.- Commitments discussed during negotiations aimed at conventional termination.  </w:t>
        <w:br/>
        <w:t xml:space="preserve">(1) Initial proposal of commitments.  </w:t>
        <w:br/>
        <w:t xml:space="preserve">The commitments proposed on April 29 and 30, 2014, involve the modification of the collaboration contract and its Annexes to be signed with the certification entities, and new versions of the remaining documentation related to said contract. The commitments then presented are as follows:  </w:t>
        <w:br/>
        <w:t xml:space="preserve">A. Prices. First, regarding the contract, the modifications proposed are indicated below. Stipulation III. b) (folio 1507): the wording is modified so that the certification entities will use technical proposals and not economic proposals from the CEG; for such proposals, the CEG proposes Recommended Rates, indicating that there is freedom on the part of the certification entities to apply the rates, although the CEG will bill the corresponding fees based on the aforementioned Recommended Rates. Furthermore, the reference to the joint preparation of offers as well as the communication to the other entities of those specific offers that do not conform to the templates is eliminated.  </w:t>
        <w:br/>
        <w:t>Stipulation III. g) (folio 1510): the expression relating to "costs and final reference prices" is replaced by the expression "recommended rate." With the new wording, the obligation for certification entities to apply the final price templates is eliminated.</w:t>
      </w:r>
    </w:p>
    <w:p>
      <w:r>
        <w:rPr>
          <w:b/>
        </w:rPr>
        <w:t>[Pages 13–15]</w:t>
      </w:r>
    </w:p>
    <w:p>
      <w:r>
        <w:t>Stipulation VI (folio 1518): all references to "applicable prices" are removed and replaced with "recommended fees." It is specified that when the general parameters established for calculating the recommended fees cannot be applied, the CEG will resolve the technical proposal with the certification entity, eliminating any reference to the economic proposal and the communication of that new proposal to the other certification entities, compared to the current wording. Additionally, another section of this Stipulation is modified so that service offers to business groups will be bilaterally agreed upon by the certification entity and the CEG, exclusively regarding technical issues, and not regarding the discounts to be applied.</w:t>
      </w:r>
    </w:p>
    <w:p>
      <w:r>
        <w:t>Annex IV: the current Annexes III and IV are merged into a single Annex III (confidential folios 1546 to 1549). References to "prices" are removed and replaced with "times and recommended fees"; the fees for validators are also removed from the templates of Annex III (a table that appears in each template and contains the fee received by the evaluators of each certifier – from the Evaluators Club and the evaluators of the CEG – per day of work and referred to by the CEG as "cost per day of the evaluator or evaluators of the certification entity"). A paragraph similar to that of Stipulation VI is added regarding the preparation of specific proposals for organizations that do not fit the general parameters. Finally, it is added that if the organization has a special agreement with the CEG, special recommended fee templates will apply (see confidential folios 1801-1803) or, if applicable, the minimum discount agreed upon between the CEG and the organization with which the agreement is signed.</w:t>
      </w:r>
    </w:p>
    <w:p>
      <w:r>
        <w:t>Secondly, the replacement of the document Preparation of Offers and Contract Management (folios 597-605) with another called General Operation of the Recognition System (folios 1522-1531) is proposed, from which the rule regarding the preparation and communication of specific economic proposals is removed, the description of the entire process reproduced on page 10 above of this Resolution is modified concerning the document called Preparation of Offers and Contract Management, stating that the CEG fees are recommended and that the CEG will review the offers made by the certification entities to ensure compliance with the technical conditions; it is also added that the certification entity will invoice the client the total amount of the contracted service according to the service offer made, and the CEG will invoice the certification entity the amounts according to the templates of times and recommended fees.</w:t>
      </w:r>
    </w:p>
    <w:p>
      <w:r>
        <w:t>Thirdly, the elimination of the document Instructions for Billing, which is no longer included among the supplementary documents of the contract according to the new Annex II (folios 1544-1545), is proposed.</w:t>
      </w:r>
    </w:p>
    <w:p>
      <w:r>
        <w:t>Finally, the replacement of the Recognition Scheme Guide (folios 1460-1469) with another called General Guide to Excellence Recognition (folios 1488-1494) is proposed, in which the expression "unified fees for all certification entities" is replaced by "there is a reference price and each certification entity will make a personalized offer."</w:t>
      </w:r>
    </w:p>
    <w:p>
      <w:r>
        <w:t>B. Handling of client requests by the CEG. In Stipulation IV. f) (folio 1514), the CEG's authority to redirect requests for offers from organizations to another certification entity is removed.</w:t>
      </w:r>
    </w:p>
    <w:p>
      <w:r>
        <w:t>C. Business plans, communication, and promotion. Annex I (folios 1542 to 1543): regarding the commitment to a business plan, the phrase regarding the review of the agreed minimum objectives being based on the % of compliance over the total sales value and not on the number of seals is removed. In Stipulation III. h) (folio 1511), it is specified that business plans will be established by the CEG with each of the certification entities, and the provision that the Communication and Promotion Plan of the Scheme be agreed upon among all coalition members is removed. The wording regarding Communication and Promotion actions derived from the surplus of the marketing fee is also modified, so that they will be planned bilaterally between the certification entity and the CEG and will be managed exclusively by it, without the need to inform the other certification entities of that planning.</w:t>
      </w:r>
    </w:p>
    <w:p>
      <w:r>
        <w:t>D. Documentation and Technical Management of the Scheme. Stipulation IV. b) (folio 1512): the wording is modified so that in the event of possible changes affecting the documentary system of the Scheme, the CEG will consult (not agree) with the certification entities, reserving the right to make the final decision it deems appropriate.</w:t>
      </w:r>
    </w:p>
    <w:p>
      <w:r>
        <w:t>E. Validations. Stipulation IV. h) (folios 1514-1515): the criteria for assigning validations of External Evaluations with the CEG Brand are removed.</w:t>
      </w:r>
    </w:p>
    <w:p>
      <w:r>
        <w:t>In addition to these commitments, the CEG proposes the following modifications to the contract:</w:t>
      </w:r>
    </w:p>
    <w:p>
      <w:r>
        <w:t>a. Establishment of a business plan between the CEG and the EFQM that will no longer be mutually agreed upon (folio 1505);</w:t>
      </w:r>
    </w:p>
    <w:p>
      <w:r>
        <w:t>b. Removal of the duty of confidentiality by the evaluators (folio 1508);</w:t>
      </w:r>
    </w:p>
    <w:p>
      <w:r>
        <w:t>c. Elimination of the prohibition on evaluators maintaining an employment relationship with 2 or more certification entities (folio 1509);</w:t>
      </w:r>
    </w:p>
    <w:p>
      <w:r>
        <w:t>d. Quality monitoring procedure, which will be carried out directly by the CEG (folio 1509);</w:t>
      </w:r>
    </w:p>
    <w:p>
      <w:r>
        <w:t>e. Reduction of the duration of the non-compete clause, from 3 years to 1 (folio 1519).</w:t>
      </w:r>
    </w:p>
    <w:p>
      <w:r>
        <w:t>(2) Allegations to the commitments. Between May 29 and June 10, 2014, each certification entity submitted allegations to the agreement to initiate actions aimed at conventional termination, expressing their willingness to adhere to the proposal of commitments presented by the CEG (folios 1759-1761, 1762-1764, 1768-1769, 1780-1781, 1782-1783, and 1784). At the time of drafting this report, no allegations have been received from the complainant SAMU, S.A.</w:t>
      </w:r>
    </w:p>
    <w:p>
      <w:r>
        <w:t>(3) Request for clarifications by the DC. On June 4, 2014, the Competition Directorate requested the CEG to present clarifications or, if applicable, modifications of the commitments related to the following points (folios 1772-1774):</w:t>
      </w:r>
    </w:p>
    <w:p>
      <w:r>
        <w:t>a. Regarding procedural issues:</w:t>
      </w:r>
    </w:p>
    <w:p>
      <w:r>
        <w:t>(i) The deadline in which the contract and annex documentation, in its new wording, would be signed between the CEG and each of the certification entities was not specified.</w:t>
      </w:r>
    </w:p>
    <w:p>
      <w:r>
        <w:t>(ii) The manner and deadline in which compliance with the proposed commitments would be communicated to the Competition Directorate was not indicated, so as to facilitate, effectively and feasibly, its monitoring.</w:t>
      </w:r>
    </w:p>
    <w:p>
      <w:r>
        <w:t>(iii) Finally, the proposal of commitments did not contain any provision regarding adherence to them by the certification entities, nor the consequences derived from the eventual decision of an entity not to sign the contract in its new wording with the CEG.</w:t>
      </w:r>
    </w:p>
    <w:p>
      <w:r>
        <w:t>b. Regarding content, the Competition Directorate considered:</w:t>
      </w:r>
    </w:p>
    <w:p>
      <w:r>
        <w:t>(i) In the new Annex I of the contract, and regarding the annual business plan, the establishment of "minimum objectives, mutually agreed upon" was maintained, when the new proposed wording of Stipulation III. h) expressly stated that business plans would be established with each entity.</w:t>
      </w:r>
    </w:p>
    <w:p>
      <w:r>
        <w:t>(ii) In the new Annex III of the contract, an identical recommended amount for all certification entities corresponding to the concept of "Certification Entities Fee" was maintained. These fees correspond, as the CEG itself has pointed out, to the administrative and commercial expenses of the entities.</w:t>
      </w:r>
    </w:p>
    <w:p>
      <w:r>
        <w:rPr>
          <w:b/>
        </w:rPr>
        <w:t>[Pages 16–18]</w:t>
      </w:r>
    </w:p>
    <w:p>
      <w:r>
        <w:t>(4) Clarifications and modifications from the CEG. On June 17, 2014, a document from the CEG responding to the request from the DC and providing certain documentation was received (folios 1785-1790 and 1804-1806 and confidential folios 1791-1803). The CEG responded as follows (folios 1786-1787):</w:t>
      </w:r>
    </w:p>
    <w:p>
      <w:r>
        <w:t>a. The CEG and the certification entities have initiated the procedures for signing the new contracts in accordance with the proposed wording within the framework of conventional termination, indicating that these will be signed within three weeks from June 17, 2014. At that time, the CEG will communicate and provide the Competition Directorate with a copy of the new contracts signed between the certification entities and the CEG immediately after the signing of each of them.</w:t>
      </w:r>
    </w:p>
    <w:p>
      <w:r>
        <w:t>b. In the event that any of the certification entities that have valid contracts with the CEG decides not to sign the new contract, as part of the commitments that may be accepted by the CNMC Council, that certification entity will cease to be an accredited entity by the CEG for the evaluation and certification of the Excellence Seals.</w:t>
      </w:r>
    </w:p>
    <w:p>
      <w:r>
        <w:t>c. The CEG has modified the wording of Annex I, clarifying that in the first proposed wording there is no reference to a joint and simultaneous agreement of the CEG with all certification entities, but rather to bilateral agreements on minimum objectives of the CEG with each certification entity. The CEG has modified the wording of the affected part of Annex I, with the text now reading as follows: "All organizations participating in the Recognition Scheme must commit to a Business Plan in which minimum objectives, agreed bilaterally between the CEG and each certification entity, are established, the repeated compliance of which may be subject to exclusion from the Scheme." The proposed Annex I includes this modification (folios 1788 to 1790).</w:t>
      </w:r>
    </w:p>
    <w:p>
      <w:r>
        <w:t>d. The CEG has removed the recommended amounts of "Certification Entity Fees" contained in Annex III as well as in the documents "Doc11" and "Doc12" (Templates for Recommended Times and General Fees and Templates for Recommended Times and Fees for Special Agreements, respectively), so that the amounts can be freely set by each certification entity. In this regard, the CEG provides new versions of those documents and of Annex II, which has also been modified (confidential folios 1791-1803 and folios 1804-1806).</w:t>
      </w:r>
    </w:p>
    <w:p>
      <w:r>
        <w:t>LEGAL GROUNDS</w:t>
      </w:r>
    </w:p>
    <w:p>
      <w:r>
        <w:t>FIRST.- In its Article 52, Law 17/2007, of July 3, on the Defense of Competition, regulates conventional termination as a form of resolution of the sanctioning procedure regarding prohibited conduct. The resolution of a sanctioning file through conventional termination constitutes a way to conclude a sanctioning procedure initiated for a possible substantive infringement of competition defense legislation, that is, for infringement of articles 1, 2 and/or 3 of that Law.</w:t>
      </w:r>
    </w:p>
    <w:p>
      <w:r>
        <w:t>Likewise, Section 24 of the Communication on Conventional Termination of Sanctioning Files from the defunct CNC establishes that the competition authority assesses whether the proposals meet the requirements to effectively resolve, clearly and unequivocally, the identified competition problems; that the commitments can be applied quickly and effectively; and that the monitoring of their compliance is viable and effective.</w:t>
      </w:r>
    </w:p>
    <w:p>
      <w:r>
        <w:t>The purpose of conventional termination is twofold. On one hand, it seeks to achieve a rapid restoration of the competitive conditions that have been jeopardized by the detected restrictive conduct, through commitments that resolve the competition problems or eliminate unjustified restrictions, safeguarding consumer welfare and the public interest. Conventional termination also allows for compliance with the principle of administrative efficiency.</w:t>
      </w:r>
    </w:p>
    <w:p>
      <w:r>
        <w:t>SECOND.- In its Proposal Report for Conventional Termination submitted to this COMPETITION CHAMBER, the DC considers that the wording in force at the time of the initiation of the file, both of the contracts signed between the CEG and the certification entities and of the complementary documents, could pose competition problems by facilitating, within the framework of the existing vertical relationship between the CEG and each of the certification entities, a homogenization of the service provided by the different entities in relation to the CEG Scheme.</w:t>
      </w:r>
    </w:p>
    <w:p>
      <w:r>
        <w:t>However, the Competition Directorate believes that the identified competition problems are resolved clearly and unequivocally with the commitments presented by the CEG on April 29 and 30, 2014, together with the modifications presented on June 17, 2014.</w:t>
      </w:r>
    </w:p>
    <w:p>
      <w:r>
        <w:t>Firstly, the contracts no longer contemplate a price fixing for the evaluation service for obtaining the CEG Seal and instead reflect a final recommended price for the service, in which the certification entities can freely set their part of the service provided.</w:t>
      </w:r>
    </w:p>
    <w:p>
      <w:r>
        <w:t>Additionally, the elimination of the recommended daily costs per evaluator or evaluators of the certification entities and of the recommended fees of the certification entities allows them to compete among themselves through these concepts, being subject to the supervision of the CEG only regarding the technical aspects of their offers (since the CEG is the owner of its Scheme and representative and responsible before the EFQM for its Model of Excellence) but not regarding the economic proposals.</w:t>
      </w:r>
    </w:p>
    <w:p>
      <w:r>
        <w:t>Moreover, the modification or elimination of stipulations related to the communication of economic offers, the preparation of Communication and Marketing Plans, the assignment of requests by the CEG, etc., reinforces the autonomy of the certification entities and their competitive behavior in preparing offers for potential clients.</w:t>
      </w:r>
    </w:p>
    <w:p>
      <w:r>
        <w:t>In short, the DC believes that the new contracts conform to a vertical relationship scheme in which the certification entities will act independently of the CEG, also competing among themselves, but respecting, in any case, minimum technical standards set by the CEG, which is the owner of the Seal.</w:t>
      </w:r>
    </w:p>
    <w:p>
      <w:r>
        <w:t>Finally, and of utmost importance, the aforementioned commitments have been able to be implemented quickly and effectively. Thus, on July 9 and 28, 2014, the CEG submitted to the DC the respective contracts as well as their annexes signed on June 18, 2014, with SGS INTERNATIONAL CERTIFICATION SERVICES IBÉRICA, S.A., TÜV RHEINLAND IBÉRICA INSPECTION, CERTIFICATION &amp; TESTING, S.A., AENOR, BUREAU VERITAS IBERIA, S.L., LGAI TECHNOLOGICAL CENTER, S.A. and LLOYD’S REGISTER QUALITY ASSURANCE ESPAÑA, S.L. (folios 1809-1833, 1840-1862, 1869-1893, 1900-1922, 1929-1952, 1959-1977 and confidential folios 1834-1839, 1863-1868, 1894-1899, 1923-1928 and 1953-1958). The wording of the contracts and their annexes conforms to the proposed commitments.</w:t>
      </w:r>
    </w:p>
    <w:p>
      <w:r>
        <w:t>THIRD.- Based on the above in the FIRST and SECOND Legal Grounds, the DC proposes to this COMPETITION CHAMBER of the CNMC the conventional termination in the referenced File, understanding that the commitments accepted by the parties meet all the requirements for it; and to the extent that the contracts have already been signed, it proposes the closure of the file without the need for the compliance with those commitments to be subject to monitoring.</w:t>
      </w:r>
    </w:p>
    <w:p>
      <w:r>
        <w:t>By virtue of all the above, in view of the cited legal provisions and others of general application, this COMPETITION CHAMBER of the National Commission of Markets and Competition in the Plenary Session of February 26, 2015,</w:t>
      </w:r>
    </w:p>
    <w:p>
      <w:r>
        <w:rPr>
          <w:b/>
        </w:rPr>
        <w:t>[Pages 19–19]</w:t>
      </w:r>
    </w:p>
    <w:p>
      <w:r>
        <w:t xml:space="preserve">HAS RESOLVED  </w:t>
        <w:br/>
        <w:t xml:space="preserve">FIRST.- To accept the Proposal for conventional termination in the referenced File submitted to this CHAMBER by the Competition Directorate of the CNMC.  </w:t>
        <w:br/>
        <w:t xml:space="preserve">SECOND.- To order the closure of the aforementioned File, without the need to monitor compliance with the agreed commitments, since these have already been implemented at the time of issuing this Resolution.  </w:t>
        <w:br/>
        <w:t xml:space="preserve">THIRD.- The following entities are bound by this Resolution: CEG, BUREAU VERITAS IBERIA, S.L., LGAI TECHNOLOGICAL CENTER, S.A.; SGS INTERNATIONAL CERTIFICATION SERVICES IBÉRICA, S.A; the SPANISH ASSOCIATION FOR STANDARDIZATION AND CERTIFICATION; LLOYD’S REGISTER QUALITY ASSURANCE ESPAÑA, S.L. and TÜV RHEINLAND IBÉRICA INSPECTION, CERTIFICATION &amp; TESTING, S.A.  </w:t>
        <w:br/>
        <w:t>This Resolution shall be communicated to the Competition Directorate of the CNMC, and shall be duly notified to all interested parties, informing them that there is no appeal against it in this prior administrative route, and that they may do so before the contentious-administrative jurisdiction, the National Court, within a period of TWO MONTHS counted from the day following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