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https://www.cnmc.es/expedientes/s062618</w:t>
      </w:r>
    </w:p>
    <w:p>
      <w:r>
        <w:t>Pages translated : 96</w:t>
      </w:r>
    </w:p>
    <w:p/>
    <w:p>
      <w:r>
        <w:rPr>
          <w:b/>
        </w:rPr>
        <w:t>[Pages 1–3]</w:t>
      </w:r>
    </w:p>
    <w:p>
      <w:r>
        <w:t xml:space="preserve">RESOLUTION  </w:t>
        <w:br/>
        <w:t xml:space="preserve">Exp. S/DC/0626/18 WEATHER RADARS  </w:t>
        <w:br/>
        <w:t xml:space="preserve">COUNCIL. COMPETITION CHAMBER  </w:t>
        <w:br/>
        <w:t xml:space="preserve">President  </w:t>
        <w:br/>
        <w:t xml:space="preserve">Mr. José María Marín Quemada  </w:t>
        <w:br/>
        <w:t xml:space="preserve">Counselors  </w:t>
        <w:br/>
        <w:t xml:space="preserve">Ms. María Ortiz Aguilar  </w:t>
        <w:br/>
        <w:t xml:space="preserve">Mr. Josep Maria Guinart Solà  </w:t>
        <w:br/>
        <w:t xml:space="preserve">Ms. Clotilde de la Higuera González  </w:t>
        <w:br/>
        <w:t xml:space="preserve">Ms. María Pilar Canedo Arrillaga  </w:t>
        <w:br/>
        <w:t xml:space="preserve">Secretary of the Council  </w:t>
        <w:br/>
        <w:t xml:space="preserve">Mr. Joaquim Hortalà i Vallvé  </w:t>
        <w:br/>
        <w:t xml:space="preserve">In Madrid, on February 13, 2020  </w:t>
        <w:br/>
        <w:t xml:space="preserve">The Competition Chamber of the National Commission of Markets and Competition has issued this Resolution in the case S/DC/0626/18 WEATHER RADARS, initiated by the Directorate of Competition against ADASA SISTEMAS, S.A.U. (ADASA), SCHNEIDER ELECTRIC ESPAÑA, S.A. and CIRRUS SPAIN, S.L. -currently named DTN SERVICES AND SYSTEMS SPAIN, S.L.-, for alleged infringement of Article 1 of Law 15/2007, of July 3, on the Defense of Competition (LDC) and Article 101 of the Treaty on the Functioning of the European Union (TFEU).  </w:t>
        <w:br/>
        <w:t xml:space="preserve">S/DC/0626/18 National Commission of Markets and Competition Page 1 of 96  </w:t>
        <w:br/>
        <w:t xml:space="preserve">C/ Barquillo, 5 – 28004 Madrid - C/ Bolivia, 56 – 08018 Barcelona  </w:t>
        <w:br/>
        <w:t>www.cnmc.es</w:t>
      </w:r>
    </w:p>
    <w:p>
      <w:r>
        <w:t xml:space="preserve">INDEX  </w:t>
        <w:br/>
        <w:t xml:space="preserve">I. BACKGROUND .......................................................................................... 4  </w:t>
        <w:br/>
        <w:t xml:space="preserve">II. THE PARTIES ................................................................................................ 7  </w:t>
        <w:br/>
        <w:t xml:space="preserve">III. ANALYSIS OF THE AFFECTED MARKET ...................................................... 9  </w:t>
        <w:br/>
        <w:t xml:space="preserve">1. Product market ............................................................................................ 9  </w:t>
        <w:br/>
        <w:t xml:space="preserve">2. Geographic market ........................................................................................13  </w:t>
        <w:br/>
        <w:t xml:space="preserve">3. Structure of the markets for maintenance of weather radars and related equipment and supply of spare parts. .............................................15  </w:t>
        <w:br/>
        <w:t xml:space="preserve">IV. ESTABLISHED FACTS .......................................................................... 16  </w:t>
        <w:br/>
        <w:t xml:space="preserve">1. Regarding the tender called by AEMET in 2014 for the maintenance services of the Radar Observation system (tender 98003929) ..............................................................................................................16  </w:t>
        <w:br/>
        <w:t xml:space="preserve">2. Regarding the tender called by AEMET in 2017 for the supply of spare parts for weather radars and related equipment (tender 98004753) .............................................................................................21  </w:t>
        <w:br/>
        <w:t xml:space="preserve">V. LEGAL GROUNDS .................................................................................... 22  </w:t>
        <w:br/>
        <w:t xml:space="preserve">FIRST. COMPETENCE TO RESOLVE ....................................................... 22  </w:t>
        <w:br/>
        <w:t xml:space="preserve">SECOND. OBJECT OF THE RESOLUTION AND APPLICABLE GENERAL REGULATIONS ......................................................................................................... 22  </w:t>
        <w:br/>
        <w:t xml:space="preserve">THIRD. PROPOSAL FOR RESOLUTION FROM THE INSTRUCTING BODY ... 23  </w:t>
        <w:br/>
        <w:t xml:space="preserve">FOURTH. ASSESSMENT OF THE COMPETITION CHAMBER ............................. 24  </w:t>
        <w:br/>
        <w:t xml:space="preserve">4.1. On the existence of an anticompetitive agreement among the companies with the aim of dividing several tenders from AEMET .....................................24  </w:t>
        <w:br/>
        <w:t xml:space="preserve">4.2. On the companies' ability to compete for the 2014 contract .........31  </w:t>
        <w:br/>
        <w:t xml:space="preserve">A) On the minimum solvency required for the 2014 contract ............................... 31  </w:t>
        <w:br/>
        <w:t xml:space="preserve">B) On the capacity of TELVENT ..................................................................................... 34  </w:t>
        <w:br/>
        <w:t xml:space="preserve">C) On the capacity of ADASA ......................................................................................... 38  </w:t>
        <w:br/>
        <w:t xml:space="preserve">D) Conclusion ......................................................................................................................... 40  </w:t>
        <w:br/>
        <w:t xml:space="preserve">4.3. On the qualification of the conduct ...............................................................41  </w:t>
        <w:br/>
        <w:t xml:space="preserve">4.4. On the unique and continuous nature of the infringement ......................................44  </w:t>
        <w:br/>
        <w:t xml:space="preserve">4.5. Analysis of culpability .......................................................................................46  </w:t>
        <w:br/>
        <w:t xml:space="preserve">4.6. Authors and responsibility ....................................................................................47  </w:t>
        <w:br/>
        <w:t xml:space="preserve">A) ADASA ..................................................................................................................................... 47  </w:t>
        <w:br/>
        <w:t xml:space="preserve">S/DC/0626/18 National Commission of Markets and Competition Page 2 of 96  </w:t>
        <w:br/>
        <w:t xml:space="preserve">C/ Barquillo, 5 – 28004 Madrid - C/ Bolivia, 56 – 08018 Barcelona  </w:t>
        <w:br/>
        <w:t>www.cnmc.es</w:t>
      </w:r>
    </w:p>
    <w:p>
      <w:r>
        <w:t xml:space="preserve">B) SCHNEIDER ............................................................................................................................. 47  </w:t>
        <w:br/>
        <w:t xml:space="preserve">C) CIRRUS (currently DTN SERVICES AND SYSTEMS SPAIN, S.L) ................................. 50  </w:t>
        <w:br/>
        <w:t xml:space="preserve">FIFTH. OTHER ALLEGATIONS TO THE PROPOSAL FOR RESOLUTION AND ISSUES RAISED IN THE RESOLUTION PHASE ............................. 51  </w:t>
        <w:br/>
        <w:t xml:space="preserve">5.1. Allegations regarding defenselessness ...........................................................................51  </w:t>
        <w:br/>
        <w:t xml:space="preserve">A) On the analysis of effects in the PR .............................................................................. 51  </w:t>
        <w:br/>
        <w:t xml:space="preserve">B) On the denial of extension of the deadline ................................................................. 53  </w:t>
        <w:br/>
        <w:t xml:space="preserve">5.2. On the application of Articles 1.3 of the LDC and 101.3 of the TFEU ................54  </w:t>
        <w:br/>
        <w:t xml:space="preserve">5.3. On the definition of the affected market ..........................................................59  </w:t>
        <w:br/>
        <w:t xml:space="preserve">5.4. On the effect on trade within the European Union .................61  </w:t>
        <w:br/>
        <w:t xml:space="preserve">5.5. On the inspections carried out by the DC ...................................................62  </w:t>
        <w:br/>
        <w:t xml:space="preserve">5.6. Allegations regarding the proposed sanction ......................................67  </w:t>
        <w:br/>
        <w:t xml:space="preserve">5.7. Confidentiality ...................................................................................................70  </w:t>
        <w:br/>
        <w:t xml:space="preserve">SIXTH. PROHIBITION OF CONTRACTING ....................................................... 71  </w:t>
        <w:br/>
        <w:t xml:space="preserve">SEVENTH. DETERMINATION OF THE SANCTION ............................................... 72  </w:t>
        <w:br/>
        <w:t xml:space="preserve">7.1 Criteria set forth by the Supreme Court ................................................................ 72  </w:t>
        <w:br/>
        <w:t xml:space="preserve">7.2 Criteria for determining the sanction: general assessment of the conduct ... 73  </w:t>
        <w:br/>
        <w:t xml:space="preserve">7.3 Criteria for the individual assessment of the conduct .................................................. 74  </w:t>
        <w:br/>
        <w:t xml:space="preserve">7.4 Total sanction type that would correspond to impose and final verification of proportionality ............................................................................................................... 75  </w:t>
        <w:br/>
        <w:t xml:space="preserve">RESOLVES ………………………………………………………………………………77  </w:t>
        <w:br/>
        <w:t xml:space="preserve">PARTICULAR VOTE FORMULATED BY COUNSELOR MS. MARÍA PILAR CANEDO 2 ………………………………………………………………………………78  </w:t>
        <w:br/>
        <w:t xml:space="preserve">1. Objective and content of the Particular Vote ...............................................................79  </w:t>
        <w:br/>
        <w:t xml:space="preserve">2. Elements of the resolution that justify the Vote ................................................80  </w:t>
        <w:br/>
        <w:t xml:space="preserve">A. The precedent of the ACCO ...................................................................................................... 81  </w:t>
        <w:br/>
        <w:t xml:space="preserve">B. The fines imposed in the CNMC resolution ................................................................. 83  </w:t>
        <w:br/>
        <w:t xml:space="preserve">C. On the prohibition of contracting.......................................................................................... 90  </w:t>
        <w:br/>
        <w:t xml:space="preserve">S/DC/0626/18 National Commission of Markets and Competition Page 3 of 96  </w:t>
        <w:br/>
        <w:t xml:space="preserve">C/ Barquillo, 5 – 28004 Madrid - C/ Bolivia, 56 – 08018 Barcelona  </w:t>
        <w:br/>
        <w:t>www.cnmc.es</w:t>
      </w:r>
    </w:p>
    <w:p>
      <w:r>
        <w:rPr>
          <w:b/>
        </w:rPr>
        <w:t>[Pages 4–6]</w:t>
      </w:r>
    </w:p>
    <w:p>
      <w:r>
        <w:t xml:space="preserve">I. BACKGROUND  </w:t>
        <w:br/>
        <w:t xml:space="preserve">1. On January 15, 2018, a document was submitted to the National Commission on Markets and Competition (CNMC) from the Directorate General of the Competition Authority of Catalonia (Autoritat Catalana de la Competència – ACCO) informing about the filing of a complaint by the Meteorological Service of Catalonia against two companies for practices that could constitute an infringement of Law 15/2007, of July 3, on the Defense of Competition (LDC), consisting of submitting similar economic offers for the contracting of radars and meteorological stations in the Catalan territory, with the case ultimately assigned to the ACCO.  </w:t>
        <w:br/>
        <w:t xml:space="preserve">2. Notwithstanding the above, from the analysis carried out by the Directorate of Competition (DC) taking as reference the facts submitted by the ACCO, elements were subsequently detected ex officio that could potentially indicate restrictive competition behaviors among some companies dedicated to the installation and maintenance services of meteorological radars and related equipment and the supply of spare parts in Spain.  </w:t>
        <w:br/>
        <w:t xml:space="preserve">3. On March 26, 2018, the DC agreed, in accordance with the provisions of Article 49.2 of the LDC, to initiate a reserved information period with file number S/0626/18, in order to determine the concurrence of circumstances that justified the initiation of a sanctioning file (pages 1 to 2).  </w:t>
        <w:br/>
        <w:t xml:space="preserve">4. Within the framework of the aforementioned reserved information, the DC conducted inspections at the premises of the companies SCHNEIDER ELECTRIC, S.A., SCHNEIDER ELECTRIC ESPAÑA, S.A., SCHNEIDER ELECTRIC IT SPAIN, S.L. (hereinafter collectively referred to as SCHNEIDER) and the company CIRRUS SPAIN, S.L. (CIRRUS) –currently named DTN SERVICES AND SYSTEMS SPAIN, S.L. (DTN)–, as successors to the activities of the company TELVENT (pages 604 to 681).  </w:t>
        <w:br/>
        <w:t xml:space="preserve">5. On May 11, 2018, a document was submitted to the CNMC by the companies SCHNEIDER providing a series of information requested by the DC regarding the tenders related to the subject of the investigation in which SCHNEIDER ELECTRIC IT SPAIN, S.L. had participated during the period 2010-2018 (non-confidential pages 690 and 691 and confidential pages 692 to 694).  </w:t>
        <w:br/>
        <w:t xml:space="preserve">6. In light of all the above, on May 16, 2018, the DC adopted an additional investigation order (pages 617 to 627), ordering the companies SCHNEIDER to submit to an inspection at the CNMC headquarters, in order to inspect, review, and filter the electronic information provided by the companies subsequently and as a result of the first inspection. The inspection was carried out on May 16, 2018, with the representatives of the companies SCHNEIDER present at the CNMC headquarters (pages 642 to 650).  </w:t>
        <w:br/>
        <w:t xml:space="preserve">7. From the data provided by AEMET and the documentation collected during the inspections, it was considered that there were reasonable indications of the commission, by ADASA, as well as by SCHNEIDER and CIRRUS (currently DTN), as successors to the activities of the company TELVENT, of an infringement of Article 1 of the LDC, consisting of agreements or concerted practices among competing companies for price fixing and market sharing.  </w:t>
        <w:br/>
        <w:t xml:space="preserve">8. In view of the above and in accordance with the provisions of section 1 of Article 49 of the LDC, the DC agreed, on July 6, 2018, to initiate a sanctioning file against ADASA, SCHNEIDER, and CIRRUS (currently DTN) for prohibited conduct under Article 1 of the LDC. The initiated proceedings were registered under file number S/0626/18 and the initiation agreement was notified to the three parties on July 9, 2018 (pages 792 to 794 and 795 to 814). On June 24, 2019, the DC agreed to expand the initiation under Article 101 TFEU (pages 2071 to 2079).  </w:t>
        <w:br/>
        <w:t xml:space="preserve">9. The DC made the following requests for information:  </w:t>
        <w:br/>
        <w:t xml:space="preserve">- To AEMET, on July 23, 2018 (pages 916 to 921), requesting information and data regarding a tender called by it in 2017 (specifically tender no. 98004753) and other contracts tendered from 2014 to the present whose object was the same as that of the aforementioned tender. The response to this request for information was received by the CNMC on August 6, 2018 (pages 991 to 1148 –confidential pages 994 to 1148–).  </w:t>
        <w:br/>
        <w:t xml:space="preserve">- To SCHNEIDER, on July 24, 2018, requesting information regarding certain documents included in the file. The response to this request for information was received by the CNMC on July 27, 2018 (pages 977 to 990 –confidential pages 983 to 990– and non-confidential pages 1217 to 1229).  </w:t>
        <w:br/>
        <w:t xml:space="preserve">- To the companies involved (ADASA, SCHNEIDER, and CIRRUS –currently DTN–), to third parties (AFC INGENIEROS, ATOS, MCV, and OFITECO), and to AEMET (pages 1694 to 1695, 1709 to 1710, 1724 to 1725), on February 1, 2019. The responses to these requests for information are found in the confidential pages 2001 to 2019 and non-confidential pages 2020 to 2038, 1949 to 1953, 1964 to 1973, 1870 to 1875, 2042 to 2052, 1799 to 1802, 1822 to 1825, and 1785 to 1786.  </w:t>
        <w:br/>
        <w:t xml:space="preserve">10. On July 1, 2019, the DC adopted the Specification of Facts (PCH), which was duly notified to the parties for them to present any allegations and evidence they deemed appropriate (pages 2,088 to 2,139). Allegations were presented by SCHNEIDER (pages 2,224 to 2,361), ADASA (pages 2,362 to 2,472), and DTN SERVICES (pages 2,473 to 2,676).  </w:t>
        <w:br/>
        <w:t xml:space="preserve">11. On September 16, 2019, the instruction phase of the procedure was closed (page 2,692). The proposal for resolution (PR) of the procedure, along with the allegations of the parties, was submitted to the Competition Chamber on October 17, 2019 (page 3,059).  </w:t>
        <w:br/>
        <w:t xml:space="preserve">12. On October 29, 2019, the Competition Chamber of the CNMC Council agreed to send information to the European Commission as provided for in Article 11.4 of Council Regulation (EC) No. 1/2003 of December 16, 2002, regarding the application of competition rules provided for in Articles 101 and 102 of the TFEU. It was also agreed to suspend the deadline for resolving the sanctioning procedure until the European Commission responded to the information sent or the term referred to in Article 11.4 of Regulation (EC) No. 1/2003 elapsed. The suspension period was lifted by agreement dated December 3, 2019 (page 3,177).  </w:t>
        <w:br/>
        <w:t>13. On December 29, 2019, the Catalan Court of Defense of Competition adopted a resolution in file 94/2018, Meteorological Tenders of Catalonia, in which it declares the existence of an infringement of Article 1 of the LDC, for which MCV, S.A. and ADASA SISTEMAS, SAU are responsible, consisting of agreements or concerted practices for market sharing within the framework of several public tenders related to the installation, maintenance, and supply of radars called by the Meteorological Service of Catalonia.</w:t>
      </w:r>
    </w:p>
    <w:p>
      <w:r>
        <w:rPr>
          <w:b/>
        </w:rPr>
        <w:t>[Pages 7–9]</w:t>
      </w:r>
    </w:p>
    <w:p>
      <w:r>
        <w:t xml:space="preserve">14. On January 16, 2020, the Competition Chamber of the CNMC agreed to request from the companies the turnover corresponding to the year 2019. The maximum period for resolving the procedure was suspended in application of Article 37.1 a) of the LDC (pages 3188 to 3190). The suspension period was lifted by agreement dated January 31, 2020 (page 3257).  </w:t>
        <w:br/>
        <w:t xml:space="preserve">15. This resolution has been approved by the Council in the Competition Chamber in its session of February 13, 2020.  </w:t>
        <w:br/>
        <w:t xml:space="preserve">II. THE PARTIES  </w:t>
        <w:br/>
        <w:t xml:space="preserve">The interested parties in the procedure are the companies involved listed below:  </w:t>
        <w:br/>
        <w:t xml:space="preserve">1. ADASA SISTEMAS, S.A.U. (ADASA)  </w:t>
        <w:br/>
        <w:t xml:space="preserve">ADASA is an engineering company with a presence in Latin America, Europe, Australia, Asia, and North Africa. ADASA specializes in technological solutions applied to the water cycle, environment, and meteorology1. Its activities focus on automation and control, information and communication systems, as well as hydrological control networks, water quality, air quality, and meteorological parameters.  </w:t>
        <w:br/>
        <w:t xml:space="preserve">ADASA is wholly owned by COMSA CORPORACIÓN DE INFRAESTRUCTURAS, S.L. (COMSA CORPORACIÓN), the parent company of the COMSA group.  </w:t>
        <w:br/>
        <w:t xml:space="preserve">ADASA has participated in national tenders framed within the scope of installation and maintenance services for meteorological radars and related equipment and supply of spare parts in Spain.  </w:t>
        <w:br/>
        <w:t xml:space="preserve">1 http://www.adasasistemas.com/esp/home.php  </w:t>
        <w:br/>
        <w:t xml:space="preserve">S/DC/0626/18 Comisión Nacional de los Mercados y la Competencia Page 7 of 96  </w:t>
        <w:br/>
        <w:t xml:space="preserve">C/ Barquillo, 5 – 28004 Madrid - C/ Bolivia, 56 – 08018 Barcelona  </w:t>
        <w:br/>
        <w:t>www.cnmc.es</w:t>
      </w:r>
    </w:p>
    <w:p>
      <w:r>
        <w:t xml:space="preserve">2. SCHNEIDER ELECTRIC ESPAÑA, S.A. (SCHNEIDER)  </w:t>
        <w:br/>
        <w:t xml:space="preserve">SCHNEIDER is a company dedicated to the development of energy management and automation technologies2. SCHNEIDER is part of the French group SCHNEIDER ELECTRIC, S.A.3 (hereinafter, SCHNEIDER GROUP), which operates globally in more than 100 countries, with four main business units: industry, information technology, construction, and energy.  </w:t>
        <w:br/>
        <w:t xml:space="preserve">The SCHNEIDER GROUP owned TELVENT GIT, S.A. since 2011 (hereinafter, TELVENT GROUP)4, a Spanish group specialized in software and information technology solutions for the management of electrical, oil and gas, water, and transportation infrastructures, which in turn included the now-defunct TELVENT ENERGÍA, S.A. (TELVENT), a company dedicated to the installation and maintenance activities of meteorological radars and related equipment and supply of spare parts.  </w:t>
        <w:br/>
        <w:t xml:space="preserve">TELVENT merged with SCHNEIDER in 2016. Subsequently, in February 2017, the part of TELVENT's business related to radars and meteorological stations was integrated into a vehicle company called CIRRUS SPAIN, S.L., which was sold in May of that same year to TBG HOLDINGS DTN B.V., a subsidiary of the Swiss entity TBG AG (pages 635 and 1950-1951).  </w:t>
        <w:br/>
        <w:t xml:space="preserve">SCHNEIDER, either directly or through TELVENT or CIRRUS, has participated in national tenders framed within the scope of installation and maintenance services for meteorological radars and related equipment and supply of spare parts in Spain.  </w:t>
        <w:br/>
        <w:t xml:space="preserve">According to the information provided by the representatives of the SCHNEIDER COMPANIES during the course of the home inspection carried out by the Competition Directorate on May 9, 2018 (see Initial Inspection Report, pages 628 to 641), the SCHNEIDER GROUP has no relation to activities concerning radars and meteorological stations since the sale of CIRRUS to TBG HOLDINGS DTN B.V.  </w:t>
        <w:br/>
        <w:t xml:space="preserve">2 https://www.schneider-electric.es/es/  </w:t>
        <w:br/>
        <w:t xml:space="preserve">3 https://www.schneider-electric.com/ww/en/  </w:t>
        <w:br/>
        <w:t xml:space="preserve">4 COMP/M.6298 SCHNEIDER ELECTRIC/TELVENT.  </w:t>
        <w:br/>
        <w:t xml:space="preserve">S/DC/0626/18 Comisión Nacional de los Mercados y la Competencia Page 8 of 96  </w:t>
        <w:br/>
        <w:t xml:space="preserve">C/ Barquillo, 5 – 28004 Madrid - C/ Bolivia, 56 – 08018 Barcelona  </w:t>
        <w:br/>
        <w:t>www.cnmc.es</w:t>
      </w:r>
    </w:p>
    <w:p>
      <w:r>
        <w:t xml:space="preserve">3. CIRRUS SPAIN, S.L. (CIRRUS)  </w:t>
        <w:br/>
        <w:t xml:space="preserve">CIRRUS was established in February 2017, following the dissolution of TELVENT, and was part of SCHNEIDER until May 2017, when it was acquired by TBG HOLDINGS DTN B.V. (sole partner)5, a subsidiary of the Swiss TBG AG (pages 635 and 1950-1951).  </w:t>
        <w:br/>
        <w:t xml:space="preserve">According to the information provided by the representatives of the SCHNEIDER companies during the course of the home inspection carried out by the Competition Directorate on May 9, 2018 (see Initial Inspection Report, pages 628 to 641), CIRRUS was created as a vehicle company to integrate the business related to radars and meteorological stations that were carried out by the companies of the TELVENT GROUP6.  </w:t>
        <w:br/>
        <w:t xml:space="preserve">CIRRUS has participated in national tenders framed within the scope of installation and maintenance services for meteorological radars and related equipment and supply of spare parts in Spain.  </w:t>
        <w:br/>
        <w:t xml:space="preserve">In January 2019, it changed its corporate name to DTN SERVICES AND SYSTEMS SPAIN, S.L (hereinafter, DTN) (page 1964). Therefore, throughout this resolution, the name CIRRUS will be used to refer to this entity prior to January 2019 and the name DTN for later dates.  </w:t>
        <w:br/>
        <w:t xml:space="preserve">III. ANALYSIS OF THE AFFECTED MARKET  </w:t>
        <w:br/>
        <w:t xml:space="preserve">1. Product Market  </w:t>
        <w:br/>
        <w:t xml:space="preserve">The conduct analyzed in this file has been carried out within the framework of the tenders called by AEMET related to the maintenance services of meteorological radars and related equipment and the supply of spare parts.  </w:t>
        <w:br/>
        <w:t xml:space="preserve">5 https://www.boe.es/borme/dias/2017/06/29/pdfs/BORME-A-2017-122-28.pdf.  </w:t>
        <w:br/>
        <w:t xml:space="preserve">6 In 2011 TELVENT became part of the SCHNEIDER Group, in 2014 the entities TELVENT ENVIRONMENT and TELVENT ENERGY merged legally, and subsequently, in 2016, as indicated, TELVENT merged legally with SCHNEIDER. Finally, in February 2017, the part of TELVENT's business related to radars and meteorological stations was integrated into the vehicle company, called CIRRUS (page 622).  </w:t>
        <w:br/>
        <w:t xml:space="preserve">S/DC/0626/18 Comisión Nacional de los Mercados y la Competencia Page 9 of 96  </w:t>
        <w:br/>
        <w:t xml:space="preserve">C/ Barquillo, 5 – 28004 Madrid - C/ Bolivia, 56 – 08018 Barcelona  </w:t>
        <w:br/>
        <w:t>www.cnmc.es</w:t>
      </w:r>
    </w:p>
    <w:p>
      <w:r>
        <w:rPr>
          <w:b/>
        </w:rPr>
        <w:t>[Pages 10–12]</w:t>
      </w:r>
    </w:p>
    <w:p>
      <w:r>
        <w:t>AEMET has a wide observation network that includes both conventional observatories and remote sensing systems. It also maintains constant surveillance over adverse meteorological phenomena that may occur anywhere in the territory and produces all kinds of predictions over very different time frames. AEMET provides data from the observation network in real time, as well as alerts and predictions for various spatial and temporal domains7.</w:t>
      </w:r>
    </w:p>
    <w:p>
      <w:r>
        <w:t>Among the different observation networks available to AEMET, the Ground-Based Remote Sensing System stands out, specifically the Radar Observation System8, composed of various precipitation observation products through a network of radars dedicated to a very specific activity, which cannot be replaced by other observation systems. The weather radar is an instrument used by meteorologists to locate precipitation, calculate its trajectories, and in some cases even estimate the type of precipitation (rain, snow, hail, etc.) and wind speed. The objective is to study the radar echoes returned by meteorological "targets" and present them through an appropriate reception mechanism9. Each weather radar scans the surrounding area, with an approximate coverage of 250 kilometers. The radar sends the information to the Regional Center, where the information is processed and radar images (rain maps) are generated. Each Regional Center sends the information to the National Center, where the information is processed and a complete map is generated with information from all radars (folios 960 to 972 – own translation10).</w:t>
      </w:r>
    </w:p>
    <w:p>
      <w:r>
        <w:t>In Spain, there is currently a network of 20 weather radars, of which 15 belong to AEMET, 3 to the Meteorological Service of Catalonia (METEOCAT), 1 to the Basque Meteorology Agency (EUSKALMET), and 1 to the Meteorological Service of Galicia (METEOGALICIA) (folios 3 to 4). The weather radars of AEMET were installed in the late 1980s or early 1990s, although AEMET reported that, in 2018, work was being done on the installation of a new radar in Tenerife. The activity carried out since then in the field of radars and their related equipment focuses on their maintenance and the supply of spare parts. The renovations that need to be made are of a partial nature (folios 3 to 4).</w:t>
      </w:r>
    </w:p>
    <w:p>
      <w:r>
        <w:t>According to the information contained in the Technical Specifications Document (PPT) of tender no. 98003929 from 2014 and the PPT of tender no. 201800005080 from 201811, AEMET is the owner and currently operates the Radar Observation System (SOR) composed of 15 Regional Radar Systems (SRR) and 1 National Radar System (SNR). As supporting elements, there is a set of spare parts and the so-called Development System. The tenders called by AEMET12 have aimed at either:</w:t>
      </w:r>
    </w:p>
    <w:p>
      <w:r>
        <w:t>- The maintenance of:</w:t>
        <w:br/>
        <w:t xml:space="preserve">   Radar Observation System13 (SOR)</w:t>
        <w:br/>
        <w:t xml:space="preserve">   Meteorological observation equipment at airports and bases</w:t>
        <w:br/>
        <w:t>- The supply of:</w:t>
        <w:br/>
        <w:t xml:space="preserve">   Meteorological shelters</w:t>
        <w:br/>
        <w:t xml:space="preserve">   Solar radiation measurement instruments for the Izaña Atmospheric Research Center</w:t>
        <w:br/>
        <w:t xml:space="preserve">   A magnetron for AEMET's weather radars</w:t>
        <w:br/>
        <w:t xml:space="preserve">   Radiofrequency filters for radar receivers</w:t>
        <w:br/>
        <w:t>- The supply and installation of:</w:t>
        <w:br/>
        <w:t xml:space="preserve">   Meteorological aids for airports</w:t>
        <w:br/>
        <w:t xml:space="preserve">   Visibility and weather sensors at various airports</w:t>
      </w:r>
    </w:p>
    <w:p>
      <w:r>
        <w:t>11 Public information, accessible on the Public Sector Contracting Platform (https://contrataciondelestado.es), specifically at the following links:</w:t>
        <w:br/>
        <w:t xml:space="preserve">   Tender no. 98003929 from 2014: https://contrataciondelestado.es/wps/wcm/connect/68acd889-9d59-4974-a5e4-fb401503cbcb/DOC_CD2014-619543.html?MOD=AJPERES</w:t>
        <w:br/>
        <w:t xml:space="preserve">  Direct access to the document: https://contrataciondelestado.es/wps/wcm/connect/PLACE_es/Site/area/docAccCmpnt?srv=cmpnt&amp;cmpntname=GetDocumentsById&amp;source=library&amp;DocumentIdParam=9bb11269-83fa-40ae-8ea5-0c3bfb8125f8</w:t>
        <w:br/>
        <w:t xml:space="preserve">   Tender no. 201800005080 from 2018: https://contrataciondelestado.es/wps/wcm/connect/002a642d-8f8e-46bb-a29e-f1f9a6ff737c/DOC_CD2018-434608.html?MOD=AJPERES</w:t>
        <w:br/>
        <w:t xml:space="preserve">  Direct access to the document: https://contrataciondelestado.es/wps/wcm/connect/PLACE_es/Site/area/docAccCmpnt?srv=cmpnt&amp;cmpntname=GetDocumentsById&amp;source=library&amp;DocumentIdParam=22ca3481-4a00-4be4-87ff-43468cfc2be6</w:t>
      </w:r>
    </w:p>
    <w:p>
      <w:r>
        <w:t xml:space="preserve">12 Information obtained from the Public Contracting Portal. </w:t>
        <w:br/>
        <w:t>13 At least tender no. 98003929 from 2014.</w:t>
      </w:r>
    </w:p>
    <w:p>
      <w:r>
        <w:t>There are no national or European Union precedents in this specific sector. However, there are other precedents14 related to sectors that present certain similarities, in which the reference product market has been segmented distinguishing between the maintenance market and the supply market for spare parts for maintenance. All these activities can be understood as complementary, as they meet different needs, but are closely linked and, in many cases, vertically related. The manufacturing and marketing, on the one hand, and the maintenance of the installations and weather radars can be provided by different suppliers.</w:t>
      </w:r>
    </w:p>
    <w:p>
      <w:r>
        <w:t>Regarding installation activities, according to the information provided in the responses to the information requests sent on February 1, 2019, to the companies involved, to third parties, and to AEMET (confidential folios 2001 to 2019 and non-confidential 2020 to 2038, 1949 to 1953, 1964 to 1973, 1870 to 1875, 2042 to 2052, 1799 to 1802, 1822 to 1825, and 1785 to 1786), they can be carried out either by the manufacturing companies directly or by those engaged in maintenance and repair activities. Furthermore, this is a complementary activity to the others and meets different needs, in line with what has been indicated in the aforementioned precedents.</w:t>
      </w:r>
    </w:p>
    <w:p>
      <w:r>
        <w:t>For their part, maintenance activities could be analyzed separately from the supply of spare parts for the maintenance of the installations. The precedent15 that considers these markets separately is based on the existence of specific regulation that establishes that both activities must be carried out by different companies. However, although this is not the case in this file, since in Spain these activities can be carried out by the same companies, the truth is that the nature of the activities is very different. While the maintenance and repair service requires services provided with certain periodicity (in the case of preventive maintenance, every 6 months) and of</w:t>
      </w:r>
    </w:p>
    <w:p>
      <w:r>
        <w:t xml:space="preserve">14 Expte. S/DC/0557/15 NOKIA and Expte. S/DC/0522/14 THYSSENKRUPP. </w:t>
        <w:br/>
        <w:t>15 Expte. S/DC/0557/15 NOKIA.</w:t>
      </w:r>
    </w:p>
    <w:p>
      <w:r>
        <w:rPr>
          <w:b/>
        </w:rPr>
        <w:t>[Pages 13–15]</w:t>
      </w:r>
    </w:p>
    <w:p>
      <w:r>
        <w:t>immediacy (in the case of corrective maintenance, between 1 hour and 1 week) as well as specialized human and technical resources, according to the available information, the activities of supplying spare parts do not seem to require such short response times (since at least some are subject to specific tenders) nor the use of such specialized human or material resources (pages 2020 to 2038, 1949 to 1953, 1964 to 1973, 1870 to 1875, 2042 to 2052, 1799 to 1802, 1822 to 1825, and 1785 to 1786). It should also be noted that maintenance and supply of spare parts are usually tendered separately and that the resulting contracts have very different amounts and durations.</w:t>
      </w:r>
    </w:p>
    <w:p>
      <w:r>
        <w:t>All the aforementioned activities, therefore, have a different nature, which according to a criterion of demand substitutability, satisfy diverse needs. It is also significant that these different services can be tendered separately and can, in principle, be carried out independently. In this sense, it is noteworthy that there are different providers at each link in the chain. Thus, according to the available information, the manufacturers of the radars used by AEMET (VAISALA and SELEX ES GMBH) do not engage in radar maintenance nor supply spare parts.</w:t>
      </w:r>
    </w:p>
    <w:p>
      <w:r>
        <w:t>Therefore, to the extent that the practices subject to this case refer exclusively to the maintenance of weather radars and related equipment and the supply of spare parts and not to their manufacturing and installation, it is not considered necessary to define whether there is a single market for manufacturing, selling, and installing or whether the market should be segmented distinguishing the manufacturing and wholesale selling phase from the selling and installation phase.</w:t>
      </w:r>
    </w:p>
    <w:p>
      <w:r>
        <w:t xml:space="preserve">In light of the above, for the purposes of this case, the following affected product markets are considered without the need to close a strict definition of them: </w:t>
        <w:br/>
        <w:t xml:space="preserve">- The market for the maintenance of weather radars and related equipment. </w:t>
        <w:br/>
        <w:t>- The market for the supply of spare parts for weather radars.</w:t>
      </w:r>
    </w:p>
    <w:p>
      <w:r>
        <w:t xml:space="preserve">2. Geographic Market </w:t>
        <w:br/>
        <w:t>The geographic scope of the product markets affected by this case is limited to Spain.</w:t>
      </w:r>
    </w:p>
    <w:p>
      <w:r>
        <w:t>First, the tenders for the maintenance of weather radars are called by public sector entities at the state level, such as AEMET, or regional level, such as METEOCAT, EUSKALMET, and METEOGALICIA.</w:t>
      </w:r>
    </w:p>
    <w:p>
      <w:r>
        <w:t>Second, all these entities, regarding contracting, are governed by the same regulations, Law 9/2017, of November 8, on Public Sector Contracts, which transposes into Spanish law the Directives of the European Parliament and of the Council 2014/23/EU and 2014/24/EU, of February 26, 2014 (LCSP).</w:t>
      </w:r>
    </w:p>
    <w:p>
      <w:r>
        <w:t>Third, the companies participating in these tenders are of national or regional dimension, and in the case of multinational companies, such as VAISALA, their participation in the tenders has been limited to subcontracting for the provision of qualified labor (AFC INGENIEROS has subcontracted with VAISALA to submit a bid for the 2018 tender, through which the maintenance service of the SOR network is extended).</w:t>
      </w:r>
    </w:p>
    <w:p>
      <w:r>
        <w:t>The limitation of the geographic market to the national scope also derives from the fact that maintenance and repair work requires, on the one hand, the use of specialized human resources, with training and experience in the field, and specific material resources; and on the other, relatively short response times. As indicated, two types of maintenance services must be distinguished, one preventive, every 6 months, and another corrective, which is performed when a breakdown occurs. The response time for a breakdown is usually a maximum of 1 hour, while the resolution time for the breakdown depends on the SOR component that is faulty, which can range from 24 hours to a week. While part of this maintenance service can be carried out remotely (software maintenance), the rest of the maintenance and/or repair work must be done on-site, and the short response time seems to require that the companies offering these services be located at least in the same country as the facilities or radars subject to repair or maintenance (pages 1998 to 1990, 1946 to 1948, 1961 to 1963, 1822 to 1825, 2042 to 2052, 1799 to 1802, 1822 to 1825, 1785 to 1786, and Technical Specifications for the "Maintenance Services of the Radar Observation System of the State Meteorological Agency" from June 2014).</w:t>
      </w:r>
    </w:p>
    <w:p>
      <w:r>
        <w:t>Therefore, for the purposes of this case, the geographic dimension of the affected markets is considered to be national.</w:t>
      </w:r>
    </w:p>
    <w:p>
      <w:r>
        <w:t>On the other hand, the criteria for possible effects on trade between Member States developed in the European Commission's Communication on guidelines concerning the concept of effect on trade within the EU are met, which entails the application of Article 101 of the TFEU for the purposes of this case.</w:t>
      </w:r>
    </w:p>
    <w:p>
      <w:r>
        <w:t>The scope of the conduct under investigation has extended to the entire national territory and is likely to have a noticeable effect on trade within the European Union, given that we are dealing with conduct affecting the entire national territory, in which the main companies engaged in the maintenance and supply of spare parts for weather radars and related equipment have participated.</w:t>
      </w:r>
    </w:p>
    <w:p>
      <w:r>
        <w:t>According to established doctrine and as noted by the CNC Council16 and the Competition Chamber of the CNMC Council17, if the practices being analyzed have national scope, as is the case, it must be understood that they are likely to affect intra-Union trade appreciably. In short, the collusive agreements analyzed are likely to infringe Article 101 of the TFEU.</w:t>
      </w:r>
    </w:p>
    <w:p>
      <w:r>
        <w:t xml:space="preserve">3. Structure of the markets for the maintenance of weather radars and related equipment and supply of spare parts. </w:t>
        <w:br/>
        <w:t>The markets in which the conduct subject to analysis in this resolution has taken place are framed within a sector where there is a high degree of concentration.</w:t>
      </w:r>
    </w:p>
    <w:p>
      <w:r>
        <w:t>The demand for this type of services mainly comes from public bodies, such as meteorological agencies (state – AEMET – and regional – METEOCAT, EUSKALMET, and METEOGALICIA), but also from the Canal de Isabel II, river basin authorities, civil protection services, as well as certain public research bodies (CSIC) (confidential pages 2001 to 2019 and non-confidential pages 2020 to 2038, 1949 to 1953, 1964 to 1973, 1870 to 1875, 2042 to 2052, 1799 to 1802, 1822 to 1825, and 1785 to 1786).</w:t>
      </w:r>
    </w:p>
    <w:p>
      <w:r>
        <w:t xml:space="preserve">Regarding the supply, companies that install and maintain or only maintain offer their services at the national and regional levels, such as CIRRUS, ADASA, AFC INGENIEROS, ATOS and </w:t>
        <w:br/>
        <w:t xml:space="preserve">16 CNC Resolutions of July 31, 2010, Expte. S/0120/08 Transitorios and October 6, 2011, Expte. Producers of Grapes and Sherry Wines. </w:t>
        <w:br/>
        <w:t>17 Among others, Resolutions of the Competition Chamber of the CNMC Council of January 2, 2014, Expte. S/0404/12 Commercial Services AENA.</w:t>
      </w:r>
    </w:p>
    <w:p>
      <w:r>
        <w:rPr>
          <w:b/>
        </w:rPr>
        <w:t>[Pages 16–18]</w:t>
      </w:r>
    </w:p>
    <w:p>
      <w:r>
        <w:t>OFITECO (pages 3 to 4, confidential pages 2001 to 2019 and non-confidential pages 2020 to 2038, 1949 to 1953, 1964 to 1973, 1870 to 1875, 2042 to 2052, 1799 to 1802, 1822 to 1825 and 1785 to 1786). In Spain, there are mainly two companies dedicated to the installation, maintenance, and distribution or supply of spare parts for weather radars and similar equipment, ADASA and TELVENT (and subsequently their successors, SCHNEIDER and CIRRUS), which are precisely the only companies that have been awarded contracts in the last three tenders called by AEMET to provide these services (pages 3 to 4). However, it is also worth mentioning other operators that have submitted their bids such as AFC-INGENIEROS (whose area of specialization is the maintenance of radar software), ATOS (primarily dedicated to the maintenance of maritime radars), and OFITECO (primarily dedicated to the maintenance of hydro-meteorological networks) (pages 1822 to 1825, 2042 to 2052 and 1870 to 1875).</w:t>
      </w:r>
    </w:p>
    <w:p>
      <w:r>
        <w:t>IV. ESTABLISHED FACTS</w:t>
      </w:r>
    </w:p>
    <w:p>
      <w:r>
        <w:t>1. Regarding the tender called by AEMET in 2014 for the maintenance services of the Radar Observation System (tender 98003929)</w:t>
      </w:r>
    </w:p>
    <w:p>
      <w:r>
        <w:t>1.1. AEMET Tender. In 2014, AEMET called tender number 98003929 for the maintenance of the SOR18, as a continuation of the previous contracts from 2006 and 2010. According to the Administrative Clauses of the contract, the tender budget was 2,211,880 euros (VAT included), the duration of the contract was 24 months with the possibility of extending it annually up to two times, and to prove economic and technical solvency, classification of the companies was required (Group P; Subgroup 1; Category D). The only bid submitted was that of the joint venture ADASA-TELVENT, with a bid reduction of 1.51%, thus being awarded the contract through the award agreement of November 20, 2014, for an amount of 2,178,580 euros. The contract was signed on December 11, 2014 (page 251). The maintenance service contract for the SOR of AEMET was extended twice, from December 12, 2016, to December 11, 2017, and from December 12, 2017, to December 11, 2018 (pages 250 to 589).</w:t>
      </w:r>
    </w:p>
    <w:p>
      <w:r>
        <w:t>1.2. The joint venture between ADASA and TELVENT The joint venture between ADASA and TELVENT through which they decided to bid jointly for this 2014 contract was formalized on November 17, 2014 (pages 266 to 284). According to the statutes of the joint venture (page 297), its purpose was the execution of maintenance services for the SOR of AEMET. The participation or shares of each of the companies signing the agreement were set at 60% ADASA and 40% TELVENT (page 302). The joint venture subcontracted AFC INGENIEROS to take care of the software maintenance (page 341).</w:t>
      </w:r>
    </w:p>
    <w:p>
      <w:r>
        <w:t>1.3. Internal documentation of SCHNEIDER In the response of SCHNEIDER dated July 27, 2018, to the information request made by the Competition Directorate, a document is provided that is part of an internal process of this company, then owner of the TELVENT GROUP, known as “Quote Link” and used by TELVENT to carry out a risk assessment for projects exceeding 2 million euros, which includes the main characteristics (technical, contractual, operational, financial, etc.) and information from tender no. 98003929 of the year 2014. This document indicates the reason for bidding for the aforementioned contract through a joint venture with ADASA (pages 963, 964 and 971) (translation and emphasis added):</w:t>
      </w:r>
    </w:p>
    <w:p>
      <w:r>
        <w:t>“Adasa Sistemas S.A. is our main competitor in this market in Spain (weather radars) – although not the only one – and currently is in charge of the maintenance of the network” […]19. “Adasa Sistemas S.A. and Telvent Energía S.A. are the main competitors and we will present the bids as a Consortium” […]20 “Please justify the need to establish a commercial Consortium strategy: Telvent Energía joins Adasa Sistemas, as it is our main competitor. Joining them reduces the competitive environment, as we are the two main companies in the market and together we can win the contract at a higher price”21.</w:t>
      </w:r>
    </w:p>
    <w:p>
      <w:r>
        <w:t>Furthermore, reference is made to TELVENT's capacity to bid for this contract in the following terms (non-confidential pages 961 to 963, 971 and 972 – translation and emphasis added-)22: “The experience of our human resources is wide. Proposed project team is composed of a group of people who were working on the maintenance contract of the network and had carried out the network upgrades. Our knowledge of the network and related technology is depth.” […] “Telvent was in charge of network maintenance between 1996 and 2010. The network has experienced three major upgrades (2003, 2007-2008 and 2010-2011) all of them led and carried out by Telvent. We have had other contracts related to this network. Actually, we signed a contract at the beginning of 2014 for the supply of various spare parts.” “Tender docs include the following requirements for Human and Material Resources”: […] “Regarding this HR requirements, Telvent would have all profiles with the proper experience and pre-allocated. However, as part of the Consortium, profiles A and one person from B and C will be assigned to Adasa Sistemas. One person of B and one person from C are part from Telvent, and profile D will be part of AFC Ingenieros (Consortium Subcontractor). Apart from required profiles, Telvent’s organization chart is shown in Notes &amp; Attachments Section. Proposed team includes a Project Manager, a Radar Expert Maintenance Group (composed by profiles B and C), and a Level I Maintenance Group (including Telvent’s personnel and local subcontractors in Canarias and Galicia). Engineering and Laboratory Group will be partially allocated to the project.” “Material Resources: […] Telvent has already these facilities in La Isla, Seville. In relation of Measurement and Calibration equipment, we have included the annual calibration cost of this equipment in OG Services.”</w:t>
      </w:r>
    </w:p>
    <w:p>
      <w:r>
        <w:rPr>
          <w:b/>
        </w:rPr>
        <w:t>[Pages 19–21]</w:t>
      </w:r>
    </w:p>
    <w:p>
      <w:r>
        <w:t>"The experience of our human resources is extensive. The proposed project team is composed of a group of people who were working on the maintenance contract of the network and who had carried out its updates. We have a deep knowledge of the network and the related technology" […].</w:t>
      </w:r>
    </w:p>
    <w:p>
      <w:r>
        <w:t>"Telvent was responsible for the maintenance of the network between 1996 and 2010. The network has undergone three major upgrades (2003, 2007-2008, and 2010-2011), all of which were led and executed by Telvent. We have had other contracts related to this network. In fact, we signed a contract in early 2014 for the supply of various spare parts" […].</w:t>
      </w:r>
    </w:p>
    <w:p>
      <w:r>
        <w:t>"The bidding documents include the following requirements for human and material resources": […]</w:t>
      </w:r>
    </w:p>
    <w:p>
      <w:r>
        <w:t>"Regarding these HR requirements, Telvent would have all the profiles with the appropriate experience pre-assigned. However, as part of the Consortium, profiles A and one person from B and C will be assigned to Adasa Sistemas. One person from B and one person from C are part of Telvent, and profile D will be part of AFC Ingenieros (Subcontractor of the Consortium). In addition to the required profiles, the organizational chart of Telvent is shown in the Notes and Annexes section. The proposed team includes a Project Manager, a Radar Maintenance Expert Group (composed of profiles B and C), and a Level I Maintenance Group (which includes Telvent staff and local subcontractors in the Canary Islands and Galicia). The Engineering and Laboratory Group will be partially assigned to the project.</w:t>
      </w:r>
    </w:p>
    <w:p>
      <w:r>
        <w:t>Material Means: […]</w:t>
      </w:r>
    </w:p>
    <w:p>
      <w:r>
        <w:t>Telvent already has these facilities in La Isla, Seville. Regarding the Measurement and Calibration equipment, we have included the annual calibration cost of this equipment in OG Services."</w:t>
      </w:r>
    </w:p>
    <w:p>
      <w:r>
        <w:t>"Telvent has the proper equipment and experience to carry out the partner's scope if needed (we have maintained the network for 14 years until 2010). The scope of activities has been shared geographically in order to minimize response times and transportation expenses, allowing an increase of margin in both companies" […].</w:t>
      </w:r>
    </w:p>
    <w:p>
      <w:r>
        <w:t>Furthermore, there are a series of internal emails from TELVENT related to this contract, referencing the documents "QLK-1407-1594329 E.Babeau's approval" and "MoM AEMET Maintenance –v1", in which the following is indicated (folios 1217 to 1229 – translation and emphasis added)23:</w:t>
      </w:r>
    </w:p>
    <w:p>
      <w:r>
        <w:t>"Telvent states that the financial health of the UTE partner (leader) is acceptable, although it has been quite negative recently. In case of bankruptcy of the partner, Telvent could finance the project independently."</w:t>
      </w:r>
    </w:p>
    <w:p>
      <w:r>
        <w:t>"The financial health of the partner is not very favorable but has the support of COMSA GROUP. Both companies will exchange letters of sponsorship from their parent companies (TELVENT GIT and COMSA GROUP)."</w:t>
      </w:r>
    </w:p>
    <w:p>
      <w:r>
        <w:t>"Extensive technical experience with these installations in previous contracts. Additionally, the customer has an agreement with the software manufacturer for new versions/updates. Therefore, no risk is foreseen by BU."</w:t>
      </w:r>
    </w:p>
    <w:p>
      <w:r>
        <w:t>"Execution SME supports this proposal and confirms our capacity to fully comply with the technical requirements. He even considers that, if necessary, we could carry out the entire project."</w:t>
      </w:r>
    </w:p>
    <w:p>
      <w:r>
        <w:t>1.4. Subsequent contracts from AEMET for maintenance of the SOR</w:t>
      </w:r>
    </w:p>
    <w:p>
      <w:r>
        <w:t>After the maximum extension period stipulated in the contract ended in December 2018, AEMET opened a new bidding process for SOR network maintenance services, to which ADASA and CIRRUS applied, this time separately, as well as AFC INGENIEROS and ATOS. The contract for this new project was awarded to ADASA for an amount of €1,351,948, with the base budget for the bidding being €2,003,00024.</w:t>
      </w:r>
    </w:p>
    <w:p>
      <w:r>
        <w:t>2. Regarding the tender called by AEMET in 2017 for the supply of spare parts for weather radars and related equipment (tender 98004753)</w:t>
      </w:r>
    </w:p>
    <w:p>
      <w:r>
        <w:t>2.1. AEMET Tender</w:t>
      </w:r>
    </w:p>
    <w:p>
      <w:r>
        <w:t>In 2017, AEMET called tender no. 98004753 for the supply of radio frequency filters for radar receivers (folios 1111 to 1148). During 2017 and until December 2018, the execution of the SOR contract analyzed in the previous section was still in force after its first and second extensions. AEMET sent a letter requesting offers on April 19, 2017, to ADASA, CIRRUS (SCHNEIDER), and AFC INGENIEROS. The companies ADASA and CIRRUS submitted their offers to AEMET on May 4, 2017 (folios 1.120 to 1.122).</w:t>
      </w:r>
    </w:p>
    <w:p>
      <w:r>
        <w:t>The economic offer submitted by ADASA was €12,610 (folio 1.127). The economic offer submitted by CIRRUS was €12,869 (folio 1.128). Finally, the contract was awarded to the company AFC INGENIEROS for an amount of €11,250 (folio 1.141).</w:t>
      </w:r>
    </w:p>
    <w:p>
      <w:r>
        <w:t>2.2. Documentation obtained during inspections</w:t>
      </w:r>
    </w:p>
    <w:p>
      <w:r>
        <w:t>Among the documentation obtained during the inspections, an email dated April 28, 2017, stands out, which is after AEMET's request for offers but prior to the submission of offers by ADASA and CIRRUS, exchanged between two employees of SCHNEIDER –then owner of CIRRUS– in which the following is noted (folios 777 and 778):</w:t>
      </w:r>
    </w:p>
    <w:p>
      <w:r>
        <w:t>24 Public information available on the Public Sector Contracting Portal: https://contrataciondelestado.es/wps/portal/!ut/p/b0/04_Sj9CPykssy0xPLMnMz0vMAfIjU1JTC3Iy87KtUlJLEnNyUuNzMpMzSxKTgQr0w_Wj9KMyU1zLcvQjzSs9nFPDzFOD8vJL00wSnfy1ywJzAm1t9Qtycx0B8IT7Nw!!/</w:t>
      </w:r>
    </w:p>
    <w:p>
      <w:r>
        <w:rPr>
          <w:b/>
        </w:rPr>
        <w:t>[Pages 22–24]</w:t>
      </w:r>
    </w:p>
    <w:p>
      <w:r>
        <w:t>“The final agreement reached verbally with Adasa is as follows:</w:t>
        <w:br/>
        <w:t>1) Cirrus offers a 1% discount: our price would be EUR 12,870.00.</w:t>
        <w:br/>
        <w:t>2) Adasa offers a 3% discount: their price would be EUR 12,610.00.</w:t>
        <w:br/>
        <w:t>3) The profit is estimated at around EUR 2,000, which we will distribute 60/40 as the UTE is formalized. […]”</w:t>
        <w:br/>
        <w:t>The offers are the same as those subsequently sent to AEMET and the distribution of profits identical to the distribution agreements of the UTE for the maintenance service of the SOR.</w:t>
      </w:r>
    </w:p>
    <w:p>
      <w:r>
        <w:t>V. LEGAL GROUNDS</w:t>
      </w:r>
    </w:p>
    <w:p>
      <w:r>
        <w:t>FIRST. JURISDICTION TO RESOLVE</w:t>
        <w:br/>
        <w:t>According to Article 5.1.c) of Law 3/2013, of June 4, establishing the National Commission of Markets and Competition (LCNMC),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Consequently, the jurisdiction to resolve this procedure corresponds to the Competition Chamber of the CNMC Council.</w:t>
      </w:r>
    </w:p>
    <w:p>
      <w:r>
        <w:t>SECOND. OBJECT OF THE RESOLUTION AND GENERAL APPLICABLE REGULATIONS</w:t>
        <w:br/>
        <w:t>The Competition Chamber of the Council must resolve in this file, based on the instruction carried out by the DC as reflected in the report and proposal for resolution, whether the investigated practices constitute an infringement of Articles 1 of the LDC and 101 of the TFEU. Regarding the applicable regulations, the conduct recorded in the established facts has developed during the validity of Law 15/2007. In light of this, Law 15/2007 is the applicable norm to the present sanctioning procedure, without prejudice to the application of other special regulations as will be indicated later. On the other hand, this Chamber is also favorable to the application of Article 101 of the TFEU. As previously noted, the scope of these conducts has extended to the entire national territory and considering the nature and characteristics of the analyzed conducts, as well as the companies that have participated in them, they are likely to have a noticeable effect on trade within the European Union, according to the Communication from the European Commission25.</w:t>
      </w:r>
    </w:p>
    <w:p>
      <w:r>
        <w:t>THIRD. PROPOSAL FOR RESOLUTION FROM THE INSTRUCTING BODY</w:t>
        <w:br/>
        <w:t>Once the sanctioning procedure has been instructed, the DC has proposed to this Chamber that the existence of a single and continuous infringement constituting a cartel be declared, consisting of an agreement between competing companies for market sharing and price fixing implemented through the fraudulent establishment of a UTE, to unjustifiably and artificially reduce competition in tenders called by AEMET, as well as through an exchange of information, which fall within the market for maintenance services for weather radars and related equipment and supply of spare parts. The DC considers the following parties responsible:</w:t>
        <w:br/>
        <w:t>- ADASA SISTEMAS, S.A.U. for its participation in a single and continuous infringement constituting a cartel, prohibited by Articles 1 of the LDC and 101 of the TFEU, during the period from December 2014 to December 2018.</w:t>
        <w:br/>
        <w:t>- SCHNEIDER ELECTRIC ESPAÑA, S.A for its participation in a single and continuous infringement constituting a cartel, prohibited by Articles 1 of the LDC and 101 of the TFEU, as the successor company of TELVENT, during the period from December 2014 to June 2016 and, personally, from June 2016 to February 2017.</w:t>
        <w:br/>
        <w:t>- DTN SERVICES AND SYSTEMS SPAIN, S.L. (formerly, CIRRUS) for its participation in a single and continuous infringement constituting a cartel, prohibited by Articles 1 of the LDC and 101 of the TFEU, during the period from February 2017 to December 2018. The DC proposes the following sanctions:</w:t>
        <w:br/>
        <w:t>Companies Fine (€)</w:t>
        <w:br/>
        <w:t>ADASA 460,000</w:t>
        <w:br/>
        <w:t>SCHNEIDER 110,000</w:t>
        <w:br/>
        <w:t>CIRRUS (DTN) 50,000</w:t>
        <w:br/>
        <w:t>Furthermore, the DC considers it appropriate to apply Article 71 of Law 9/2017, of November 8, on Public Sector Contracts (LCSP).</w:t>
      </w:r>
    </w:p>
    <w:p>
      <w:r>
        <w:t>FOURTH. ASSESSMENT OF THE COMPETITION CHAMBER</w:t>
        <w:br/>
        <w:t>4.1. On the existence of an anticompetitive agreement between the companies with the aim of sharing several tenders from AEMET</w:t>
        <w:br/>
        <w:t>Starting from the general consideration that both companies are competitors in the same market, something that has not been questioned by the companies in their allegations and that, in any case, is confirmed by observing that both companies have competed for the same contracts tendered by AEMET, it is necessary to determine whether the established facts allow us to conclude the existence of an agreement between both companies for anticompetitive purposes. This Chamber has already stated on several occasions the complexity involved in obtaining evidence in conducts such as those analyzed here, given that the success of such illicit agreements is characterized, precisely, by their hermeticism and concealment from the market. Companies engaging in such illicit activities, aware of the powers of competition authorities to pursue such practices, increasingly succeed in sophisticating their illicit conducts, making them in many cases practically undetectable. Hence, the evidence in these types of procedures must be analyzed considering the facts individually assessed whose</w:t>
      </w:r>
    </w:p>
    <w:p>
      <w:r>
        <w:rPr>
          <w:b/>
        </w:rPr>
        <w:t>[Pages 25–27]</w:t>
      </w:r>
    </w:p>
    <w:p>
      <w:r>
        <w:t>valuation becomes more conclusive after a global and comprehensive analysis of such facts.</w:t>
      </w:r>
    </w:p>
    <w:p>
      <w:r>
        <w:t>This has been recognized on previous occasions by the competition authorities, indicating that agreements to divide the market or to fix prices can rarely be demonstrated directly or through documentation, and the only way to do so is through circumstantial evidence that, in turn, allows for a well-founded presumption of the existence of an agreement.</w:t>
      </w:r>
    </w:p>
    <w:p>
      <w:r>
        <w:t>In this sense, it is the overall view of the market and the behavior of the agents that enables the competition authorities to reach the conviction that the only explanation for those results and behaviors is the existence of an agreement. In this type of agreement, inherently secret, it is not required to prove that each and every one of the facts of the plurality of actions carried out by the operators, which are part of the anti-competitive strategy, constitutes an infringement; rather, the infringement consists precisely of that set of facts, with a very specific purpose, even if each of them, in isolation, cannot be deemed contrary to the competition rules by object.</w:t>
      </w:r>
    </w:p>
    <w:p>
      <w:r>
        <w:t>The Judgment of the Court of First Instance of the European Union of October 26, 2000 (case T-41/96), states that “the proof of the existence of an agreement between companies within the meaning of Article 85, paragraph 1, of the Treaty must be based on the direct or indirect observation of the subjective element that characterizes the very concept of agreement, that is, a concordance of wills among economic operators regarding the application of a policy, the pursuit of a goal, or the adoption of a specific behavior in the market, regardless of the manner in which the parties express their intention to behave in the market in accordance with the terms of that agreement (see in this regard, in particular, the judgments ACF Chemiefarma/Commission, previously cited, paragraph 112, and Van Landewyck and others/Commission, previously cited, paragraph 86).”</w:t>
      </w:r>
    </w:p>
    <w:p>
      <w:r>
        <w:t>Likewise, the Judgment of the General Court of the European Union dated December 12, 2014, in case T-562/08, regarding the evidentiary quality that competition authorities are required to demand in matters of practices contrary to competition law, has stated that, given the notoriety of both the prohibition of participating in agreements and practices contrary to competition and the sanctions to which offenders may be exposed, it is common for activities involving such practices and agreements to be carried out clandestinely, for meetings to be held in secret, and for documentation regarding them to be minimized. Therefore:</w:t>
      </w:r>
    </w:p>
    <w:p>
      <w:r>
        <w:t>“the Commission cannot be required to provide documents that expressly prove a contact between the affected operators. Even if the Commission discovers such documents, they will normally only be fragmentary and dispersed, so that it is often necessary to reconstruct some details by deduction. Consequently, in most cases, the existence of a practice or an agreement contrary to competition is inferred from certain coincidences and indications that, considered as a whole, may constitute, in the absence of another coherent explanation, proof of an infringement of the competition rules (judgment Aalborg Portland and others/Commission, cited in paragraph 98 above, paragraphs 55 to 57; see the judgment Dresdner Bank and others/Commission, cited in paragraph 98 above, paragraphs 64 and 65, and the cited case law).”</w:t>
      </w:r>
    </w:p>
    <w:p>
      <w:r>
        <w:t>The Court acknowledges the difficulty that the evidentiary task poses for competition authorities in this type of practice, and therefore recognizes a certain reasonable sufficiency when providing the elements of proof that serve as the basis for the corresponding sanction. Otherwise, it would be difficult to pursue and sanction this type of practice.</w:t>
      </w:r>
    </w:p>
    <w:p>
      <w:r>
        <w:t>Already in the judicial sphere of our country, the Supreme Court, also aware of the difficulty of proving such conduct, considers the use of indirect evidence essential in the context of proceedings processed by the Competition Authority. Thus, the High Court in its Judgment of March 6, 2000 (appeal 373/1993) has stated that:</w:t>
      </w:r>
    </w:p>
    <w:p>
      <w:r>
        <w:t>“it should be emphasized that this evidence has greater operability in the field of competition defense, since it is unlikely that the authors of collusive acts will leave documentary evidence of their restrictive or prohibitive conduct, which can only be extracted from indications or presumptions. Denying validity to this indirect evidence would almost lead to the absolute impunity of acts derived from agreements or arrangements to restrict the free functioning of supply and demand.”</w:t>
      </w:r>
    </w:p>
    <w:p>
      <w:r>
        <w:t>Based on the considerations mentioned, and within the framework of the analysis of joint ventures from the perspective of competition defense law that the Competition Directorate presents in paragraphs 98 and following of the PR, this Chamber, in light of the evidence contained in the file, considers that it demonstrates the existence of an agreement between ADASA and TELVENT (which was subsequently continued by SCHNEIDER and CIRRUS) whose purpose has been to illegally divide at least two contracts with AEMET.</w:t>
      </w:r>
    </w:p>
    <w:p>
      <w:r>
        <w:t>From the documentary evidence obtained from TELVENT and SCHNEIDER (successor of TELVENT), the subsequent behavior of the companies, and the circumstances under which the conduct has been carried out, it can be concluded that there is a clear concordance of wills with an anti-competitive purpose in the affected markets considered in this resolution.</w:t>
      </w:r>
    </w:p>
    <w:p>
      <w:r>
        <w:t>Regarding contract 98003929 from the year 2014 (section 1 of the accredited facts), an internal document from TELVENT that is part of an internal process known as “Quote Link” and used by TELVENT to conduct a risk assessment for projects exceeding 2 million euros, already stated, disinterestedly, that the purpose of participating in the tender with ADASA was “to reduce the competitive environment, since we are the two main companies in the market and together we can win the contract at a higher price.” To this end, both companies decided to form a joint venture and jointly submit a bid for the contract.</w:t>
      </w:r>
    </w:p>
    <w:p>
      <w:r>
        <w:t>We are faced with the interested and forced instrumentalization of a legal figure, such as the joint venture, which serves as an excuse for companies to simulate a situation of competitive normality in the public tender process and thus mask an agreement to divide the contract. A legal instrument widely accepted in public and private contractual practice is used to achieve illicit ends.</w:t>
      </w:r>
    </w:p>
    <w:p>
      <w:r>
        <w:t>Therefore, in this case, the means used cannot be justified if it is aimed at anti-competitive purposes, even if it was necessary to participate in the tender. The objective of jointly bidding for the contract to reduce the competitive environment and thus obtain a greater benefit from the contract by offering a higher price than would have resulted if submitted separately, as stated in the internal documentation of TELVENT, is corroborated by the facts since the bid submitted by the joint venture for this contract was 1.51% lower, a figure that contrasts with the contracts from 2010, where the reduction was 30%26, and 2018, where the reductions of the bids submitted by CIRRUS and ADASA were over 25% (file 1997).</w:t>
      </w:r>
    </w:p>
    <w:p>
      <w:r>
        <w:t xml:space="preserve">Notwithstanding this, as will be seen in the following section, the parties involved have also not proven the existence of a reasonable justification that would allow for the consideration of the necessity to participate in a joint venture for the contract, unless, as has already been pointed out, everything. </w:t>
        <w:br/>
        <w:t>26 https://www.boe.es/diario_boe/txt.php?id=BOE-B-2010-41623</w:t>
      </w:r>
    </w:p>
    <w:p>
      <w:r>
        <w:rPr>
          <w:b/>
        </w:rPr>
        <w:t>[Pages 28–30]</w:t>
      </w:r>
    </w:p>
    <w:p>
      <w:r>
        <w:t>the need to resort to a joint venture for the contract, unless, as already noted, this is due to a strategy of the companies aimed at giving the appearance of legality to an unlawful agreement. The companies during the proceedings have tried to discredit TELVENT's internal document. ADASA believes that the content of the document in question, while it may reveal TELVENT's intentions and strategies, cannot be extrapolated to ADASA in any case, since it does not reflect the situation, intention, opinion, or strategy of that company, but only mentions it incidentally, as a competing company with which TELVENT intends to form a joint venture. DTN, for its part, considers that the internal document is not conclusive regarding the existence of a prior market-sharing agreement between TELVENT and ADASA. In this regard, the aforementioned company brings up the CNMC resolution of July 12, 2018, in the Automotive Batteries case (S/DC/0569/15), in which the unilateral statement of one of the companies was not considered evidence of wrongdoing to prove the existence of an anticompetitive agreement. However, for this Chamber, the evidence obtained from TELVENT is a document that contains information that must be classified as plausible. It refers to internal information from TELVENT from the year 2014, which is included in internal emails between highly qualified employees. In them, the characteristics of the tender and the risks associated with submitting a joint venture for the aforementioned contract are analyzed. As already indicated in this resolution, these are internal documents that were prepared within the aforementioned company and are essential for making strategic decisions, as they involved an assessment of the risk that the company could incur by participating in certain tenders. The information contained in those documents deserves, in the opinion of this Chamber, to be classified as truthful information, due to its content as it refers to specific and verified data and information about the companies, the characteristics of the contract, and the intentions of the parties when presenting themselves in a joint venture. Furthermore, the content of the information has not been questioned by SCHNEIDER. It is also evident that this is disinterested information from the point of view of the consequences that may arise from it. There is no indication in the aforementioned documentation of TELVENT's interest in wanting to harm ADASA through a hypothetical distortion of its content. As the CNMC has pointed out in other proceedings, incriminating information from third parties, such as that described in this resolution, is valid evidence because it is not clear what interest TELVENT would have in self-incriminating itself. It is also evidence that makes complete sense when valued alongside the other evidentiary elements in the file, given that it is concluded that what TELVENT stated in those documents about anticompetitive intentions is reflected in the subsequent behavior of the companies and in the circumstances under which the conduct was carried out, and this is a substantial difference compared to the file cited by DTN (S/DC/0569/15). In that file, the unilateral conduct of the company, without direct or indirect evidence of its externalization towards other companies and without direct or indirect evidence of its follow-up, was not considered unlawful due to the lack of concordance of wills, coordination between the companies, or conscious alignment of behaviors by them, with the aim of carrying out anticompetitive practices. However, in this case, it is evident that the companies ultimately carried out the strategy contained in those reports with the aim of not competing for the 2014 contract, and that same intention was transferred to another contract tendered by AEMET in 2017. Indeed, the evidence corresponding to the 2017 contract (section 2 of the established facts) again evidences the existence of a clear intention between the companies ADASA and CIRRUS27 (the company that succeeded SCHNEIDER) to share the contract 98004753. The email obtained as incriminating evidence contained in pages 777 and 778 of this file is clear in this regard: “The final agreement reached verbally with Adasa is as follows: 1) Cirrus bids with a 1% reduction: our price would be 12,870.00 EUR. 2) Adasa bids with a 3% reduction: their price would be 12,610.00 EUR. 27 According to the information provided by the representatives of the SCHNEIDER companies during the home inspection carried out by the Competition Directorate on May 9, 2018 (see Initial Inspection Report, pages 628 to 641), CIRRUS was created as a vehicle company to integrate the business related to radars and meteorological stations that were carried out by the TELVENT GROUP companies. 3) The profit is estimated at around 2 KEur which we will distribute at 60/40 as the joint venture is formalized. […]” It indicates the existence of an unwritten agreement between both companies to share the tender through the submission of cover bids, which is very common in this type of anticompetitive conduct of public tender sharing. With this practice, the companies again simulate competing for the contract, thereby deceiving the contracting administration and the other bidding companies, when in reality they have previously decided their division. Regarding this evidence, two issues must be highlighted. The first is that the email is dated April 28, 2017, and the economic offers finally submitted, which match the amounts indicated in the email, are dated May 4, 2017. That is to say, there is a clear coincidence between the will of the parties expressed in that email and what the companies ultimately did. The second issue that arises from this email is the clear intention to continue maintaining the division agreed upon in 2014: “3) The profit is estimated at around 2 KEur which we will distribute at 60/40 as the joint venture is formalized. […]”. This results in clear evidence that in 2017 they decided to extend the agreement made in 2014 to the new contract in order to preserve the initially agreed participation percentages by the companies ADASA and TELVENT. In the following section, the capacity of the companies to participate in the 2014 tender in a joint venture is analyzed, although it is already possible to anticipate that the conclusion of the analysis is the lack of a reasonable justification from a business perspective to participate through an associative agreement, an argument that further reinforces the idea that the joint venture was an instrument used to simulate the anticompetitive agreement between both companies. In the case of the 2017 contract, given the base budget for the tender, which amounted to 15,730 euros, the justification for aligning wills in the submission of offers also lacks reasonableness, and what it only demonstrates is that the companies had no problems adapting their strategies based on the type of contract they had to share, and that, regardless of the contract, the profit to be shared had to be the same, that agreed upon in 2014. For all these reasons, this Chamber considers that we are facing an anticompetitive agreement by object reached in 2014 that was subsequently extended to the 2017 contract.</w:t>
      </w:r>
    </w:p>
    <w:p>
      <w:r>
        <w:rPr>
          <w:b/>
        </w:rPr>
        <w:t>[Pages 31–33]</w:t>
      </w:r>
    </w:p>
    <w:p>
      <w:r>
        <w:t>4.2. On the capacity of the companies to participate in the 2014 contract</w:t>
      </w:r>
    </w:p>
    <w:p>
      <w:r>
        <w:t>As indicated, it has been established without being questioned by the parties that the companies ADASA and TELVENT operate in the same markets and, therefore, are competitors, having separately submitted bids for other AEMET tenders. However, both companies have indicated throughout the proceedings that they lacked the sufficient capacity to participate separately in the tender for contract number 98003929 of the year 2014 and therefore consider that the associative agreement between them cannot be deemed anticompetitive.</w:t>
      </w:r>
    </w:p>
    <w:p>
      <w:r>
        <w:t>Having established the existence of anticompetitive agreements between the companies, the analysis of their capacity to participate in a joint venture for the 2014 contract loses the relevance that the companies wish to attribute to it, given that the joint venture is simply the way in which the agreed anticompetitive agreement is executed, which also transcends the joint venture in question and affects another subsequent tender to which the companies individually apply.</w:t>
      </w:r>
    </w:p>
    <w:p>
      <w:r>
        <w:t>In its PR (paragraphs 65 and following), the Competition Directorate, after a detailed analysis, considers that both companies had the capacity to participate individually in the 2014 tender. This Chamber also considers that the indispensable nature of the joint venture has not been proven.</w:t>
      </w:r>
    </w:p>
    <w:p>
      <w:r>
        <w:t>In any case, as will be seen below, in this file, the analysis of the companies' capacity is an additional element that corroborates the existence of the anticompetitive agreements reached by the companies.</w:t>
      </w:r>
    </w:p>
    <w:p>
      <w:r>
        <w:t>A) On the minimum solvency required for the 2014 contract</w:t>
      </w:r>
    </w:p>
    <w:p>
      <w:r>
        <w:t>The administrative clauses of contract 98003929 of the year 2014 required, to prove economic, financial, and technical solvency, that the companies be classified in Group P, Subgroup 1, Category D.</w:t>
      </w:r>
    </w:p>
    <w:p>
      <w:r>
        <w:t>Additionally, to the classification requirement, there was a specific and additional requirement for the assignment of professional and material means for this contract28. Specifically, as personal means, it was required to assign 6 engineers, and as material means, it was required that the companies have a laboratory area, a storage area, and specific media and calibration equipment.</w:t>
      </w:r>
    </w:p>
    <w:p>
      <w:r>
        <w:t>As is known, classification in public contracting is a legal mechanism that simplifies the accreditation of the solvency of companies when competing for certain public contracts. It allows replacing the burden of having to prove solvency by traditionally accepted means with the simple accreditation of having the required classification for the contract in question. In this sense, classification is also a valid and enforceable means to prove the solvency of companies.</w:t>
      </w:r>
    </w:p>
    <w:p>
      <w:r>
        <w:t>The regime for the use of joint ventures in public contracting contained in Law 3/2011 and its implementing regulation (Royal Decree 1098/2001, of October 12), applicable to the contract in question, allowed the companies forming the joint venture to accumulate solvency as long as they had previously obtained, individually, the classification as construction and service companies.</w:t>
      </w:r>
    </w:p>
    <w:p>
      <w:r>
        <w:t>The Central Administrative Economic Tribunal of Contractual Resources, in its intention to summarize the doctrine and jurisprudence on this matter, indicated in its resolution of April 29, 2016 (337/2016), the criteria to be taken into account for the accumulation of solvency by the companies that make up a joint venture:</w:t>
      </w:r>
    </w:p>
    <w:p>
      <w:r>
        <w:t>“Notwithstanding the above, both the Advisory Board of Administrative Contracting of the State and the Central Administrative Tribunal and the Supreme Court reach the following conclusions:</w:t>
      </w:r>
    </w:p>
    <w:p>
      <w:r>
        <w:t>Regarding capacity, it is required of each and every one of the companies or individuals that make up the joint venture.</w:t>
      </w:r>
    </w:p>
    <w:p>
      <w:r>
        <w:t>Regarding technical solvency, it is also required of each and every one of the components of the joint venture, although with the flexible criterion of understanding that the relationship they have with the object of the contract may be direct or indirect as long as all of them have a social purpose at least related to the object of the contract. That is to say, each one is required to have at least a minimum of technical solvency.</w:t>
      </w:r>
    </w:p>
    <w:p>
      <w:r>
        <w:t>Regarding economic solvency, it is also required of each of the components of the joint venture (which is obvious given the joint liability of all the components of the joint venture both towards the Administration and towards third parties); although with the flexible criterion of understanding that some of its components may prove their economic solvency by demonstrating the economic capacity of another company belonging or not to the joint venture, with which they have any legal ties, as long as they prove conclusively that they can dispose of the economic funds of this third company.”</w:t>
      </w:r>
    </w:p>
    <w:p>
      <w:r>
        <w:t>In the aforementioned report, referring to a previous report of its own, the Economic Tribunal concludes that: “if we take into account that the requirements for technical and economic solvency aim to guarantee, prima facie, the successful completion of the contract, as well as to initially ensure that the future awardee is in a position to meet the responsibilities of all kinds arising from it, obviously all companies that are part of a joint venture must meet the minimum requirements of technical and economic solvency, given the joint liability that the Law establishes for the fulfillment of their obligations.”</w:t>
      </w:r>
    </w:p>
    <w:p>
      <w:r>
        <w:t>Without prejudice to the analysis of the individual capacity of the companies carried out in this section, and in accordance with the legal regime on the accumulation of classification referred to, it is possible to conclude that, from a formal point of view, both companies should have individually accredited the classification requirement, from which it follows that both TELVENT and ADASA should have had the minimum required technical and economic solvency to participate in this type of contracts.</w:t>
      </w:r>
    </w:p>
    <w:p>
      <w:r>
        <w:t>Regarding economic solvency, the established facts highlight that both companies did not intend to rely on the economic funds of the other company to complete a potential lack of economic capacity. Evidence of this is that in the agreements to configure the joint venture, the companies mutually required to present a sponsorship letter from the parent companies (folio 1126).</w:t>
      </w:r>
    </w:p>
    <w:p>
      <w:r>
        <w:t>Regarding the requirement for additional capacity required beyond the classification, the conclusions cannot be different.</w:t>
      </w:r>
    </w:p>
    <w:p>
      <w:r>
        <w:t>On the one hand, regarding the necessary assignment of highly qualified professional means, the number of persons required (a total of 6) could not be an obstacle for companies of the magnitude and trajectory of ADASA and TELVENT to participate in the tender alone.</w:t>
      </w:r>
    </w:p>
    <w:p>
      <w:r>
        <w:t>On the other hand, regarding the assignment of material means, it is established in the file that each of them had, individually, the aforementioned means. This is confirmed in the minutes of the contract follow-up meeting dated October 2, 2015, contained in folios 382 and following, in which the following is stated:</w:t>
      </w:r>
    </w:p>
    <w:p>
      <w:r>
        <w:t>“With respect to the technical means 'warehouse type area' and 'laboratory type area', requested in the PPT and necessary to satisfy the required solvency (point 14 of the PCAP), the joint venture communicates its intention, not explicitly expressed in its...</w:t>
      </w:r>
    </w:p>
    <w:p>
      <w:r>
        <w:rPr>
          <w:b/>
        </w:rPr>
        <w:t>[Pages 34–36]</w:t>
      </w:r>
    </w:p>
    <w:p>
      <w:r>
        <w:t>offer, that both the warehouse and the laboratory are divided, with one warehouse in ADASA and another in Telvent and one laboratory in ADASA and another in Telvent” (folio 346). “The UTE will carry out the preventive maintenance of the radar in Murcia jointly by both companies to unify the procedures. Different procedures continue to be used for calibration. The main difference lies in the measurement of peak power in emission; one of the companies used a crystal and the other a wattmeter. The UTE claims that the power measured by both methods coincided. Both companies have the instruments to carry out this measurement in either of the two currently used ways. However, each continues with its historical method. AEMET would like a convergence” (folio 388).</w:t>
      </w:r>
    </w:p>
    <w:p>
      <w:r>
        <w:t>To corroborate the conclusions reached by this Chamber, the individual capacity of each company during the period in which the AEMET tender was carried out is analyzed below.</w:t>
      </w:r>
    </w:p>
    <w:p>
      <w:r>
        <w:t>B) On the capacity of TELVENT</w:t>
      </w:r>
    </w:p>
    <w:p>
      <w:r>
        <w:t>TELVENT itself acknowledges in the internal document referenced in section 1 of the established facts that it had the capacity to bid and undertake the project tendered in 2014. It should also be noted that this is a relevant internal document as it was part of TELVENT's process for evaluating risks of large-scale projects, without any of the allegations containing any element that would allow questioning the veracity of what it reflects.</w:t>
      </w:r>
    </w:p>
    <w:p>
      <w:r>
        <w:t>While it is not appropriate to reproduce the entire content of the mentioned document here, the most relevant aspects that it contains for the purpose of proving TELVENT's capacity will be addressed below.</w:t>
      </w:r>
    </w:p>
    <w:p>
      <w:r>
        <w:t>Regarding the sufficiency of human resources, although SCHNEIDER claims that they only had two qualified workers, it does not document this assertion in any way, which is also contrary to what is stated in the internal document. It is acknowledged therein that, although TELVENT had sufficient human resources (HR), the proposed team would include workers from ADASA in the following terms: “The experience of our human resources is extensive. The proposed project team is composed of a group of people who were working on the maintenance contract of the network and who had carried out the updates of it.”</w:t>
      </w:r>
    </w:p>
    <w:p>
      <w:r>
        <w:t>The internal document continues to emphasize the sufficiency and experience of TELVENT's HR: “Regarding these HR requirements, Telvent would have all the profiles with the appropriate experience pre-assigned. However, as part of the Consortium, profiles A and one person from B and C will be assigned to Adasa Sistemas. One person from B and one person from C are part of Telvent, and profile D will be part of AFC Ingenieros (Subcontractor of the Consortium). In addition to the required profiles, the organizational chart of Telvent is shown in the Notes and Annexes section. The proposed team includes a Project Manager, a Radar Maintenance Expert Group (composed of profiles B and C), and a Level I Maintenance Group (which includes Telvent personnel and local subcontractors in the Canary Islands and Galicia). The Engineering and Laboratory Group will be partially assigned to the project.” (emphasis added)</w:t>
      </w:r>
    </w:p>
    <w:p>
      <w:r>
        <w:t>In any case, as we will see, TELVENT had sufficient economic capacity to undertake the hiring of personnel necessary for the execution of the contract.</w:t>
      </w:r>
    </w:p>
    <w:p>
      <w:r>
        <w:t>Regarding technical resources, TELVENT states in this internal document that it has the appropriate equipment “to assume the activities of its partner if necessary”; “Execution SME supports this proposal and confirms our capacity to fully meet the technical requirements. It even considers that, if necessary, we could carry out the entire project.”</w:t>
      </w:r>
    </w:p>
    <w:p>
      <w:r>
        <w:t>From the above, it can be inferred that TELVENT could have carried out the project individually. The mentioned company also states that it lacked the capacity to maintain radars far from its headquarters; however, what the internal document reflects is that the geographical distribution allows, in the words of TELVENT itself in the mentioned internal document, “an increase in margin.” From this document, it cannot be inferred in any way a lack of capacity; what is drawn from it is that the distribution allowed the companies to have a greater margin.</w:t>
      </w:r>
    </w:p>
    <w:p>
      <w:r>
        <w:t>Regarding economic capacity, TELVENT literally states that “in the event of the partner's bankruptcy, TELVENT could finance the project independently.” It also had the backing of its parent company TELVENT GIT, as stated in folio 1,226 of the file.</w:t>
      </w:r>
    </w:p>
    <w:p>
      <w:r>
        <w:t>On the other hand, regarding TELVENT's experience in maintaining the network in question, it should be highlighted that the mentioned company acknowledges that, from 1996 to 2010, it was responsible for maintaining the SOR and that it has extensive knowledge of the network and the improvements that have been made to it. This has been evidenced in the present file and is acknowledged by the mentioned company in the aforementioned internal document in the following terms: “Telvent was responsible for maintaining the network between 1996 and 2010. The network has undergone three major improvements (2003, 2007-2008, and 2010-2011), all of which were led and executed by Telvent. We have had other contracts related to this network. In fact, we signed a contract in early 2014 for the supply of various spare parts.” Neither in the allegations nor in the economic report submitted, which is found in folios 2626-2676, is there any support provided for the mere statement that TELVENT was unaware of the improvements to the network that were essential to be able to submit a bid.</w:t>
      </w:r>
    </w:p>
    <w:p>
      <w:r>
        <w:t>It is also necessary to highlight that despite TELVENT having carried out the maintenance of the SOR for more than a decade, this did not prevent the UTE formed by ADASA and AFC INGENIEROS from winning the 2010 tender. Consequently, this Chamber does not share the allegation, also contained in the economic report, that the advantages of the incumbent in this recurring tender determine the need to compete in a UTE with it. This would also lead to the conclusion that, in recurring tenders, the presence of the incumbent would always be necessary to be able to operate, which would be tantamount to saying that there is no room for competition in them.</w:t>
      </w:r>
    </w:p>
    <w:p>
      <w:r>
        <w:t>Even the Automatic Surveillance System referred to in the economic report is not a sufficiently important reason to prevent TELVENT from presenting itself as a competitor to ADASA in 2014. As the report itself states, the system was an improvement that companies could include in their offer, not an obligation, and only accounted for a total of 4.5 points out of 10029. TELVENT, in the cited internal document, acknowledged that they had the capacity “to fully meet the technical requirements” and could even “carry out the entire project,” without mentioning at any time that they could not face the development of this System.</w:t>
      </w:r>
    </w:p>
    <w:p>
      <w:r>
        <w:t>Furthermore, the report also states that “the software that is part of the automatic surveillance system is software developed by the company HYDS at the request of ADASA,” so TELVENT could have commissioned a budget from this or another company to include the cost of its development in its offer. Considering that TELVENT had been awarded the contract only 4 years prior to the 2014 tender, and therefore had extensive knowledge of the SOR, with what is specified in Section 4.2.2 of the PPT, it could have estimated the cost of the improvements.</w:t>
      </w:r>
    </w:p>
    <w:p>
      <w:r>
        <w:t>29 Section 16.2.1.2 of the PCAP (Particular Administrative Clauses Document).</w:t>
      </w:r>
    </w:p>
    <w:p>
      <w:r>
        <w:rPr>
          <w:b/>
        </w:rPr>
        <w:t>[Pages 37–39]</w:t>
      </w:r>
    </w:p>
    <w:p>
      <w:r>
        <w:t>development of the system. This is because the Specifications specify in this section that the basic functionality of the surveillance system would consist of:</w:t>
      </w:r>
    </w:p>
    <w:p>
      <w:r>
        <w:t>“(1) detecting unavailability and possible anomalies in radar observation products, (2) collecting alerts automatically generated in the different SOR systems, and (3) analyzing all this information and, depending on its nature and severity, proceeding to send alarms via email both to the Awardee's own work team and to the AEMET personnel responsible for the operation of the SOR. For administrative purposes, the sent alarm will be equivalent to a fault notification and the time to be considered will be the time of its sending. A record of the issued alarm must remain in the fault notification system. According to the PCAP, this improvement will only be valued if it is associated with the commitment of a maximum response time of 1 hour during service hours.”</w:t>
      </w:r>
    </w:p>
    <w:p>
      <w:r>
        <w:t>It therefore seems unlikely that a company like TELVENT, with the experience it had in the sector, could argue that it did not have sufficient information to estimate the cost of this System.</w:t>
      </w:r>
    </w:p>
    <w:p>
      <w:r>
        <w:t>In addition to the above, TELVENT, besides presenting itself in a joint venture with ADASA for the maintenance tender of the SOR, also submitted a bid for tender number 98003689, for the supply of spare parts for AEMET's weather radar equipment, with a budget amounting to 868,109 euros. Both ADASA, TELVENT, and AFC INGENIEROS participated in this tender, which was won by TELVENT itself, which only demonstrates its ability to individually participate in other tenders in the market for installation and maintenance services for weather radars and related equipment and supply of spare parts in Spain.</w:t>
      </w:r>
    </w:p>
    <w:p>
      <w:r>
        <w:t>On the other hand, the second extension of the 2014 tender in which the ADASA-TELVENT joint venture was awarded ended in December 2018, so a new tender was initiated for the contracting of the same service, to which ADASA, AFC INGENIEROS, ATOS, and CIRRUS submitted bids. (folio 1679). The awarded company was ADASA, for an amount of 1,351,948€, with the base budget of the tender being 2,003,000€30.</w:t>
      </w:r>
    </w:p>
    <w:p>
      <w:r>
        <w:t>30 Public information available on the Public Sector Contracting Portal: https://contrataciondelestado.es/wps/portal/!ut/p/b0/04_Sj9CPykssy0xPLMnMz0vMAfIjU1JTC3Iy87KtUlJLEnNyUuNzMpMzSxKTgQr0w_Wj9KMyU1zLcvQjzSs9nFPDzFOD8vJL00wSnfy1ywJzAm1t9Qtycx0B8IT7Nw!!/</w:t>
      </w:r>
    </w:p>
    <w:p>
      <w:r>
        <w:t>According to the information provided by AEMET in response to the information request of February 1, 2019 (folios 1785 to 1786), there are no significant differences between the 2014 tender and that of 2018. While the technical specifications of the 2018 tender are more demanding than those of 2014, the dominant part of the requested services, which are related to the maintenance of the SOR network, is practically the same.</w:t>
      </w:r>
    </w:p>
    <w:p>
      <w:r>
        <w:t>For all these reasons, this Chamber considers it proven that TELVENT had sufficient capacity to individually participate in the contract in question.</w:t>
      </w:r>
    </w:p>
    <w:p>
      <w:r>
        <w:t>C) On the capacity of ADASA</w:t>
      </w:r>
    </w:p>
    <w:p>
      <w:r>
        <w:t>Regarding the economic-financial resources, the allegation by ADASA that its financial difficulties prevented it from undertaking the tendered contract in 2014 alone must be rejected.</w:t>
      </w:r>
    </w:p>
    <w:p>
      <w:r>
        <w:t>As noted with TELVENT, both companies had agreed to exchange sponsorship letters from their parent companies. In the case of ADASA, the sponsorship came from COMSA (folio 1226). This implies that ADASA had the financial support of its parent company, which, at the end of 2013, had refinanced its debt amounting to nearly 930 million euros, with its president stating that this allowed the group to cover the needs of the medium-term business plan (folios 2689 to 2691). In folio 1126, TELVENT itself, when assessing the risks of presenting itself with ADASA, mentions the financial support from COMSA.</w:t>
      </w:r>
    </w:p>
    <w:p>
      <w:r>
        <w:t>Finally, regarding this issue, it should be noted that ADASA participated during that period in numerous public contracts, some of significant size, whether individually or in a joint venture31.</w:t>
      </w:r>
    </w:p>
    <w:p>
      <w:r>
        <w:t>It is worth highlighting contract 98003689 from 2014, in which ADASA was not awarded, but submitted an individual offer amounting to 723,000 euros. This indicates that the financial risk that ADASA intended to assume for the supply contract, with a budget amount of 868,109 euros and a duration of 6 months, is not far from what it could have assumed had it presented itself alone for the 2014 contract for which it submitted a joint venture with TELVENT, whose budget was higher, but was distributed over 2 annual installments of 1,089,290 euros each year (folios 253 and 254).</w:t>
      </w:r>
    </w:p>
    <w:p>
      <w:r>
        <w:t>Furthermore, it should be noted that according to folio 2452 of the file, in 2014 ADASA's revenues were 13,355,000 euros, which was above the years 2016, 2017, and 2018, indicating that the company's activity in that year was considerable.</w:t>
      </w:r>
    </w:p>
    <w:p>
      <w:r>
        <w:t>Regarding the technical equipment necessary for the provision of the service, ADASA itself admits that it had 50% of the necessary equipment to carry out the tendered contract and also acknowledges in its written allegations that it acquired the equipment from AFC at an attractive price, although without indicating the date. This, combined with the fact that the economic-financial situation allowed for the continued development of medium-term projects, leads to the rejection of the allegation that lacking the total necessary equipment before the tender determined ADASA's inability to bid alone.</w:t>
      </w:r>
    </w:p>
    <w:p>
      <w:r>
        <w:t>Regarding human resources, ADASA has indicated that it did not have profiles with experience, training, and availability to cover alone the positions and personnel necessary to carry out the activities demanded by the tender's bases. Additionally, the aforementioned company indicates that the economic, financial, and labor measures it was experiencing led to the directive, both from the company and the group to which it belongs, to refrain from making investments or increasing the workforce.</w:t>
      </w:r>
    </w:p>
    <w:p>
      <w:r>
        <w:t>However, as demonstrated in this section, the economic resources available to ADASA were sufficient to undertake the hiring of the additional personnel it needed to be able to carry out the contract alone.</w:t>
      </w:r>
    </w:p>
    <w:p>
      <w:r>
        <w:t>In folio 2,472 of the file, there is a list of personnel deemed necessary by ADASA to ensure the required permanent service level in the contract specifications. Of the 20 technicians on the list, half were made available by ADASA itself, so it only needed to have another 10 workers, a number perfectly manageable for a company of ADASA's stature.</w:t>
      </w:r>
    </w:p>
    <w:p>
      <w:r>
        <w:t>It is also noteworthy that ADASA already had qualified technical profiles, as AFC Ingenieros pointed out in folio 1,824, in the 2010 contract in which it participated in a joint venture with ADASA, AFC's contribution for this contract was limited to a series of local technicians in some areas, to carry out the tasks required.</w:t>
      </w:r>
    </w:p>
    <w:p>
      <w:r>
        <w:rPr>
          <w:b/>
        </w:rPr>
        <w:t>[Pages 40–42]</w:t>
      </w:r>
    </w:p>
    <w:p>
      <w:r>
        <w:t>carrying out "low technical profile maintenance tasks (voltage drops, or very basic things)" so finding that necessary worker profile to complete the workforce should not have posed an obstacle to participating alone in the tender.</w:t>
      </w:r>
    </w:p>
    <w:p>
      <w:r>
        <w:t>SCHNEIDER itself, on page 2268 of the file, confirms that "ADASA already had a network of technical groups, with qualified personnel, with national coverage that allowed it to meet the high demands of the 2014-2018 tender regarding response capacity to faults for the various AEMET radars distributed throughout the national territory."</w:t>
      </w:r>
    </w:p>
    <w:p>
      <w:r>
        <w:t>Therefore, from the perspective of the personnel necessary to undertake the contract, it can be concluded that ADASA also had sufficient capacity.</w:t>
      </w:r>
    </w:p>
    <w:p>
      <w:r>
        <w:t>Finally, it should be noted again that at the end of 2018, once the proceedings in this file had begun, a new tender was carried out for the hiring of the same service, to which ADASA, AFC INGENIEROS, ATOS, and CIRRUS separately submitted bids (page 1679). The awarded contract was given to ADASA, for an amount of €1,351,948, with the base budget of the tender being €2,003,00032. According to the information provided by AEMET in response to the information request of February 1, 2019 (pages 1785 to 1786), there are no significant differences between the 2014 tender and the 2018 tender.</w:t>
      </w:r>
    </w:p>
    <w:p>
      <w:r>
        <w:t>D) Conclusion</w:t>
      </w:r>
    </w:p>
    <w:p>
      <w:r>
        <w:t>The analysis carried out in this section reveals a lack of rationality from the perspective of business strategy in the associative agreement, given that both companies had or were in a position to have sufficient capacity to undertake the contract alone or, if necessary, through the required subcontracting, as is usually the case in public contracts of this magnitude.</w:t>
      </w:r>
    </w:p>
    <w:p>
      <w:r>
        <w:t>It is not justified that TELVENT, which has an express acknowledgment in the file regarding its sufficiency to undertake the contract alone, and ADASA, which also had sufficient capacity, agreed to a joint venture without obtaining any benefit in return, since, from a strategic point of view, sharing the contract represented a considerable reduction in the tangible and intangible benefits derived from its execution. Therefore, this Chamber considers that the companies agreed on a distribution strategy that should go beyond this contract and that would yield them benefits sufficient to compensate for having to share it. Evidence of this is that in 2017 the companies again agreed on the distribution of another contract tendered by AEMET in percentages identical to those agreed upon in the 2014 joint venture agreement.</w:t>
      </w:r>
    </w:p>
    <w:p>
      <w:r>
        <w:t>Thus, this Chamber considers that the joint venture is not based on criteria of economic reasonableness and nothing justified participating in association for the aforementioned contract except that, as already mentioned, all of this was part of an agreement whose objective was to illegally share the contract through an instrument, such as the joint venture, that allowed the companies to present an appearance of legality.</w:t>
      </w:r>
    </w:p>
    <w:p>
      <w:r>
        <w:t>4.3. On the qualification of the conduct</w:t>
      </w:r>
    </w:p>
    <w:p>
      <w:r>
        <w:t>The DC has classified the investigated conduct as a single and continuous infringement constituting a cartel, consisting of an agreement between competing companies for market sharing and price fixing.</w:t>
      </w:r>
    </w:p>
    <w:p>
      <w:r>
        <w:t>Articles 1 of the LDC and 101 of the TFEU prohibit agreements between competing companies that have as their object, produce, or may produce the effect of preventing, restricting, or distorting competition in the relevant market.</w:t>
      </w:r>
    </w:p>
    <w:p>
      <w:r>
        <w:t>Among the specific practices prohibited by both articles, it is worth mentioning, for the purposes of this resolution, market sharing and price agreements between competitors.</w:t>
      </w:r>
    </w:p>
    <w:p>
      <w:r>
        <w:t>On the other hand, the fourth additional provision of the LDC defines cartel conduct as that consisting of any agreement or concerted practice between two or more competitors whose objective is to coordinate their competitive behavior in the market or influence the parameters of competition through practices such as, among others, the fixing or coordination of purchase or sale prices or other commercial conditions, even in relation to intellectual and industrial property rights; the allocation of production or sales quotas; the sharing of markets and customers, including collusion in tenders, restrictions on imports or exports, or measures against other competitors contrary to competition33.</w:t>
      </w:r>
    </w:p>
    <w:p>
      <w:r>
        <w:t>In light of all the above, this Chamber confirms the qualification made by the DC in its proposed resolution and considers that the conduct analyzed in the previous sections deserves the qualification of infringement of Article 1 of the LDC and 101 of the TFEU constituting a cartel.</w:t>
      </w:r>
    </w:p>
    <w:p>
      <w:r>
        <w:t>DTN has stated in its allegations that the establishment of a single joint venture in relation to a single tender for the maintenance of the SOR cannot in itself constitute a cartel in the market for the maintenance of radars and related equipment and the supply of spare parts for radars.</w:t>
      </w:r>
    </w:p>
    <w:p>
      <w:r>
        <w:t>On the contrary, this Chamber considers that we are faced with the presence of agreements for market sharing and price fixing between competing companies regarding at least two contracts, which have been adopted in secret. There is a clear interest on the part of the companies to conceal their anti-competitive objectives from the administration and the rest of the market, which is why they have used an apparently lawful associative agreement or resorted to the practice of covert cover bids, all with the aim of presenting an appearance of competitive normality that does not correspond to the reality shown by the facts. Evidence of this is that in the established facts there is an express reference to the existence of a verbal agreement for the sharing of the 2017 contract, a matter that highlights the precautions taken by the companies to avoid leaving a trace of their agreements.</w:t>
      </w:r>
    </w:p>
    <w:p>
      <w:r>
        <w:t>All of this constitutes an infringement of Article 1 of the LDC and 101 of the TFEU consisting of the adoption of agreements aimed at restricting competition in the markets defined in this resolution.</w:t>
      </w:r>
    </w:p>
    <w:p>
      <w:r>
        <w:t xml:space="preserve">National and European Union jurisprudence has indicated that certain forms of collusion between companies can be considered, by their very nature, harmful to the proper functioning of the normal game of competition. This type of agreement, such as those analyzed in this resolution, are </w:t>
        <w:br/>
        <w:t>33 Text introduced by Royal Decree-Law 9/2017, of May 26. The previous definition referred to any secret agreement between two or more competitors whose object is price fixing, production or sales quotas, market sharing, including fraudulent bidding, or the restriction of imports or exports.</w:t>
      </w:r>
    </w:p>
    <w:p>
      <w:r>
        <w:rPr>
          <w:b/>
        </w:rPr>
        <w:t>[Pages 43–45]</w:t>
      </w:r>
    </w:p>
    <w:p>
      <w:r>
        <w:t>per se harmful to the market and can hardly be considered as minor infringements34.</w:t>
      </w:r>
    </w:p>
    <w:p>
      <w:r>
        <w:t>Notwithstanding that we are dealing with an infringement by object, the effects of the infringement are evident, given that the expressed objective of colluding on the analyzed contracts was to reduce the competitive environment and thus obtain a greater benefit from the contract by offering a higher price than would have resulted had they submitted separately. It has already been indicated, for example, that the bid reduction presented by the joint venture for the 2014 contract was 1.51%, a figure that contrasts with the contracts from 2010, where the reduction was 30%35, and that of 2018, where the reduction of the winning bid (excluding taxes) presented by ADASA was 30.2% (folio 1997). Regarding the 2017 contract, although the companies were not ultimately awarded the contract, the agreement reached to divide it reduced competition in the bidding between the two companies and consequently, this could have affected the final award price of the contract.</w:t>
      </w:r>
    </w:p>
    <w:p>
      <w:r>
        <w:t>Price is one of the variables that the parties use to differentiate themselves from the other bidders in the tender, and the lack of competition in the analyzed public tenders has resulted in an increase in the price of contracts that would not have occurred otherwise, with the consequent impact on the public interest. In this regard, the Chamber has already recalled in previous resolutions36 what was stated by the CNC, “the arguments put forward by some companies that this type of collusion does not significantly affect consumers or that in its absence the outcome would have been the same are unacceptable. Few infringements can harm so much and to such a broad base. By implying a higher cost of the tender and, with it, a greater budget burden, it is affecting nothing less than all taxpayers.” (RCNC of October 19, 2011, Expte. S/0226/10, Road Tenders).</w:t>
      </w:r>
    </w:p>
    <w:p>
      <w:r>
        <w:t>The National Court has adopted that same reproach, emphasizing that “regarding proportionality, we must consider the significant impact on the public interest, the concertation we are examining altered the prices of the public tenders funded by public funds[...]. Furthermore, the conduct evaded the administrative rules that guarantee transparency in public procurement and the accuracy in selecting the most advantageous bid, and directly aimed to prevent its application” (SAN of May 16, 2014, appeal no. 643/2011).</w:t>
      </w:r>
    </w:p>
    <w:p>
      <w:r>
        <w:t>Therefore, the infringement analyzed here has allowed the companies to benefit by being able to offer a higher price and has harmed the administration – and, consequently, all taxpayers – by having to bear a higher cost for the execution of the contract.</w:t>
      </w:r>
    </w:p>
    <w:p>
      <w:r>
        <w:t>The facts deserve the qualification of a very serious infringement under 62.4.a) of the LDC consisting of cartel agreements between competing companies. Likewise, as will be seen later in the section responding to the allegations, the exemption of Article 1.3 of the LDC and Article 101.3 of the TFEU cannot be considered applicable to the alleged infringement, as the necessary requirements for this have not been proven.</w:t>
      </w:r>
    </w:p>
    <w:p>
      <w:r>
        <w:t>4.4. On the unique and continuous nature of the infringement</w:t>
      </w:r>
    </w:p>
    <w:p>
      <w:r>
        <w:t>DTN states in its allegations that it cannot be appreciated in the present case a "plurality of acts" that can be considered as a unique and continuous infringement, since only a single joint venture is being investigated. According to the aforementioned company, neither this joint venture has been renewed by the parties nor has the DC found any other indication of infringement in the investigated market. At most, therefore, one would have to consider an infringement consisting of the signing of an agreement through which a joint venture is established. This agreement would have a duration of four years that could not be terminated by the parties since the parties could not oppose the extensions, which are unilaterally decided by the Administration. This Chamber cannot share DTN's allegations.</w:t>
      </w:r>
    </w:p>
    <w:p>
      <w:r>
        <w:t>There is abundant jurisprudence, both national and from the European Union, indicating that the attribution of a unique and continuous infringement must be preceded by the concurrence of the following requirements37: i) that the conduct is due to the existence of a plurality of acts carried out by the same responsible subjects, close in time, and that obey a homogeneous practice in the modus operandi through the use of similar measures, instruments, or techniques of action; ii) that the actions of those responsible occur in execution of a previously conceived plan; iii) that there is unity of the legal provision violated so that the legal good harmed is coincident, of the same or similar nature.</w:t>
      </w:r>
    </w:p>
    <w:p>
      <w:r>
        <w:t>The duration of this infringement, which includes the agreements to divide two contracts, would cover, at least, from September 8, 2014, the date of the submission of the joint bid for contract number 98003929 (folio 329), until the end of the contract award for the project, after the passage of the two extensions made, that is, December 11, 2018 (folios 250 to 589).</w:t>
      </w:r>
    </w:p>
    <w:p>
      <w:r>
        <w:t>The conduct that constitutes the infringement has a single purpose, the division between ADASA, TELVENT, and their successors SCHNEIDER and CIRRUS, of contracts tendered by AEMET in the markets defined in this resolution. Therefore, there is identity of subjects and of the objective pursued by the parties.</w:t>
      </w:r>
    </w:p>
    <w:p>
      <w:r>
        <w:t>Regarding the modus operandi chosen by the parties to divide both contracts, it is observed how the companies are able to adapt to the circumstances surrounding each tender to maintain their alliances from 2014. If in 2014, the parties decided to instrumentalize the illicit agreement through the establishment of a joint venture, in 2017, the fact that the contract was of a considerably lower amount forced the companies to adapt their strategy and make use of previously agreed cover bids.</w:t>
      </w:r>
    </w:p>
    <w:p>
      <w:r>
        <w:t>In any case, whatever the strategy at each moment, the companies maintained the agreed division percentages from 2014, as demonstrated by the email contained in folios 777 and 778 of this file in which the following is indicated: “3) The profit is estimated at about 2 KEur that we will divide at 60/40 as formalized in the joint venture. […]”</w:t>
      </w:r>
    </w:p>
    <w:p>
      <w:r>
        <w:t>The above demonstrates the existence of a single objective and a continuity in the alliances between the companies for illicit purposes, and whose origin, at least from the evidentiary point of view, must be set in 2014. Therefore, the time span between both contracts is not, in this file, a factor that allows considering the continuity of the conduct broken, especially if we take into account that the duration of the 2014 contract, and therefore, the agreement to divide this contract, extended until 2018.</w:t>
      </w:r>
    </w:p>
    <w:p>
      <w:r>
        <w:rPr>
          <w:b/>
        </w:rPr>
        <w:t>[Pages 46–48]</w:t>
      </w:r>
    </w:p>
    <w:p>
      <w:r>
        <w:t>4.5. Analysis of Guilt</w:t>
      </w:r>
    </w:p>
    <w:p>
      <w:r>
        <w:t>Having established and qualified the conduct as contrary to the LDC, Article 63.1 of the LDC conditions the exercise of the sanctioning power regarding fines by the competition authority on the presence of intent or negligence in the infringing subject in the commission of the alleged conduct. Indeed, in the field of sanctioning administrative law38, objective liability for the commission of an infringement is not applicable, as the element of guilt is essential, which implies that the unlawful conduct must be attributable to the passive subject author of the conduct.</w:t>
      </w:r>
    </w:p>
    <w:p>
      <w:r>
        <w:t>Thus, the expression contained in Article 28 of Law 40/2015, of October 1, on the Legal Regime of the Public Sector (LRJSP)39 is interpreted when it establishes that only individuals and legal entities that are responsible for the acts constituting an administrative infringement may be sanctioned, and such responsibility must necessarily be attributed on the basis of intent or fault, understood as the lack of due diligence to avoid a foreseeable and avoidable unlawful result.</w:t>
      </w:r>
    </w:p>
    <w:p>
      <w:r>
        <w:t>This Chamber considers that it has been established that the companies responsible for the infringement knew and were aware of the unlawfulness of the conduct carried out. The objective expressed by the companies is to reduce competition in the market to obtain greater profit from the administration (folios 963, 964, and 971). Furthermore, there is a clear intention to conceal these agreements from the contracting administration and the market in general. The instrumentalization of the joint venture and the submission of cover bids by the companies are mechanisms aimed at simulating competition in public procurement and are therefore carried out without the knowledge of the contracting administration and the other bidding companies that are not part of the agreements.</w:t>
      </w:r>
    </w:p>
    <w:p>
      <w:r>
        <w:t>In the proven facts corresponding to the contract distribution agreement of 2017, it is even stated that there is a verbal agreement among the companies, which clearly demonstrates an intention to keep the collusive intent secret. All these factors lead to the conclusion that the companies knew that their actions could not be in accordance with the most basic rules of fair competition among competitors, hence it is appropriate to consider the presence of the volitional element of the conduct by the companies.</w:t>
      </w:r>
    </w:p>
    <w:p>
      <w:r>
        <w:t>4.6. Authorship and Responsibility</w:t>
      </w:r>
    </w:p>
    <w:p>
      <w:r>
        <w:t>A) ADASA</w:t>
      </w:r>
    </w:p>
    <w:p>
      <w:r>
        <w:t>ADASA is the author and responsible for the infringement due to its participation in the distribution agreements of both contracts. The start of its participation can be set in September 2014 and the end in December 2018, with the conclusion of the contract signed in 2014.</w:t>
      </w:r>
    </w:p>
    <w:p>
      <w:r>
        <w:t>B) SCHNEIDER</w:t>
      </w:r>
    </w:p>
    <w:p>
      <w:r>
        <w:t>It is fully accepted by the jurisprudence of the European Union40, Spanish law, and the precedents of the CNMC41, that an infringement of competition rules can be attributed to the economic successor of the legal entity that committed it, in order to ensure that the useful effect of such rules is not compromised due to changes made in the corporate structures of the companies. The National Court has stated that when there is no legal entity to which responsibility for the infringement involving the transferred assets can be attributed because the former owner has ceased to exist legally, the principles of effectiveness and efficiency of Articles 101 and 102 of the TFEU entail the application of the principle of economic continuity, and responsibility for the infringement is transferred to the successor company42.</w:t>
      </w:r>
    </w:p>
    <w:p>
      <w:r>
        <w:t>This doctrine has been confirmed by the Supreme Court (Judgment of December 16, 2015, appeal 1973/2014) stating the following: “(...) the criterion that must prevail when determining economic responsibilities in the succession of companies is that of the permanence of an economic and business entity or, in other words, the substantial identity between successive companies. The modulation of the principles of guilt and responsibility will depend on whether a partial break in economic and business continuity between successive companies is established, but not necessarily by the mere fact that there has been a reorganization, a change of name, or the acquisition of the company by another, that is, by a change of ownership. Otherwise, as rightly argued by the State Attorney, it would lead to the discretionary evasion of responsibilities by a commercial company proceeding with any of the aforementioned modifications.”</w:t>
      </w:r>
    </w:p>
    <w:p>
      <w:r>
        <w:t>SCHNEIDER is the economic successor of TELVENT (folios 635 and 1950-1951) and must therefore assume responsibility for the authorship of the infringement committed by TELVENT until June 2016. Furthermore, it is appropriate to attribute personal responsibility from June 2016 to February 2017, at which point the assets related to the maintenance of this type of installations were transferred to CIRRUS (folios 635 and 1950-1951).</w:t>
      </w:r>
    </w:p>
    <w:p>
      <w:r>
        <w:t>In summary, SCHNEIDER is responsible for the infringement from September 2014 to February 2017. The aforementioned company has maintained throughout the proceedings that it cannot be held responsible, as the successor of TELVENT, for not currently being the owner of the material and human elements that participated in the infringement, as these have been transferred to CIRRUS, and therefore this latter should be responsible.</w:t>
      </w:r>
    </w:p>
    <w:p>
      <w:r>
        <w:t>However, in this case, SCHNEIDER is the successor of TELVENT and has not ceased to exist, so attributing responsibility for the period attributable to TELVENT is consistent with the cited jurisprudence. The Judgment of the General Court of December 14, 2006 (case T-259/02) included in SCHNEIDER's allegations states that (emphasis added):</w:t>
      </w:r>
    </w:p>
    <w:p>
      <w:r>
        <w:t>325 On the contrary, when, between the moment the infringement was committed and the moment the company in question must respond for it, the person responsible for the operation of that company has ceased to exist legally, it is necessary to first locate the set of material and human elements that participated in the commission of the infringement.</w:t>
      </w:r>
    </w:p>
    <w:p>
      <w:r>
        <w:rPr>
          <w:b/>
        </w:rPr>
        <w:t>[Pages 49–51]</w:t>
      </w:r>
    </w:p>
    <w:p>
      <w:r>
        <w:t>offense, in order to, at a second moment, identify the current responsible party for the operation of that set, in order to prevent that, as a consequence of the disappearance of the person responsible for its operation at the time the offense was committed, the company may not be held liable for it (judgment Limburgse Vinyl Maatschappij and others/Commission, cited in paragraph 285 above, paragraph 953).43 The judgment of the Court of First Instance of September 30, 2009, in case T-161/05, whose paragraph 64 is reproduced literally below, states the following (emphasis added): “In any case, attributing to the new holder an offense committed by the previous one is a possibility that the case law recognizes for the Commission under certain circumstances, and not an obligation, particularly in cases like the present one, where the initial holder who committed the offense still exists legally and economically (in the sense of the judgment ETI and others, previously cited, paragraph 40). Furthermore, in the present case, there is no risk that the company that committed the offense will evade sanctions (see paragraph 51 above), a risk that the principle of economic continuity seeks to combat, since Hoechst continues to exist both legally and economically.” In similar terms, the Court of First Instance also ruled in its judgment of December 13, 2012 (case T-103/08, paragraph 97)44 in which it cites the conclusions of Advocate General Melchior Wathelet presented on September 4, 2014, in case C 434/13 P (Parker), in which it states that “from the case law of the Union, it follows that the Commission could choose between holding either the economic predecessor or the economic successor, or both jointly, responsible for the infringing behavior.” In the case at hand, and as already noted, SCHNEIDER, by integrating TELVENT, assumed the responsibilities of the latter that may arise from the breach of competition rules. Therefore, in its capacity as an economic successor that has not been extinguished, it must be considered responsible for the infringement committed by its predecessor. Likewise, SCHNEIDER has been able to benefit from the profits and the increase in the value of the company that may have arisen from the alleged practice.</w:t>
      </w:r>
    </w:p>
    <w:p>
      <w:r>
        <w:t>C) CIRRUS (currently DTN SERVICES AND SYSTEMS SPAIN, S.L)</w:t>
      </w:r>
    </w:p>
    <w:p>
      <w:r>
        <w:t>In February 2017, the part of SCHNEIDER's business coming from TELVENT related to radars and weather stations was integrated into CIRRUS, with the employees of the SCHNEIDER group linked to this business also being incorporated. According to the information provided by the representatives of the SCHNEIDER COMPANIES, CIRRUS was created as a vehicle company in order to integrate the business related to radars and weather stations that were carried out by the companies of the TELVENT GROUP, which were part of the SCHNEIDER GROUP (folios 635, 1950-1951). In May 2017, it was acquired by the entity TBG HOLDINGS DTN B.V. Therefore, CIRRUS is considered personally responsible for this market allocation in which it has actively participated from February 2017 until December 2018. In January 2019, CIRRUS changed its corporate name to DTN SERVICES AND SYSTEMS SPAIN, S.L (folio 1964). In relation to this accusation, DTN has stated that it did not actively participate in any infringement of competition regulations, limiting itself to executing the contract with AEMET signed by TELVENT as it was legally obliged to do so. Furthermore, regarding the 2017 contract, the aforementioned company indicates that CIRRUS's personal responsibility cannot be declared in the present case since the conduct investigated within the framework of the minor tender of 2017 must be considered an integral part of the joint venture itself. This Chamber considers that the infringing period must be considered until the date of termination of the execution and effects of the anticompetitive agreement, which, in this case, coincides with the date of execution of the contract, which ended in December 2018. Within the considered infringing period, CIRRUS assumed in February 2017 the ownership of the contract signed in 2014, as well as the rights and obligations arising from the formation of the joint venture and, moreover, far from showing its rejection of the practices sanctioned here, it was an active part of the 2017 agreement that implied an extension of the 2014 pact, so it must be considered an author and responsible for the infringement from February 2017 until the termination of the contract in December 2018. In this regard, it should be noted that CIRRUS's willingness to continue with the conduct is evident in the 2017 allocation agreement, as demonstrated by the email contained in folios 777 and 778 of this file in which CIRRUS appears as one of the participating companies (see section 2 of the established facts). As already noted in this resolution, it follows from this email the clear intention to continue maintaining the allocation agreed upon in 2014: “3) The profit is estimated at about 2 KEur that we will distribute at 60/40 as it is formalized in the joint venture. […]”. This results in clear evidence that in 2017 they decided to extend the agreement adopted in 2014 to the new contract in order to preserve the initially agreed participation percentages by the companies ADASA and TELVENT.</w:t>
      </w:r>
    </w:p>
    <w:p>
      <w:r>
        <w:t>FIFTH. OTHER ALLEGATIONS TO THE PROPOSAL FOR RESOLUTION AND QUESTIONS RAISED IN THE RESOLUTION PHASE</w:t>
      </w:r>
    </w:p>
    <w:p>
      <w:r>
        <w:t>5.1. Allegations regarding defenselessness</w:t>
      </w:r>
    </w:p>
    <w:p>
      <w:r>
        <w:t>A) On the analysis of effects in the PR</w:t>
      </w:r>
    </w:p>
    <w:p>
      <w:r>
        <w:t>DTN considers that the right to defense has been violated by incorporating into the PR an assessment of the effects of the conduct that are not included in the PCH. The aforementioned entity indicates that making an assessment of the effects in the PR that are not included in the instruction phase implies attributing new facts after the closure of the instruction phase, and this constitutes a violation of the legally established procedure and consequently generates defenselessness for it.</w:t>
      </w:r>
    </w:p>
    <w:p>
      <w:r>
        <w:t>Response from the Competition Chamber</w:t>
      </w:r>
    </w:p>
    <w:p>
      <w:r>
        <w:t>As noted in this resolution, given the characteristics of the agreements reached between the companies, it is possible to qualify the conduct as an infringement by object, that is, it has sufficient aptitude to provoke certain</w:t>
      </w:r>
    </w:p>
    <w:p>
      <w:r>
        <w:rPr>
          <w:b/>
        </w:rPr>
        <w:t>[Pages 52–54]</w:t>
      </w:r>
    </w:p>
    <w:p>
      <w:r>
        <w:t>harmful effects in the market in which those agreements occur. The immediate consequence of qualifying an infringement by object is that proof of actual effects contrary to competition is not required. In this regard, the Court of Justice of the European Union45 has stated its position. The fact that the DC has included in its PR an assessment of the effects that the conduct may have caused does not imply, in any way, the introduction of new facts or an expansion of the accusation, and this is so because this type of agreement has the particularity of being anti-competitive in itself and does not require an analysis of effects because it is presumed that they occur. As the Advocate General of the EU pointed out in his conclusions presented on March 27, 2014, in case C-67/13P, “while it would be possible to weigh the possible favorable and unfavorable effects on competition within the framework of the application of Article 81 EC, paragraph 3, it is undeniable that using the concept of object contrary to competition presents a series of advantages, as it simplifies the determination that certain practices of companies have a restrictive effect.” Therefore, in the case of a market-sharing and price-fixing cartel, the DC's assessment of the possible effects that the analyzed conduct may have caused does not alter, in any way, the qualification of the conduct, nor does it imply an alteration of the facts described in the PCH. What the DC has done is to highlight the direct, inherent, and logical consequences that arise from the agreements for the distribution of contracts among companies, describing the reality of the facts with data contained in the file. TELVENT itself, in the evidence presented during the investigation of the case, indicates that the purpose of bidding in partnership with ADASA is to “win the contract at a higher price,” and the logical consequence of this is that the contract becomes more expensive for the administration. In any case, it is worth remembering that it has been the companies themselves that in their allegations to the PCH have introduced the debate on the effects of the conduct46, so it would not be, as DTN claims, a matter introduced “ex novo” by the instructing body.</w:t>
      </w:r>
    </w:p>
    <w:p>
      <w:r>
        <w:t>B) On the denial of extension of the deadline</w:t>
      </w:r>
    </w:p>
    <w:p>
      <w:r>
        <w:t>ADASA claims a violation of its rights due to the denial of the extension of the deadline requested by the aforementioned company to submit allegations to the proposed resolution. According to ADASA, the denial of the extension has unjustifiably and arbitrarily deprived it of the necessary days to adequately prepare its defense and respond to the arguments and calculations of the CNMC.</w:t>
      </w:r>
    </w:p>
    <w:p>
      <w:r>
        <w:t>Response of the Competition Chamber</w:t>
      </w:r>
    </w:p>
    <w:p>
      <w:r>
        <w:t>The regulation of the extension of deadlines in administrative procedures is generally contemplated in Article 32 of Law 39/2015, which applies supplementarily to administrative procedures in the field of competition defense (Article 45 of the LDC). The aforementioned provision grants the Administration the power to grant extensions of the established deadlines, but does not obligate it to do so. Specifically, it states that “The Administration, unless otherwise provided, may grant ex officio or at the request of the interested parties, an extension of the established deadlines, which does not exceed half of them, if circumstances advise it and do not harm the rights of third parties.” From the wording of this article and its connection with the other provisions contained in the aforementioned legal texts regarding procedure, it can be concluded that we are dealing with a strictly discretionary power of the acting administration, whose granting is exceptional. On page 2934, there is the agreement denying the extension of the deadline requested by ADASA, which includes, in a sufficiently detailed manner, the reasons why the DC considered that it was not appropriate to grant the extension at that time. In the opinion of this Chamber, the explanations given by the DC in the aforementioned agreement are sufficient to consider that the duty of motivation required of the public administration in its decision-making has been fulfilled. In any case, the denial of an extension of the deadline cannot imply any defect in the procedure in which it is requested since, for the exercise of the right to allege, the law already establishes a specific deadline that is generally considered pertinent for the interested party to express what is in their interest.</w:t>
      </w:r>
    </w:p>
    <w:p>
      <w:r>
        <w:t>Nor is the violation of rights alleged by ADASA evident. According to the doctrine of the Constitutional Court, which has been repeatedly stated by the CNC Council (among others, Resolutions of February 3, 2009, Expte R/008/08 Transitarios 1, and July 22, 2010, Expte. R/0048/10 Road Bids) and the current Competition Chamber of the CNMC (Resolution of February 20, 2014, Expte R/0160/13 UDER): "The Constitutional Court has established that a violation of rights must be understood as preventing a party in a process or procedure, since the guarantees enshrined in Article 24.1 of the Spanish Constitution are also applicable to sanctioning administrative procedures, the exercise of the right of defense, depriving them of the ability to allege and justify their rights and interests," stating that "the violation of rights implies a limitation of the means of defense caused by the improper action of the corresponding bodies." That is to say, the violation of rights referred to in Article 24.1 CE is only that which produces a real and effective detriment to the right of defense. Therefore, the Constitutional Jurisprudence holds that "there is no violation of rights when there has been the possibility of defending oneself in real and effective terms, or when there has not been an effective and real detriment to the right of defense (STC 71/1984, 64/1986)." The Supreme Court (Contentious Chamber) has specified (in its judgment of February 7, 2007, appeal number 6456/2002) that, in cases of administrative acts, the protection inherent to the fundamental right recognized in Article 24 of the CE only operates in relation to those that have a sanctioning content and can only be invoked regarding definitive acts that, for this reason, have an effective sanctioning content. In the present case, it is evident that the allegation of violation of rights in relation to an act that, as occurs with the denial of an extension of the deadline, is merely procedural, cannot be considered a violation of rights. In the same sense, the judgment of the National Court (Contentious-Administrative Chamber, Section 3) of October 8, 2009, can be cited.</w:t>
      </w:r>
    </w:p>
    <w:p>
      <w:r>
        <w:t>5.2. On the application of Articles 1.3 of the LDC and 101.3 of the TFEU</w:t>
      </w:r>
    </w:p>
    <w:p>
      <w:r>
        <w:t>DTN and SCHNEIDER have been alleging throughout the procedure that, in any case, the requirements for the exemption provided for in Articles 1.3 of the LDC and 101.3 of the TFEU are met.</w:t>
      </w:r>
    </w:p>
    <w:p>
      <w:r>
        <w:rPr>
          <w:b/>
        </w:rPr>
        <w:t>[Pages 55–57]</w:t>
      </w:r>
    </w:p>
    <w:p>
      <w:r>
        <w:t>For the aforementioned companies, the joint venture has clearly contributed to an improvement in the quality of services provided to AEMET and has helped to enhance the competitive landscape of the 2018 tender and reduce the price, enabling TELVENT to submit a competitive bid for the said tender. SCHNEIDER adds that the joint tender allowed for a reduction in response times to faults and a 75% reduction in the number of faults.</w:t>
      </w:r>
    </w:p>
    <w:p>
      <w:r>
        <w:t>Response from the Competition Chamber</w:t>
      </w:r>
    </w:p>
    <w:p>
      <w:r>
        <w:t>The third paragraph of Article 1 of the LDC establishes that the first paragraph shall not apply to agreements, decisions, recommendations, and practices that contribute to improving the production or marketing and distribution of goods and services or to promoting technical or economic progress, without the need for any prior decision to that effect, provided that: a) they allow consumers or users to equitably participate in their benefits; b) they do not impose on the interested companies restrictions that are not indispensable for achieving those objectives; c) they do not allow the participating companies the possibility of eliminating competition regarding a substantial part of the products or services considered. A similar exception is regulated in Article 101.3 of the TFEU.</w:t>
      </w:r>
    </w:p>
    <w:p>
      <w:r>
        <w:t>In relation to this issue, the Guidelines on the application of paragraph 3 of Article 81 (now Article 101 of the TFEU) (2004/C 101/08) state, in paragraph 46, the following:</w:t>
      </w:r>
    </w:p>
    <w:p>
      <w:r>
        <w:t>“Paragraph 3 of Article 81 does not exclude a priori certain types of agreements from its scope. As a principle, all restrictive agreements that meet the four conditions of paragraph 3 of Article 81 may benefit from the exception. In contrast, it is unlikely that serious restrictions of competition will meet the conditions of paragraph 3 of Article 81. Generally, this type of restriction is prohibited in block exemption regulations or is considered particularly serious restrictions in the Commission's guidelines and communications. Generally, agreements of this type do not meet (at least) the first two conditions of paragraph 3 of Article 81. They neither create objective economic benefits nor benefit consumers. For example, a horizontal price-fixing agreement limits production, leading to a misallocation of resources. Furthermore, it transfers value from consumers to producers, as it results in a price increase without any counterbalance for consumers in the relevant market. On the other hand, in general, this type of agreement also does not meet the criterion of being indispensable as contemplated in the third condition” (emphasis added).</w:t>
      </w:r>
    </w:p>
    <w:p>
      <w:r>
        <w:t>Furthermore, in paragraph 51, the Guidelines indicate that “all claimed efficiency improvements must be justified, so that the following points can be verified: a) the nature of the efficiencies; b) the link between the agreement and the efficiencies; c) the probability and significance of each claimed efficiency; and d) how and when each alleged efficiency will be obtained.”</w:t>
      </w:r>
    </w:p>
    <w:p>
      <w:r>
        <w:t>In this case, we are dealing with the type of very serious conduct that the Guidelines themselves consider to be very unlikely to generate objective economic benefits or benefit consumers. Moreover, the companies have not succeeded in justifying the advantages of presenting themselves as a joint venture for the contract in question.</w:t>
      </w:r>
    </w:p>
    <w:p>
      <w:r>
        <w:t>The economic report submitted by the companies, which is found on pages 2560 to 2625, indicates that incidents were significantly reduced during the contract awarded to the joint venture compared to the previous period. However, in Annex I of the aforementioned report, it is clearly observed that incidents decreased considerably from 2011 to 2014, that is, before the creation of the joint venture (from over 500 to 68), while in the period from 2014 to 2018 they remained relatively stable (around 90). In fact, it should be noted that the total incidents recorded in 2014 (the last year of the previous contract), a total of 68, are below the total incidents in each of the years during which the SOR was maintained by the joint venture between ADASA and TELVENT (from 2015 to 2018 they were 97, 103, 93, and 73). Additionally, as the report itself acknowledges, this decrease could be due to the fact that during the period from 2010 to 2014, maintenance activities were primarily corrective, while the subsequent period focused on preventive maintenance.</w:t>
      </w:r>
    </w:p>
    <w:p>
      <w:r>
        <w:t>Regarding the alleged benefits of geographical complementarity, it has already been pointed out that TELVENT itself acknowledges in the internal document described in section 1 of the established facts that what this allowed was to improve margins, without any reference in the said document to improvements in service quality. As stated in this resolution, the improvement of margins only benefits the parties of the joint venture and does not meet the condition that an equitable share of such benefits passes to consumers.</w:t>
      </w:r>
    </w:p>
    <w:p>
      <w:r>
        <w:t>With respect to the allegation that ADASA's competitive advantages (since the Specifications did not contain information about the state of the SOR equipment and the maintenance cost) and the excessive duration of the contract would have determined that the collaboration had the pro-competitive effect of enabling greater competition in the 2018 tender, it should be noted, first of all, that TELVENT provided the service during the 12 years prior to ADASA taking over maintenance, so the latter managed to win the tender in 2010 under worse conditions (in terms of information and experience regarding the SOR) than TELVENT. In fact, in 2006 ADASA did not even submit a bid, as only TELVENT participated. This clearly demonstrates that the presence of these alleged competitive advantages or disadvantages is in no way decisive for the company's ability to submit a bid alone and be awarded the contract.</w:t>
      </w:r>
    </w:p>
    <w:p>
      <w:r>
        <w:t>On the other hand, this Chamber also does not consider that the Automatic Surveillance System determined that TELVENT could not compete alone for the tender. As the economic report itself states, the system was an improvement that companies could include in their bid, not an obligation, and only accounted for a total of 4.5 points out of 100. TELVENT's internal document acknowledged that they had the capacity “to fully meet the technical requirements” and could even “carry out the entire project,” without ever mentioning that they could not handle the development of this System.</w:t>
      </w:r>
    </w:p>
    <w:p>
      <w:r>
        <w:t>Moreover, the economic report also states that “the software that is part of the automatic surveillance system is software developed by the company HYDS at the request of ADASA,” so TELVENT could have commissioned a budget from this or another company to include the cost of its development in its bid. Considering that TELVENT had been awarded the contract until just 4 years before the 2014 tender, and therefore had extensive knowledge of the SOR, with what is specified in Section 4.2.2 of the PPT they could have estimated the cost of developing the system. This is because the Specifications specify in this section that the basic functionality of the surveillance system would consist of:</w:t>
      </w:r>
    </w:p>
    <w:p>
      <w:r>
        <w:t>“(1) detecting unavailability and possible anomalies in radar observation products, (2) collecting alerts automatically generated in the different SOR systems, and (3) analyzing all this information and, depending on its nature and severity, proceeding to send</w:t>
      </w:r>
    </w:p>
    <w:p>
      <w:r>
        <w:rPr>
          <w:b/>
        </w:rPr>
        <w:t>[Pages 58–60]</w:t>
      </w:r>
    </w:p>
    <w:p>
      <w:r>
        <w:t>alarms via email both to the Awardee's own work team and to the AEMET personnel responsible for the operation of the SOR. For administrative purposes, the sent alarm will be equivalent to a fault notification and the time to be considered will be the time of its sending. A record of the issued alarm must remain in the fault notification system. As stated in the PCAP, this improvement will only be valued if it is associated with the commitment of a maximum response time of 1 hour during service hours.”</w:t>
      </w:r>
    </w:p>
    <w:p>
      <w:r>
        <w:t>It cannot be considered that to obtain the contract, TELVENT would have had to resort, as the only alternatives, either to aggressive participation (even if it could mean incurring losses during the first contract), or to participate in a joint venture with ADASA to obtain the necessary information and submit a competitive offer in subsequent calls.</w:t>
      </w:r>
    </w:p>
    <w:p>
      <w:r>
        <w:t>Secondly, regarding the supposedly long duration of the bidding periods (two years extendable for another two), the economic report provided cites a 2014 OECD document47 to justify that this long duration would increase uncertainty about the state of the network and the effects of insufficient maintenance, and would imply a greater risk for potential competitors. However, that document explains that the duration of bidding periods usually ranges from 5 to 30 years, so the duration of the AEMET contract, of 2 years extendable, that is, 4 years in total, cannot be considered excessive. Furthermore, the OECD points out that longer periods (without it being considered that this one is) can have positive consequences as they encourage long-term investments.</w:t>
      </w:r>
    </w:p>
    <w:p>
      <w:r>
        <w:t>Thirdly, regarding the fact that potential competitors, due to the existence of sunk costs, might choose not to participate or to submit non-competitive offers to ensure they do not incur losses in case they are awarded the contract, the report overlooks that there are other possibilities: that the sunk costs are not significant enough to deter them; that potential competitors are not competitive; that the incumbent company does not have advantages in other aspects of the bidding, or that potential competitors are more efficient.</w:t>
      </w:r>
    </w:p>
    <w:p>
      <w:r>
        <w:t>In the specific case of TELVENT and ADASA, as mentioned, the parties involved have not succeeded in proving that the joint venture was necessary. Therefore, this Chamber understands that the exemption of Article 1.3 of the LDC and Article 101.3 of the TFEU cannot be considered applicable to the alleged infringement, as the necessary requirements for this have not been proven.</w:t>
      </w:r>
    </w:p>
    <w:p>
      <w:r>
        <w:t>5.3. On the definition of the affected market</w:t>
      </w:r>
    </w:p>
    <w:p>
      <w:r>
        <w:t>According to DTN, the incorrect analysis carried out by the DC, despite not formally closing the definition, leads to the following consequences:</w:t>
      </w:r>
    </w:p>
    <w:p>
      <w:r>
        <w:t>a) important companies such as VAISALA are removed from the competitive landscape, and certain companies clearly present in it are excluded through the use of excessively narrow market definitions.</w:t>
      </w:r>
    </w:p>
    <w:p>
      <w:r>
        <w:t>b) it excessively limits the geographic scope of the market, consequently increasing the severity and scope of the alleged conduct.</w:t>
      </w:r>
    </w:p>
    <w:p>
      <w:r>
        <w:t>c) it overlooks the interrelationship between the maintenance market and the supply of spare parts. According to DTN, AEMET incorporates spare parts supplies into maintenance contracts and only exceptionally calls for supply tenders. This has very relevant consequences for the analysis of the minor tender for the supply of radio frequency filters tendered in 2017.</w:t>
      </w:r>
    </w:p>
    <w:p>
      <w:r>
        <w:t>d) when describing the market structure, tenders that have nothing to do with the investigated market are identified, leading to erroneous conclusions about the ability of the parties to compete alone in the 2014 tender.</w:t>
      </w:r>
    </w:p>
    <w:p>
      <w:r>
        <w:t>Response from the Competition Chamber</w:t>
      </w:r>
    </w:p>
    <w:p>
      <w:r>
        <w:t>As this Chamber has repeatedly pointed out, it is the companies themselves with their anticompetitive conduct that determine the scope affected by the infringement, being in this case the affected markets those of maintenance of weather radars and related equipment and the supply of spare parts for weather radars, without prejudice to the possibility of defining other markets depending on the different phases of the value chain.</w:t>
      </w:r>
    </w:p>
    <w:p>
      <w:r>
        <w:t>The Supreme Court in its judgment of January 21, 2019 (rec no. 4323/2017), states, citing European Union jurisprudence, that “companies that reach an agreement with an object contrary to competition always pursue a significant restriction of competition, regardless of the importance of their market shares, their volumes of operations, and the existence of other competing companies capable of supplying these products.”</w:t>
      </w:r>
    </w:p>
    <w:p>
      <w:r>
        <w:t>For these purposes, it is pertinent to cite the judgment of the General Court of June 28, 2016, in case T-208/13 (Telefónica-Portugal Telecom): “Thus, within the framework of Article 101 TFEU, paragraph 1, a prior definition of the relevant market is not required when the contested agreement has an anticompetitive object in itself, that is, when the Commission has been able to validly conclude, without prior delimitation of the market, that the agreement in question distorted competition and could significantly affect trade between Member States. In particular, this concerns the most serious restrictions, expressly prohibited by Article 101 TFEU, paragraph 1, letters a) to e) (conclusions of Advocate General Bot presented in the joined cases Erste Group Bank and others/Commission, C-125/07 P, C-133/07 P, C-135/07 P and C-137/07 P, Rec, EU:C:2009:192, paragraphs 168 to 175). If the very object of an agreement is to restrict competition through a ‘market allocation’, it is therefore not necessary to precisely define the markets in question, since real or potential competition has necessarily been restricted (judgment Mannesmannröhren-Werke/Commission, cited in paragraph 150 above, EU:T:2004:218, paragraph 132).”</w:t>
      </w:r>
    </w:p>
    <w:p>
      <w:r>
        <w:t>On the other hand, from the fact that, indeed, as also alleged, companies of different sizes and different degrees of specialization coexist in certain segments of the market, one cannot infer an incorrect definition of the affected markets and consider that the parties involved are not competitors with each other. In fact, as already indicated, manufacturing, installation, and maintenance can be carried out by the same companies. However, and without prejudice to the fact that in this case a market definition is not closed for the reasons stated, the fact that VAISALA could operate in the maintenance sector through an agent does not invalidate the considerations made in the PR. This is because there would be no substitutability on the supply side, as a maintenance company could not easily and in a relatively short time switch to manufacturing radars. There would also be no substitutability on the demand side, as for those who need to maintain a radar, its manufacturing is not a substitute for maintenance.</w:t>
      </w:r>
    </w:p>
    <w:p>
      <w:r>
        <w:rPr>
          <w:b/>
        </w:rPr>
        <w:t>[Pages 61–63]</w:t>
      </w:r>
    </w:p>
    <w:p>
      <w:r>
        <w:t>As for the geographical scope, given that the agreement is national in scope, it is clear that the affected market must have that geographical scope. In this regard, as already indicated in this resolution, the need to have specialized human resources located at a short distance from the radar to be maintained corroborates the consideration that we are in a national market.</w:t>
      </w:r>
    </w:p>
    <w:p>
      <w:r>
        <w:t>5.4. On the impact on trade within the European Union</w:t>
      </w:r>
    </w:p>
    <w:p>
      <w:r>
        <w:t>DTN considers that the analysis carried out by the DC is manifestly insufficient to determine whether the investigated conduct could affect trade within the European Union, in accordance with the provisions of the Guidelines on the concept of effect on trade between Member States and European and national jurisprudence. Consequently, Article 101 of the TFEU should not be applicable in this case.</w:t>
      </w:r>
    </w:p>
    <w:p>
      <w:r>
        <w:t>Response from the Competition Chamber</w:t>
      </w:r>
    </w:p>
    <w:p>
      <w:r>
        <w:t>Cartels that cover the entire national territory are likely to affect the market within the European Union, especially if the conduct can generate a reduction in competitive dynamics or the exclusion of third competitors. In particular, if these behaviors tend to compartmentalize a national market and differentiate it from the markets of other Member States, there is usually an impact on trade within the European Union.</w:t>
      </w:r>
    </w:p>
    <w:p>
      <w:r>
        <w:t>In this sense, the European Commission Guidelines regarding the concept of effect on trade contained in Articles 81 and 82 of the Treaty [current Articles 101 and 102 of the TFEU], in paragraph 78, state the following:</w:t>
      </w:r>
    </w:p>
    <w:p>
      <w:r>
        <w:t>“In principle, horizontal cartels that cover an entire Member State can affect trade between Member States. Community courts have held in several judgments that agreements covering the integrity of the territory of a Member State produce by their very nature the effect of consolidating the compartmentalization of markets on a national scale, preventing the economic penetration that the Treaty seeks to achieve48.”</w:t>
      </w:r>
    </w:p>
    <w:p>
      <w:r>
        <w:t>48 Judgments of the CJEU of 11.07.1989, Case Belasco, 21.01.1999, Case Bagnasco, and 19.02.2002, Case Wouters.</w:t>
      </w:r>
    </w:p>
    <w:p>
      <w:r>
        <w:t>In this case, moreover, the conduct is carried out by the main companies in the market, as indicated by TELVENT itself in the documentation collected by the DC. Finally, it should be noted that, in this market, companies from other Member States operate and that the analyzed conduct could hinder or exclude the entry of operators from European Union countries that may be interested in entering the Spanish market.</w:t>
      </w:r>
    </w:p>
    <w:p>
      <w:r>
        <w:t>5.5. On the inspections carried out by the DC</w:t>
      </w:r>
    </w:p>
    <w:p>
      <w:r>
        <w:t>DTN considers that the inspections carried out in the framework of this case incurred serious irregularities that prevent the incorporation into the case file of the documentation collected at the SCHNEIDER headquarters and on which the DC exclusively bases the evidence against DTN. Specifically, the aforementioned company claims that the DC did not have evidence justifying the conduct of the inspections that led to the initiation of this case. It also considers that the Investigation Order is drafted in excessively broad terms and does not sufficiently delimit the object, purpose, and territorial scope of the investigation.</w:t>
      </w:r>
    </w:p>
    <w:p>
      <w:r>
        <w:t>On the other hand, regarding the second inspection, DTN considers that it cannot be validly based on Article 27 of Law 3/2013. This provision cannot be used as a basis for conducting a second inspection, following the first, but outside its scope and at the headquarters of the CNMC itself. DTN argues that the Law does not contemplate the possibility that, within the framework of an inspection, an investigated company provides documentation not available during the first inspection at a later time, for review at the CNMC headquarters.</w:t>
      </w:r>
    </w:p>
    <w:p>
      <w:r>
        <w:t>Response from the Competition Chamber</w:t>
      </w:r>
    </w:p>
    <w:p>
      <w:r>
        <w:t>As stated in the case file, on January 15, 2018, a letter was received in the Competition Directorate from the General Directorate of the Catalan Competition Authority (ACCO), informing of the complaint from the Meteorological Service of Catalonia (METEOCAT) against MCV, S.A., ADASA Sistemas, S.A.U. (ADASA), and the UTE ADASA Sistemas S.A.U.-MCV S.A. for practices that could constitute an infringement of the LDC, consisting of submitting similar economic offers in the bidding for the contracting of radars and meteorological stations in the Catalan territory, as well as their monitoring and maintenance, with two or three companies regularly participating in the same, two of them in a Temporary Union of Companies (UTE).</w:t>
      </w:r>
    </w:p>
    <w:p>
      <w:r>
        <w:t>In response to this letter, the DC conducted an analysis of the bids subject to the complaint filed by METEOCAT, in addition to other similar bids whose contracting body was AEMET. Based on this analysis, the case was assigned to the ACCO49. However, from the analyzed data and the information gathered in an interview held by the DC with AEMET, elements were subsequently detected that could potentially indicate conduct among some companies engaged in the maintenance of meteorological facilities within the scope of AEMET, aimed at dividing the market, which could constitute a practice prohibited by Article 1 of the LDC.</w:t>
      </w:r>
    </w:p>
    <w:p>
      <w:r>
        <w:t>Specifically, as stated in the initiation agreement of this procedure (pages 1-2), it was detected that, at least, in a national bidding process in 2014, extended until December 2018, and managed by AEMET in the market for the maintenance of meteorological facilities, ADASA was awarded the contract, forming a UTE with the company TELVENT. Based on the information gathered by the DC, the decision was made to conduct inspections at the companies' headquarters, including SCHNEIDER.</w:t>
      </w:r>
    </w:p>
    <w:p>
      <w:r>
        <w:t>The purpose of the inspection, as indicated in the investigation order found on pages 613 to 616, was to verify the existence of actions by various companies in the sector of installation, maintenance, and supply of meteorological facilities and radar systems in Spain, which could constitute restrictive practices prohibited by Article 1 of the LDC, consisting of agreements or coordinated practices for market sharing, among other means, through joint participation with other companies in national bids framed within the scope of installation, maintenance, and supply services for meteorological facilities and radar systems in Spain.</w:t>
      </w:r>
    </w:p>
    <w:p>
      <w:r>
        <w:t>49 Case 94/2018, Meteorological Bids of Catalonia, in which the Catalan Competition Defense Tribunal adopted a sanctioning resolution dated December 29, 2019 (precedent number 13 of this resolution).</w:t>
      </w:r>
    </w:p>
    <w:p>
      <w:r>
        <w:rPr>
          <w:b/>
        </w:rPr>
        <w:t>[Pages 64–66]</w:t>
      </w:r>
    </w:p>
    <w:p>
      <w:r>
        <w:t>To this end, the corresponding judicial authorization was requested, the order number 155/2018, which agreed to authorize the inspection, justified the measure in the following terms (folios 604 to 612):</w:t>
      </w:r>
    </w:p>
    <w:p>
      <w:r>
        <w:t>“Thus, both the request letter and the Investigation Order of the National Commission on Markets and Competition adequately express the reasons why, in their view, there is reasonable suspicion of the existence of anticompetitive practices in the market related to the installation, maintenance, and supply of meteorological installations and weather radars at the national level. This is as a result of the complaint filed by the entity METEOCAT and the analysis of the documentation provided by the entity AEMET.</w:t>
      </w:r>
    </w:p>
    <w:p>
      <w:r>
        <w:t>In light of this, it must be considered, for the purposes of the limited judgment that corresponds to be made, that the purpose pursued by the measure in question is legitimate, as the base data that leads the CNMC to reasonably consider the existence of an anticompetitive practice that needs to be verified is expressed. It must be concluded that the entry into the premises of the company under investigation is suitable, necessary, and proportionate. It should be noted that such anticompetitive practices constitute a very serious infringement punishable by fines of up to 10% of the total turnover of the infringing company, or in its case, up to 10 million euros, which supports the positive judgment of proportionality in the strict sense, being, ultimately, the present measure necessary and the only possible one to ensure the successful completion of the investigation.”</w:t>
      </w:r>
    </w:p>
    <w:p>
      <w:r>
        <w:t>The described facts demonstrate that the DC had sufficient indications to carry out the aforementioned inspections, indications that were corroborated by the cited judicial inspection order.</w:t>
      </w:r>
    </w:p>
    <w:p>
      <w:r>
        <w:t>In the case of public contracts, one way to obtain additional information may be the search for public and accessible information on contracts tendered in the mentioned market to observe if there was a suspicious coincidence of the same companies in other tenders. Therefore, in this case, after the aforementioned investigation, the DC collected public information regarding tenders in the affected market and considered that this information, along with the information provided by AEMET itself, contained sufficient indications to carry out inspections of the companies.</w:t>
      </w:r>
    </w:p>
    <w:p>
      <w:r>
        <w:t>Regarding the other issue raised by DTN concerning the imprecision of the investigation order, the National Court has indicated that the exercise of inspection powers is conditioned on the existence of an investigation order that allows identifying the companies and the essential elements provided for in Article 13.3 of the RDC, particularly the object and purpose of the inspection. The Judgment states that the administration “is not obliged at that stage to provide more detailed information than is strictly necessary to specify the object, purpose, and scope of the inspection.”</w:t>
      </w:r>
    </w:p>
    <w:p>
      <w:r>
        <w:t>The Judgment itself, to specify the limits of the content of the inspection order, adopts some pronouncements from the courts of the European Union, including those from the Judgment of the Court of First Instance dated March 8, 2007 (case T-339/04) which has clarified that “the Commission is not obliged to communicate to the recipient of an inspection decision all the information it has regarding alleged infringements, nor to precisely delineate the relevant market, nor to make a rigorous legal qualification of such infringements, nor to indicate the period during which they were committed; it must, however, indicate as clearly as possible the indications it intends to verify, namely what is being sought and the elements on which the inspection should focus.”</w:t>
      </w:r>
    </w:p>
    <w:p>
      <w:r>
        <w:t>In this regard, and concerning public tenders, it is worth mentioning the Judgment of the Supreme Court dated June 22, 2015 (cassation appeal 2012/2013), in which the High Court has stated that when an investigation for practices contrary to competition refers, as in this case, to the allocation of public tenders, excessively limiting the object of the investigation is ineffective for detecting the illicit act.</w:t>
      </w:r>
    </w:p>
    <w:p>
      <w:r>
        <w:t>As indicated in the investigation order, it was intended to carry out an inspection at the premises of SCHNEIDER due to its possible participation in anticompetitive agreements and/or concerted practices that constitute a violation of Article 1.1 of the LDC. It identifies the market for the installation, maintenance, and supply of meteorological installations and weather radars in Spain, and describes that the conduct may consist of market sharing, among other means, through joint participation with other companies in national tenders framed within the scope of the services of installation, maintenance, and supply of meteorological installations and weather radars in Spain.</w:t>
      </w:r>
    </w:p>
    <w:p>
      <w:r>
        <w:t>In light of all this, in the opinion of this Chamber, the investigation order in question contained all the basic notes that are legally and jurisprudentially required, identifying the object, purpose, and scope of it, without a precise qualification of the conduct being required, as otherwise, the useful effect of the inspections would be frustrated.</w:t>
      </w:r>
    </w:p>
    <w:p>
      <w:r>
        <w:t>Regarding the allegation that the so-called second inspection would not be covered by Article 27 of the LCNMC, it should be recalled that, as reflected both in the record of the inspection initiated on May 8, 2018 (folio 628 and following), for which judicial authorization was obtained, and in the initiation agreement (folio 792 and following), during this first inspection, backups from certain individuals who were employees of the company TELVENT ENERGÍA, S.A. were requested from SCHNEIDER. Given the impossibility of determining reliably when the requested information could be obtained, the inspection team requested SCHNEIDER that, as soon as it obtained the backups of the computer files, it committed to contact the DC for the inspection of these files at the premises of the company itself or, if applicable, at the CNMC's own premises, which SCHNEIDER voluntarily accepted.</w:t>
      </w:r>
    </w:p>
    <w:p>
      <w:r>
        <w:t>On May 10 and 11, 2018, SCHNEIDER informed the DC (folios 685-686 and 730) that it had the aforementioned information, and subsequent analysis was carried out at the CNMC's premises with the full consent of SCHNEIDER, as unequivocally evidenced by folio 652 in which the aforementioned company “expresses its consent to the inspection being carried out in accordance with what is stated in the aforementioned Order,” dated May 16, 2018. Consequently, the inspection was carried out in accordance with the provisions of Article 27 of Law 3/2013 and Article 40 of the LDC, which stipulate that the exercise of inspection powers will require “the prior express consent of the affected party or, failing that, the corresponding judicial authorization” and that includes within the powers of inspection the verification of documents related to the activity in question in any format.</w:t>
      </w:r>
    </w:p>
    <w:p>
      <w:r>
        <w:t>Finally, regarding the alleged violation of DTN's defense rights for not having communicated the inspection in which the analysis of the information subsequently provided by SCHNEIDER (the backups) was carried out, it should be reiterated that the aforementioned inspection was covered by the</w:t>
      </w:r>
    </w:p>
    <w:p>
      <w:r>
        <w:rPr>
          <w:b/>
        </w:rPr>
        <w:t>[Pages 67–69]</w:t>
      </w:r>
    </w:p>
    <w:p>
      <w:r>
        <w:t>applicable regulations and had the corresponding judicial authorization referred to earlier and the investigation order from the Director of Competition. It is not the responsibility of the CNMC at that procedural moment, prior to the initiation of the procedure, to inform a third party of an inspection carried out at another company, among other reasons, because such action would undermine the effectiveness and utility of the inspection activity. In any case, it should be noted that DTN has been fully aware of the information gathered during the inspection since it is included in the file, so this Chamber does not consider that there has been a violation of the right to defense alleged by the aforementioned company.</w:t>
      </w:r>
    </w:p>
    <w:p>
      <w:r>
        <w:t>5.6. Allegations regarding the proposed sanction</w:t>
      </w:r>
    </w:p>
    <w:p>
      <w:r>
        <w:t>A) Allegations of ADASA</w:t>
      </w:r>
    </w:p>
    <w:p>
      <w:r>
        <w:t>ADASA alleges that the CNMC relies solely on the turnover of the companies in the affected market (VNMA) to determine the degree of participation of each in the conduct. Thus, according to ADASA, the higher the VNMA of a company, the greater its participation in the conduct, ignoring the evidence in the file against the different infringers and without taking into account that it may market other products. In its allegations, it mentions some rulings that state that “to the extent that one of the parties inspires the collusive agreement, promotes it, secures the adherence of other economic agents, monitors its compliance, and 'drags' others along, its authorship carries a special significance that will logically justify a greater sanction than that imposed on the other parties.” ADASA considers that, in accordance with the above, the setting of the sanctioning rates by the DC is erroneous and arbitrary, as it is attributed the highest sanctioning rate, even though there is no evidence against it. Furthermore, it argues that the determination of the sanction is not justified, making it impossible for the parties to know, even indicatively, the method of determining the sanctioning rate and how the figure is specified. Finally, ADASA states that the other companies have not provided turnover figures following the same criteria as it has, which leads to an unfair comparison of figures that do not correspond to the same concepts.</w:t>
      </w:r>
    </w:p>
    <w:p>
      <w:r>
        <w:t>In this regard, it argues that SCHNEIDER and CIRRUS only provided figures for certain months in 2014 and 2018, while ADASA provided complete years. Additionally, according to this company, the other infringers did not include in the figure provided the amount corresponding to all those services subcontracted by the joint ventures, while ADASA did include it. They provide a new VNMA figure calculated according to the criteria followed by the other infringers.</w:t>
      </w:r>
    </w:p>
    <w:p>
      <w:r>
        <w:t>Response of the Chamber</w:t>
      </w:r>
    </w:p>
    <w:p>
      <w:r>
        <w:t>The VNMA of each infringing company is not the only criterion used by the CNMC to individualize the sanctioning rates. Possible evidence that may exist in the file regarding the degree of responsibility of each company is always taken into account. These may be reflected in the fine as an aggravating or mitigating circumstance or in some other way during the individualization phase of the sanctions. However, if the CNMC considers that the degree of responsibility of the infringing companies is similar, the main tool available to individualize the sanction is the duration of each company's participation and the turnover obtained in the affected market during its participation. In this case, it is a bilateral anticompetitive agreement aimed at dividing tenders, therefore the degree of responsibility is very similar among the infringing companies. Likewise, the proportionality adjustment serves to ensure that the sanction is not excessive in relation to the actual dimension of the conduct, especially in the case of multiproduct companies where the affected market corresponds to a very small part of the company's total turnover. Regarding the differences in the sanctioning rate compared to the other infringing companies, it should be noted that ADASA's participation in the conduct is greater than that of the other companies, hence the rate that can be applied to it is also proportionally higher. Finally, the company alleges a lack of justification in the DC's proposed sanction. However, this Chamber considers that the PR dedicates the entire section VII to the detailed explanation of the determination of the amount of the fine it proposes to impose. In that section, it can be observed how the DC, after evaluating the criteria of Article 64.1 of the LDC, sets a general sanctioning rate of 4.5%.</w:t>
      </w:r>
    </w:p>
    <w:p>
      <w:r>
        <w:t>Subsequently, it carries out an individual assessment of the conduct of each company, taking into account the duration of its participation and the turnover in the affected market during that period. From the sum of the general sanctioning rate and the individual sanctioning rate, the total sanctioning rate for each company is obtained, followed by a final proportionality check of the sanctions in euros that would correspond to these sanctioning rates. Therefore, the companies have been able to understand the system that the DC has followed for the determination of the sanctions, considering, moreover, that it has followed the method explained in the CNMC's provisional guidelines on the determination of sanctions52. It is true that the PR does not detail the specific numerical calculation, but this does not prevent the justification from being sufficient. In this regard, the CJEU stated in its Judgment of October 22, 2015 (Case AC-Treuhand/Commission), which establishes the following: “When setting the amount of the fine in the event of a breach of competition rules, the Commission fulfills its obligation to provide reasons when it indicates in its decision the elements of assessment that have allowed it to determine the seriousness of the infringement, as well as its duration, without being obliged to indicate the numerical data relating to the method of calculating the fine.”</w:t>
      </w:r>
    </w:p>
    <w:p>
      <w:r>
        <w:t>B) Allegations of SCHNEIDER</w:t>
      </w:r>
    </w:p>
    <w:p>
      <w:r>
        <w:t>SCHNEIDER points out that it has actively collaborated with the DC in the investigation of the conduct, so the mitigating factor for collaboration in Article 64.3.d) of the LDC should apply. According to the aforementioned company, it voluntarily offered the inspectors the possibility to review at the CNMC's own headquarters the files and emails to which they had not been able to access during the inspection, once these were made available to them by the external providers who safeguard the backups of the files and emails. It also indicates that it kept the CNMC informed at all times about the progress of the recovery and obtaining of the aforementioned files through writings dated May 10 and 11, 2018, ultimately agreeing to review those files at the CNMC headquarters on May 16, 2018.</w:t>
      </w:r>
    </w:p>
    <w:p>
      <w:r>
        <w:rPr>
          <w:b/>
        </w:rPr>
        <w:t>[Pages 70–72]</w:t>
      </w:r>
    </w:p>
    <w:p>
      <w:r>
        <w:t>Response from the Chamber</w:t>
      </w:r>
    </w:p>
    <w:p>
      <w:r>
        <w:t>As reflected in the minutes of the inspection initiated on May 8, 2018 (page 628 and following), for which there was judicial authorization, during this first inspection, SCHNEIDER was requested to provide the computer backups of certain individuals who were employees of the company TELVENT ENERGÍA, S.A. As previously noted, given the impossibility of reliably determining when the requested information could be obtained, the inspection team requested SCHNEIDER to commit to contacting the DC as soon as it obtained the backups of the computer files, for the inspection of these files at the company's premises or, if applicable, at the CNMC's own premises, which SCHNEIDER voluntarily accepted.</w:t>
      </w:r>
    </w:p>
    <w:p>
      <w:r>
        <w:t>On May 10 and 11, 2018, SCHNEIDER informed (pages 685-686 and 730) that it had such information, which was subsequently analyzed at the CNMC's headquarters with the full consent of SCHNEIDER, as unequivocally evidenced by page 652 in which SCHNEIDER "expresses its consent to the inspection in accordance with what is stated in the aforementioned Order," dated May 16, 2018. Consequently, such inspection was carried out in accordance with the provisions of Article 40 of the LDC and Article 27 of Law 3/2013, which stipulate that the exercise of inspection powers requires "the prior express consent of the affected party or, failing that, the corresponding judicial authorization" and that includes within the inspection powers the verification of documents related to the activity in question in any format.</w:t>
      </w:r>
    </w:p>
    <w:p>
      <w:r>
        <w:t>For its part, Article 40 of the LDC itself requires companies to submit to inspections authorized by the Director of Competition. Therefore, SCHNEIDER's actions stem from the company's obligation to submit and cooperate as a consequence of the inspection powers of the DC provided for in Article 40 of the LDC and Article 27 of Law 3/2013. The requested mitigating circumstance cannot be appreciated.</w:t>
      </w:r>
    </w:p>
    <w:p>
      <w:r>
        <w:t>5.7. Confidentiality</w:t>
      </w:r>
    </w:p>
    <w:p>
      <w:r>
        <w:t>The companies have requested confidentiality regarding the information related to the business volume for the year 2019 necessary for the calculation of the sanction. In this regard, this Chamber considers that the aforementioned information, in addition to being public information since it is information that is or will be recorded in the corresponding public registers, is necessary for the calculation of the sanction and reflects compliance with the provisions of Article 63 of the LDC, which conditions the calculation of the same to the percentage of the total business volume of the company from the previous year, therefore, it is not appropriate to declare its confidentiality.</w:t>
      </w:r>
    </w:p>
    <w:p>
      <w:r>
        <w:t>SIXTH. PROHIBITION TO CONTRACT</w:t>
      </w:r>
    </w:p>
    <w:p>
      <w:r>
        <w:t>Articles 71 to 73 of Law 9/2017, of November 8, on Public Sector Contracts (LCSP) establish the regime and procedure for the prohibition to contract for those companies that have been firmly sanctioned, among other reasons, for serious infringement in the area of distortion of competition (Article 71.1.b).</w:t>
      </w:r>
    </w:p>
    <w:p>
      <w:r>
        <w:t>In relation to this issue, it is noted that this resolution, which concludes the sanctioning procedure and against which no administrative appeal can be made, declares the existence of liability of several companies for infringement of Article 1 of the LDC and Article 101 of the TFEU, an infringement that must be classified as a distortion of competition for the purposes of the aforementioned Article 71.1.b) of the LCSP. The duration of the infringement has extended or has been carried out beyond October 22, 2015 (the date on which the provision contemplating this specific case of prohibition to contract came into force53), without prejudice to the different participation of each of the companies in it. Therefore, unlike the interpretation made by DTN, which considers that it does not apply since the conduct began in 2014, all companies are subject to the application of the aforementioned article of the LCSP.</w:t>
      </w:r>
    </w:p>
    <w:p>
      <w:r>
        <w:t>In accordance with Articles 72.2 and 73.3 of the LCSP, the effectiveness of the prohibition to contract requires an express pronouncement on its scope and duration and its subsequent registration in the Official Register of Bidders and Classified Companies of the Public Sector.</w:t>
      </w:r>
    </w:p>
    <w:p>
      <w:r>
        <w:t>This resolution does not address the duration and scope of the prohibition to contract, therefore, it is agreed to send a certification of the same to the State Public Procurement Advisory Board in accordance with the provisions of Article 72.3 LCSP. The above is understood without prejudice to the possibility that this Commission may be consulted or may issue a report on the concurrent circumstances within the framework of said procedure that allow for the adjustment of the duration and scope of the prohibition for each of the affected parties according to their specific participation.</w:t>
      </w:r>
    </w:p>
    <w:p>
      <w:r>
        <w:t>SEVENTH. DETERMINATION OF THE SANCTION</w:t>
      </w:r>
    </w:p>
    <w:p>
      <w:r>
        <w:t>7.1 Criteria expressed by the Supreme Court</w:t>
      </w:r>
    </w:p>
    <w:p>
      <w:r>
        <w:t>The determination of the sanction must conform to the criteria expressed in the Judgment of the Supreme Court of January 29, 2015 (appeal 2872/2013)54 which are, in essence, the following:</w:t>
      </w:r>
    </w:p>
    <w:p>
      <w:r>
        <w:t> The percentage limits provided in Article 63.1 of the LDC must be conceived as the maximum level of a sanctioning range in which the sanctions, depending on the severity of the conduct, must be individualized. Such limits "constitute, in each case, the ceiling of the pecuniary sanction within a scale that, starting from the minimum value, culminates in the corresponding percentage." "These are percentage figures that mark the maximum of the sanctioning rigor for the sanction corresponding to the infringing conduct that, within the respective category, has the highest unlawful density. Each of those three percentages, precisely because of their quality as a ceiling or top of the sanctioning response applicable to the most reprehensible infringement of the possible ones within its category, must serve as a reference to calculate the fine to be imposed on the rest of the infringements from them and downwards."</w:t>
      </w:r>
    </w:p>
    <w:p>
      <w:r>
        <w:t> Regarding the basis on which to calculate the percentage of the fine, which in this case could reach up to 10% for being a very serious infringement, Article 63.1 of the LDC refers to the "total business volume of the infringing company in the fiscal year immediately preceding the imposition of the fine," a concept with which the legislator, as the Supreme Court points out, "has sought to emphasize that the business figure used as the basis for the percentage is not limited to a part but to the 'whole' of that volume."</w:t>
      </w:r>
    </w:p>
    <w:p>
      <w:r>
        <w:t>Based on these premises, it must be concluded that the new determination of the sanction must be specified in a range that runs from zero to 10% of the total business volume of the infringing companies in the fiscal year prior to the issuance of the sanction.</w:t>
      </w:r>
    </w:p>
    <w:p>
      <w:r>
        <w:t>54 Also, in the same sense, the judgments of the High Court of January 30, 2015 (appeals 1476/2014 and 1580/2013), among others.</w:t>
      </w:r>
    </w:p>
    <w:p>
      <w:r>
        <w:rPr>
          <w:b/>
        </w:rPr>
        <w:t>[Pages 73–75]</w:t>
      </w:r>
    </w:p>
    <w:p>
      <w:r>
        <w:t>resolution. Within this sanctioning framework, the fine must be determined in accordance with the grading criteria established in Article 64 of the LDC.</w:t>
      </w:r>
    </w:p>
    <w:p>
      <w:r>
        <w:t>7.2 Criteria for determining the sanction: general assessment of the conduct</w:t>
      </w:r>
    </w:p>
    <w:p>
      <w:r>
        <w:t>This is a single and continuous infringement constituting a cartel, consisting of an agreement between competing companies, on one hand ADASA and on the other TELVENT and subsequently, SCHNEIDER and CIRRUS (currently DTN) as expressed in section 4.6 of this resolution, regarding market sharing and price fixing in the market for maintenance services for weather radars and related equipment and supply of spare parts.</w:t>
      </w:r>
    </w:p>
    <w:p>
      <w:r>
        <w:t>Therefore, this is a very serious infringement (art. 62.4.a of the LDC) that may be sanctioned with a fine of up to 10% of the total turnover of the infringing company in the financial year immediately preceding the imposition of the fine (art. 63.1.c), that is, 2019.</w:t>
      </w:r>
    </w:p>
    <w:p>
      <w:r>
        <w:t>The total turnover of the aforementioned companies for the year 2019 is as follows:</w:t>
      </w:r>
    </w:p>
    <w:p>
      <w:r>
        <w:t xml:space="preserve">Total turnover in </w:t>
        <w:br/>
        <w:t xml:space="preserve">Infringing Entities 2019 (€) </w:t>
        <w:br/>
        <w:t xml:space="preserve">ADASA 12,043,147 </w:t>
        <w:br/>
        <w:t xml:space="preserve">SCHNEIDER 419,358,000 </w:t>
        <w:br/>
        <w:t xml:space="preserve">CIRRUS 9,431,880 </w:t>
        <w:br/>
        <w:t>(currently DTN)</w:t>
      </w:r>
    </w:p>
    <w:p>
      <w:r>
        <w:t>The sanctioning percentage, which will be applied in this case to the total turnover of each infringing entity, must be determined based on the grading criteria of Article 64.1 of the LDC, following the criteria of the jurisprudence of the Supreme Court mentioned in the previous section.</w:t>
      </w:r>
    </w:p>
    <w:p>
      <w:r>
        <w:t>Regarding the characteristics of the affected market (art. 64.1.a), as already mentioned, it concerns the market for maintenance services for weather radars and related equipment and supply of spare parts.</w:t>
      </w:r>
    </w:p>
    <w:p>
      <w:r>
        <w:t>Regarding the market share of the responsible companies (art. 64.1.b), taking into account the information in the file, it can be concluded that these are the main companies in the market, although specific data is not available.</w:t>
      </w:r>
    </w:p>
    <w:p>
      <w:r>
        <w:t>The geographical market affected by the infringement is the entirety of Spain, so the infringement is likely to affect trade within the European Union (art. 64.1.c).</w:t>
      </w:r>
    </w:p>
    <w:p>
      <w:r>
        <w:t>The duration of the conduct (art. 64.1.d) spans from September 8, 2014, the date of submission of the joint offer for contract number 98003929, until the end of the project award contract, after the two extensions made, that is, December 11, 2018.</w:t>
      </w:r>
    </w:p>
    <w:p>
      <w:r>
        <w:t>The conduct has had the effect of artificially reducing competition in the tenders and affecting the final award price of the contracts (art. 64.1.e).</w:t>
      </w:r>
    </w:p>
    <w:p>
      <w:r>
        <w:t>The previous criteria of Article 64.1 of the LDC allow for a general assessment of the infringement for the purpose of its sanction, which translates into a general sanctioning rate of 4.0%.</w:t>
      </w:r>
    </w:p>
    <w:p>
      <w:r>
        <w:t>7.3 Criteria for the individual assessment of the conduct</w:t>
      </w:r>
    </w:p>
    <w:p>
      <w:r>
        <w:t>Regarding the assessment of the conduct of the three entities, it is important to consider several additional factors so that the sanction reflects the effective participation of each in the infringement.</w:t>
      </w:r>
    </w:p>
    <w:p>
      <w:r>
        <w:t>The following table summarizes the individual duration, the turnover of the affected market for each company, as well as the percentage of participation of each in the total turnover in the affected market (VNMA) during the infringement:</w:t>
      </w:r>
    </w:p>
    <w:p>
      <w:r>
        <w:t xml:space="preserve">Participation in </w:t>
        <w:br/>
        <w:t xml:space="preserve">Total turnover in the </w:t>
        <w:br/>
        <w:t xml:space="preserve">Affected Market </w:t>
        <w:br/>
        <w:t xml:space="preserve">Companies Duration of the conduct (VNMA, €) (%) </w:t>
        <w:br/>
        <w:t xml:space="preserve">ADASA Sept. 2014 – Dec. 2018 5,021,825 76.74% </w:t>
        <w:br/>
        <w:t xml:space="preserve">SCHNEIDER Sept. 2014 – Feb. 2017 842,604 12.88% </w:t>
        <w:br/>
        <w:t xml:space="preserve">CIRRUS Feb. 2017 – Dec. 2018 679,618 10.39% </w:t>
        <w:br/>
        <w:t>(currently DTN)</w:t>
      </w:r>
    </w:p>
    <w:p>
      <w:r>
        <w:t>No aggravating or mitigating circumstances provided for in Articles 64.2 and 64.3 have been observed for any of the infringing entities, so it is not appropriate to modify the sanctioning rate for these reasons.</w:t>
      </w:r>
    </w:p>
    <w:p>
      <w:r>
        <w:t>7.4 Total sanctioning rate to be imposed and final verification of proportionality</w:t>
      </w:r>
    </w:p>
    <w:p>
      <w:r>
        <w:t>Following the aforementioned jurisprudence of the Supreme Court, the set of factors presented above – severity of the infringement, characteristics and size of the affected market, duration and geographical scope of the conduct, participation of the infringers in the conduct, absence of aggravating or mitigating factors – allows for a specification, within the sanctioning scale that extends up to 10% of the total turnover, of the overall assessment of the unlawful density of the conduct of the companies.</w:t>
      </w:r>
    </w:p>
    <w:p>
      <w:r>
        <w:t>The total sanctioning rate that corresponds to be applied to each infringing entity, according to the severity and circumstances of the conduct, and with its respective participation in it, is shown in the following table:</w:t>
      </w:r>
    </w:p>
    <w:p>
      <w:r>
        <w:t xml:space="preserve">Total sanctioning rate </w:t>
        <w:br/>
        <w:t xml:space="preserve">Companies (% of total turnover) </w:t>
        <w:br/>
        <w:t xml:space="preserve">ADASA 6.5 </w:t>
        <w:br/>
        <w:t xml:space="preserve">SCHNEIDER 4.4 </w:t>
        <w:br/>
        <w:t>CIRRUS (currently DTN) 4.3</w:t>
      </w:r>
    </w:p>
    <w:p>
      <w:r>
        <w:t>These sanctioning rates are appropriate to the severity and characteristics of the infringement of the companies. However, although a sanctioning rate may be proportionate to the severity and characteristics of the infringement committed, at times the application of that percentage to the total turnover of the</w:t>
      </w:r>
    </w:p>
    <w:p>
      <w:r>
        <w:rPr>
          <w:b/>
        </w:rPr>
        <w:t>[Pages 76–78]</w:t>
      </w:r>
    </w:p>
    <w:p>
      <w:r>
        <w:t>company could lead to a fine in euros that would be disproportionate in relation to the actual dimension of the anticompetitive conduct. To carry out any assessment of proportionality, it is necessary to estimate the illicit benefit that each infringing entity could have obtained from the conduct under very prudent assumptions, and apply an incremental deterrent factor55. This estimate is used as a reference value, above which the fine is considered to be disproportionate. According to the estimates made with those prudent assumptions, the fines in euros resulting from applying the sanctioning rates from the previous table to the turnover figures of the infringers exceed the estimated reference value for each of them, so the fines have been adjusted downwards to avoid being disproportionate. Therefore, the proportional and deterrent sanctions that should be imposed on the infringing entities are as follows:</w:t>
      </w:r>
    </w:p>
    <w:p>
      <w:r>
        <w:t>Companies Fine (€)</w:t>
        <w:br/>
        <w:t>ADASA 450,000</w:t>
        <w:br/>
        <w:t>SCHNEIDER 110,000</w:t>
        <w:br/>
        <w:t>CIRRUS (currently 50,000</w:t>
        <w:br/>
        <w:t>DTN)</w:t>
      </w:r>
    </w:p>
    <w:p>
      <w:r>
        <w:t>In virtue of this, and in view of the cited articles and other generally applicable provisions, the Competition Chamber of the Council of the National Commission of Markets and Competition</w:t>
      </w:r>
    </w:p>
    <w:p>
      <w:r>
        <w:t>RESOLVES</w:t>
      </w:r>
    </w:p>
    <w:p>
      <w:r>
        <w:t>First. To declare the existence of a single and continuous very serious infringement of Article 1 of Law 15/2007, and of Article 101 of the TFEU, constituting a cartel, for which the companies ADASA SISTEMAS, S.A.U., SCHNEIDER ELECTRIC ESPAÑA, S.A. and DTN SERVICES AND SYSTEMS SPAIN, S.L. are responsible.</w:t>
      </w:r>
    </w:p>
    <w:p>
      <w:r>
        <w:t>Second. To impose the following sanctions on the responsible companies:</w:t>
        <w:br/>
        <w:t>- ADASA SISTEMAS, S.A.U.: 450,000 euros</w:t>
        <w:br/>
        <w:t>- SCHNEIDER ELECTRIC ESPAÑA, S.A.: 110,000 euros</w:t>
        <w:br/>
        <w:t>- DTN SERVICES AND SYSTEMS SPAIN, S.L.: 50,000 euros</w:t>
      </w:r>
    </w:p>
    <w:p>
      <w:r>
        <w:t>Third. In accordance with the sixth foundation, to forward this resolution to the Public Procurement Advisory Board of the State for the appropriate purposes.</w:t>
      </w:r>
    </w:p>
    <w:p>
      <w:r>
        <w:t>Fourth. To urge the Competition Directorate to monitor the full compliance with this Resolution.</w:t>
      </w:r>
    </w:p>
    <w:p>
      <w:r>
        <w:t>This Resolution shall be communicated to the Competition Directorate of the National Commission of Markets and Competition and notified to the interested parties, informing them that no administrative appeal can be filed against it, and that they may file a contentious-administrative appeal before the National Court within two months from the day following its notification.</w:t>
      </w:r>
    </w:p>
    <w:p>
      <w:r>
        <w:t>PARTICULAR VOTE FORMULATED BY COUNCILOR Dª MARÍA PILAR CANEDO</w:t>
      </w:r>
    </w:p>
    <w:p>
      <w:r>
        <w:t>1. Objective and content of the Particular Vote ...............................................................79</w:t>
        <w:br/>
        <w:t>2. Elements of the resolution that justify the Vote .........................................................80</w:t>
        <w:br/>
        <w:t>A. The precedent of the ACCO ...................................................................................................... 81</w:t>
        <w:br/>
        <w:t>B. The fines imposed in the CNMC resolution ................................................................. 83</w:t>
        <w:br/>
        <w:t>a. The system for calculating sanctions in the CNMC…………………………………………………….. 83</w:t>
        <w:br/>
        <w:t>- Calculation of the infringing rate…………………………………………………………………………….…… 83</w:t>
        <w:br/>
        <w:t>- Calculation of the final fine imposed on each company………………………………………….83</w:t>
        <w:br/>
        <w:t>b. The application of the provisional indications to this case…………………………………. 86</w:t>
        <w:br/>
        <w:t>c. Proposal made by this councilor……………………………………………………………………… 88</w:t>
        <w:br/>
        <w:t>C. On the prohibition of contracting.......................................................................................... 90</w:t>
      </w:r>
    </w:p>
    <w:p>
      <w:r>
        <w:rPr>
          <w:b/>
        </w:rPr>
        <w:t>[Pages 79–81]</w:t>
      </w:r>
    </w:p>
    <w:p>
      <w:r>
        <w:t>Dissenting vote formulated by Councilor Dª María Pilar Canedo</w:t>
      </w:r>
    </w:p>
    <w:p>
      <w:r>
        <w:t>In the exercise of the authority granted to me by Article 11.3 of the Internal Operating Regulations of the CNMC and with the utmost respect for the opinion of the majority of the Competition Chamber of the CNMC, I submit this dissenting vote concurrent with the legal qualification of the facts recorded in the resolution, although disagreeing with the legal consequences that derive from it56.</w:t>
      </w:r>
    </w:p>
    <w:p>
      <w:r>
        <w:t>1. Objective and content of the dissenting vote</w:t>
      </w:r>
    </w:p>
    <w:p>
      <w:r>
        <w:t>1. The objective of this dissenting vote is to express that I consider that in light of the analyzed conduct and the harm that the alteration of public contracts by companies generates in society, the measures approved by the Chamber are insufficient. This does not allow for an effective application of competition law. This consideration is based on the following reasons that will be developed below.</w:t>
      </w:r>
    </w:p>
    <w:p>
      <w:r>
        <w:t>2. In the dissenting opinion of this councilor, the imposed sanctions do not respect the principles of effectiveness, proportionality, and deterrence required by Spanish and European regulation. The methodology employed by the Chamber to impose them generates a tendency towards the imposition of reduced fines, to the detriment of public coffers and harming the taxpayer, which is more pronounced, although not exclusive, in larger companies. Furthermore, it implies discrimination among the companies participating in the conduct.</w:t>
      </w:r>
    </w:p>
    <w:p>
      <w:r>
        <w:t>3. The resolution again opts not to declare the duration and scope of the prohibition on contracting, despite there being a precedent from the Catalan Competition Authority that already determines them. This, as demonstrated in previous cases, limits the effectiveness of such a measure and consequently the useful effect of competition law and the agency's ability to contribute to the well-being of citizens. Additionally, this decision reduces legal certainty and indirectly generates an unjustified benefit to the infringing companies to the extent that it reduces, as derived from the interpretation offered by the Court of Justice and will be explained later, the maximum duration of the prohibition.</w:t>
      </w:r>
    </w:p>
    <w:p>
      <w:r>
        <w:t>56 Internal Operating Regulations of the National Commission on Markets and Competition, CNMC, approved by the Plenary of the Council on October 4, 2013.</w:t>
      </w:r>
    </w:p>
    <w:p>
      <w:r>
        <w:t>2. Elements of the resolution that justify the vote</w:t>
      </w:r>
    </w:p>
    <w:p>
      <w:r>
        <w:t>4. The resolution establishes the existence of a very serious infringement constituting a cartel under Article 1 of the LDC and Article 101 of the TFEU for which the companies ADASA SISTEMAS, S.A.U., SCHNEIDER ELECTRIC ESPAÑA, S.A., and DTN SERVICES AND SYSTEMS SPAIN, S.L. are considered responsible. The infringement involves bid rigging conduct that has altered competition in relation to several public procurement processes of AEMET, a public entity dependent on a Ministry, and whose possible involvement in the facts or possible knowledge of them is not analyzed in the file, as has been customary in CNMC files57.</w:t>
      </w:r>
    </w:p>
    <w:p>
      <w:r>
        <w:t>5. The bid rigging conduct entails significant and considerable harm to the general interest. This harm to the general interest translates into higher prices and a lack of incentives to produce improvements in the quality of the products and services that, in this case, citizens will receive. That is to say, it is not limited, nor even particularly, to the direct competitors of the infringers, but affects the Administration itself that provides public services and, consequently, the generality of the citizenry. For this reason, the legislator grants the competition authority a broad margin of discretionary appreciation to design the specific reaction to the proven infringements so that it is proportional to the conduct that has been developed and generates sufficient deterrence. In the opinion of the undersigned, this objective is not achieved in this case.</w:t>
      </w:r>
    </w:p>
    <w:p>
      <w:r>
        <w:t>6. Furthermore, the proven facts have been qualified as infringements of Article 101 TFEU, as they are considered to generate effects in the internal market of the European Union.</w:t>
      </w:r>
    </w:p>
    <w:p>
      <w:r>
        <w:t>57 It is not even recalled that Articles 132.3 and 150.1 of the LCSP establish the obligation of contracting authorities to notify competition authorities of any facts or conduct of which they become aware in the exercise of their functions, which produce or may produce the effect of preventing, restricting, or distorting competition in the procurement process” or, in case the administration is merely a victim of the conduct, its capacity (and the convenience) to request compensation for damages it may have suffered due to the conduct. In this case, it would not be appropriate to refer to the nullity of agreements or the ex officio review of existing contracts, as there are none in the analyzed matter.</w:t>
      </w:r>
    </w:p>
    <w:p>
      <w:r>
        <w:t>Despite the fact that Article 5 of Regulation 1/2003 states that it is the responsibility of the competition authorities of the Member States “to impose punitive fines, coercive fines, or any other sanction provided for by their national law,” it also establishes the mandate to carry out an effective and uniform application of European competition law, which is reinforced in Directive ECN+58. This regulation, in its Article 13, establishes that “to ensure the effective and uniform application of Articles 101 and 102 of the TFEU, national competition authorities must have the power to impose effective, proportionate, and deterrent fines on companies and associations of companies that infringe Articles 101 or 102 of the TFEU.” For these reasons, it is essential to analyze whether the imposed sanctions meet the mentioned objectives.</w:t>
      </w:r>
    </w:p>
    <w:p>
      <w:r>
        <w:t>A. The precedent of the ACCO</w:t>
      </w:r>
    </w:p>
    <w:p>
      <w:r>
        <w:t>7. In this case, the precedent established by the Resolution of File 94/2018, Bids for the Meteorological Service of Catalonia issued in December 2019 by the Catalan Competition Authority59 is very relevant. The importance of the precedent derives especially from the similarity of the facts sanctioned in both resolutions (those of the ACCO affecting only Catalonia and those of the CNMC affecting the entire national territory) and from the fact that it was precisely the information provided by the ACCO, as evidenced in the background of this Resolution, that led to the investigation carried out by the CNMC.</w:t>
      </w:r>
    </w:p>
    <w:p>
      <w:r>
        <w:t>8. The ACCO declares the existence of an infringement of Article 1 of the LDC consisting of the establishment of agreements or concerted practices for market sharing, within the framework of several public tenders related to the installation, maintenance, and supply of radars and meteorological stations, called by the Meteorological Service of Catalonia.</w:t>
      </w:r>
    </w:p>
    <w:p>
      <w:r>
        <w:t>58 Directive (EU) 2019/1 of the European Parliament and of the Council of December 11, 2018 aimed at equipping the competition authorities of the Member States with means to more effectively apply competition rules and ensure the proper functioning of the internal market. OJ EU 11/3 of January 14, 2019.</w:t>
      </w:r>
    </w:p>
    <w:p>
      <w:r>
        <w:t>59 Resolution of the Catalan Competition Authority of December 23, 2019, File 94/2018, Bids for the Meteorological Service at http://acco.gencat.cat/web/.content/80_acco/documents/arxius/actuacions/20200121_Resolucion-exp.-94.18-PUB.pdf</w:t>
      </w:r>
    </w:p>
    <w:p>
      <w:r>
        <w:rPr>
          <w:b/>
        </w:rPr>
        <w:t>[Pages 82–84]</w:t>
      </w:r>
    </w:p>
    <w:p>
      <w:r>
        <w:t xml:space="preserve">Declares two companies (one of which coincides with one of the sanctioned in this resolution) and several individuals as responsible for the conduct in their capacity as executives.  </w:t>
        <w:br/>
        <w:t xml:space="preserve">9. It is noteworthy for its significance in contributing to the effectiveness of the application of competition law that the declaration of responsibility as a facilitator of the conduct, in proper application of the Treuhand jurisprudence, is directed at the head official in charge of the service60.  </w:t>
        <w:br/>
        <w:t xml:space="preserve">10. The resolution imposes infringement rates of 6.35% and 6.15% on the companies. The fines imposed correspond to the result of applying the aforementioned rate to the turnover of the affected companies.  </w:t>
        <w:br/>
        <w:t xml:space="preserve">11. The resolution defines the duration and scope of the prohibition on contracting with the affected companies in application of the obligations established in the legal system and contributing to the useful effect of the application of competition law. This contributes not only to increasing the standards of legal certainty required in procedures that result in legal consequences restricting the rights of those affected but especially to guaranteeing the effectiveness of the regulation contained in the Spanish and European legal system.  </w:t>
        <w:br/>
        <w:t xml:space="preserve">12. Furthermore, the resolution's ruling requires its communication to the administration for the appropriate purposes and, specifically:  </w:t>
        <w:br/>
        <w:t xml:space="preserve">“(i) regarding the nullity of the agreements declared prohibited in this Resolution and the ex officio review of the existing contracts (according to Article 47.1, letter f, of Law 39/2015, of October 1, on the Common Administrative Procedure of Public Administrations), and (ii) concerning the ability of these agreements to cause economic damage and the existence of the possibility of requesting compensation for the damage caused to the responsible companies, in order to safeguard the general interest.”  </w:t>
        <w:br/>
        <w:t xml:space="preserve">Likewise, the resolution of the ACCO reminds the public procurement service that “Articles 132.3 and 150.1 of the LCSP establish the obligation of contracting bodies to notify the competition authorities of any facts or conduct of which they become aware in the exercise of their functions, that produce or may produce the effect of preventing, restricting, or distorting competition in the procurement process.”  </w:t>
        <w:br/>
        <w:t xml:space="preserve">B. The fines imposed in the CNMC resolution  </w:t>
        <w:br/>
        <w:t xml:space="preserve">a. The system for calculating sanctions in the CNMC  </w:t>
        <w:br/>
        <w:t xml:space="preserve">13. To determine the fines, this resolution applies a calculation system contained in a document that was made public on the CNMC website on November 6, 2018 - although dated October 10 of the same year - under the title “Provisional Guidelines of the National Commission of Markets and Competition on the determination of sanctions derived from Articles 1, 2, and 3 of Law 15/2007, of June 3, on the Defense of Competition, and from Articles 101 and 102 of the Treaty on the Functioning of the European Union”61. The document “aims to disclose the general guidelines that, within its discretion, guide” the Council's actions. Therefore, assuming the aforementioned objective and the subsequent content, it corresponds to guidelines or communication, and its approval would correspond to the Council of the CNMC (Article 20.7 of Law 3/2013).  </w:t>
        <w:br/>
        <w:t xml:space="preserve">14. From a formal perspective, it should be stated that the Council has not approved this document. From a substantive perspective, the aforementioned document contains what I consider technical-legal inaccuracies with which I must express my disagreement.  </w:t>
        <w:br/>
        <w:t xml:space="preserve">- Calculation of the infringement rate  </w:t>
        <w:br/>
        <w:t xml:space="preserve">- Calculation of the final fine imposed on each company  </w:t>
        <w:br/>
        <w:t xml:space="preserve">16. The most serious issue affecting these “provisional guidelines” lies, however, in what this councilor qualifies as the “final verification of proportionality.” The aforementioned “verification” is carried out in relation to what is termed the “reference value of what is considered a dissuasive and proportional fine.” The guidelines state that the dissuasive fine “must be equal to or greater than the illicit benefit.” “Therefore, the limit of proportionality is equal to the estimated illicit benefit multiplied by a factor between 1 and 4 that varies depending on the duration of the infringement and the size of the infringing entity.” These statements must be commented on.  </w:t>
        <w:br/>
        <w:t xml:space="preserve">17. Firstly, this councilor cannot agree that a dissuasive sanction can be equal to the illicit benefit. The commission of an infringement generates, regardless of the illicit benefit (and especially in a case like that of this file, which affects public procurement), damages to society, to administrations, to market competitiveness, or to the economy, in addition to the direct damages that occur to competitors, to consumers (which could be claimed through civil means). Administrative sanctions have a repressive function and a preventive one that seeks to avoid the existence (and reproduction) of conduct that generates harm to the general interest. To this end, they constitute a reaction of the legal system that, as repeatedly indicated by the aforementioned European Directive, is based on punishment to be effective, proportionate, and dissuasive. If the response offered by the legal system conforms to the objective of establishing sanctions equal to the objective illicit benefit of the infringer, and assuming evident possibilities of non-detection of the conduct, a sanctioning system would be generated that encourages infringement instead of trying to prevent it. That is, if the company - which undoubtedly receives an extraordinary benefit from committing the infringement - knows that there is a risk of non-detection of the practice and that, in the event of being detected and sanctioned, the imposed fine can only equal the extraordinary benefit, the natural tendency will be to maximize its welfare and therefore commit the infringement. In other words, for a fine to be dissuasive, it is essential that it is significantly higher than the illicit benefit.  </w:t>
        <w:br/>
        <w:t>18. Secondly, the guidelines state that they carry out an assessment of the sanction that starts from an estimate of the illicit benefit that, in cases where it does not derive from the file, is calculated considering a percentage of the gross operating margin of the sector. The calculation system of the aforementioned illicit benefit would deserve a more detailed study, as assuming the gross margin of the sector as a reference factor and multiplying it, where appropriate, by a dissuasive factor would imply either assuming that the sector as a whole is cartelized, or making an estimation without any basis regarding the multiplicative factor of the illicit benefit. That is, it is about providing an appearance of security by introducing mathematical calculations into the method of calculating sanctions that conceals that they are based on parameters not necessarily related to the actual extent of the infringement, the illicit benefits of the companies, and the effects of the conduct in the market.</w:t>
      </w:r>
    </w:p>
    <w:p>
      <w:r>
        <w:rPr>
          <w:b/>
        </w:rPr>
        <w:t>[Pages 85–87]</w:t>
      </w:r>
    </w:p>
    <w:p>
      <w:r>
        <w:t>19. Furthermore, the guidelines employ a “proportionality limit (which) is equal to the estimated illicit benefit multiplied by a factor between 1 and 4 that varies depending on the duration of the infringement and the size of the infringing entity.” This criterion cannot be shared for several reasons: firstly, as we have already seen, it cannot be considered that the sanction can be deterrent if it merely equals the illicit benefit; similarly, it is also deemed inappropriate to limit the multiplier factor to 4; moreover, basing the criterion for determining deterrence on the duration of the infringement or the size of the entity makes no sense, especially regarding the size of the infringing entity (since the size of the infringing entity is objectively irrelevant as it has no relation to the severity of the conduct and yet is already taken into account when calculating the amount of sanctions in relation to its turnover).</w:t>
      </w:r>
    </w:p>
    <w:p>
      <w:r>
        <w:t>20. Finally, and what is even more serious, the “Provisional Guidelines” determine that if the fine obtained from the initial rate is lower than the so-called proportionality reference value, it remains intact (potentially resulting in sanctions clearly lower than the illicit benefit). However, if the sanction resulting from the application of the rate is higher, it must be reduced. This last correction is, in the opinion of this council member, clearly contrary not only to the necessary deterrent function that sanctions must entail but especially to the proportionality that legislation and jurisprudence require. The principle of proportionality of sanctions governs the establishment and application of all measures restricting the rights and freedoms of individuals. It entails the requirement that there be a correspondence between the infringement and the sanction and the prohibition of adopting measures that may be deemed unnecessary or excessive. For a sanctioning measure to be considered proportional, the requirements set by doctrine are three: that there is a procedure in which the rights of defense are respected; that the adopted measure produces the least possible interference, and that the measure is suitable to achieve the purposes that justify it. The system established by the provisional guidelines generates a reduction of sanctions when they exceed the so-called proportionality limit. However, it does not generate an increase in the opposite case. That is to say, the guidelines are set in the limiting nature of the sanctioning power that implies the application of the principle of proportionality, but do not adequately consider the requirement of suitability to achieve the intended purpose that the same principle demands. The result entails a reduction of sanctions (especially in the case of large companies) under the pretext of a supposed proportionality that does not conform to the requirements of our legislation or the European regulation on sanctions.</w:t>
      </w:r>
    </w:p>
    <w:p>
      <w:r>
        <w:t>21. In the opinion of the undersigned, all of the above does not oppose considering whether the infringing company is multi-product or single-product when calculating the amount of the sanction.</w:t>
      </w:r>
    </w:p>
    <w:p>
      <w:r>
        <w:t>22. The method of calculating sanctions assumes that there are sanctions lower than the illicit benefit, even if they are less than 10% of the turnover of the companies set by both the LDC and Regulation 1/2003. Furthermore, it establishes corrections only in one direction (downward), which generates unequal treatment among operators. For all these reasons, in the opinion of this council member, this system of calculating sanctions is contrary to the requirement of uniform application of European competition law and also to the normative criteria set out in Article 64 LDC. A sanctioning system that tends to significantly reduce the amount of sanctions concerning the calculated sanctioning rate generates a lack of effectiveness in the application of European law that is not consistent with the objectives of deterrence and proportionality required by European regulations. Systems for determining sanctions that do not create a convergence in the calculation method with the European ones, within the broad margins granted by Article 64 LDC and the jurisprudence of the TS that develops it, generate a clear risk of forum shopping that would be desirable to avoid.</w:t>
      </w:r>
    </w:p>
    <w:p>
      <w:r>
        <w:t>b. The application of the provisional guidelines to this case</w:t>
      </w:r>
    </w:p>
    <w:p>
      <w:r>
        <w:t>23. The resolution starts from these data:</w:t>
        <w:br/>
        <w:t>Entities Total turnover in 2019 (€) Theoretical rate Actual imposed fine</w:t>
        <w:br/>
        <w:t>ADASA 12,043,147 6.5% 450,000 3.7%</w:t>
        <w:br/>
        <w:t>SCHNEIDER 419,358,000 4.4% 110,000 0.02%</w:t>
        <w:br/>
        <w:t>CIRRUS 9,431,880 0.5% 4.3% 50,000 (currently DTN)</w:t>
      </w:r>
    </w:p>
    <w:p>
      <w:r>
        <w:t>That is to say, applying the aforementioned methodology, the resolution starts from the determination of general infringing rates that are subsequently modulated for each of the companies based on different factors. It can be observed that the sanctions ultimately imposed on the companies vary significantly from the general rates set. This is due to the application of the so-called “proportionality factor” that has been previously described. Several observations must be made in this regard.</w:t>
      </w:r>
    </w:p>
    <w:p>
      <w:r>
        <w:t>24. Let us begin with the determined infringing rates. As is well known, Article 64 LDC establishes that the criteria for determining the amount of sanctions are the size and characteristics of the affected market, the market share of each company, the scope of the infringement, its duration, the effect on the rights and legitimate interests of users and other economic operators, the illicit benefits obtained, and the mitigating and aggravating circumstances. We are faced with an infringement linked to public procurement that, consequently, deserves the utmost attention to try to prevent such occurrences. Not in vain, several legal systems in our immediate environment confer criminal significance to such conduct. The size of the market is national and of such magnitude that the application of Article 101 of the TFEU has been deemed necessary. Therefore, despite the not prolonged duration of the conduct, we can conclude that we are dealing with willful conduct of the utmost seriousness.</w:t>
      </w:r>
    </w:p>
    <w:p>
      <w:r>
        <w:t>25. Despite this, the theoretical rates imposed range between 4.3% and 6.5% and the actual rates between 0.02% and 3.7%. Firstly, it must be stated that the rates (even the theoretical ones) are lower than those imposed by the ACCO in an infringement of longer duration but that only affects the autonomous community and does not apply EU law. Sanctioning a bid rigging infringement with a sanctioning rate that could be imposed for a minor or serious infringement is, in the opinion of this council member, clearly contrary, due to its insufficiency, to the principle of proportionality of sanctions and to the requirement of deterrence inherent in any sanctioning system, especially in conduct so harmful to the public interest. This system of determining sanctions that results in such an insufficient reaction to very serious infringements jeopardizes the uniform application of competition law, generating discrimination among entities. Not in vain, the sanctions imposed by the ACCO, which in the opinion of this council member respect the principle of proportionality of the legal system's reaction to the infringement committed, generate a reaction.</w:t>
      </w:r>
    </w:p>
    <w:p>
      <w:r>
        <w:rPr>
          <w:b/>
        </w:rPr>
        <w:t>[Pages 88–90]</w:t>
      </w:r>
    </w:p>
    <w:p>
      <w:r>
        <w:t>incomparably more aligned with the requirements of competition law than those established by the CNMC. If only the theoretical rates are compared, it is verified that the ACCO always determines them around 6%, which is consistent with a very serious infringement affecting public procurement of a specific administration and that is geographically localized. The theoretical rates determined by the CNMC do not reach that level of proportionality considering the impact on EU law and the national scope of the conduct (even considering that its duration is significantly shorter than that of the infringement identified by the ACCO). If the actual rates resulting from the final calculation of the sanction are compared, the conclusion is, as we will see, even more severe against the criteria of the CNMC. In any case, the way of calculating the difference in sanctioning rates between companies only takes into account their involvement in what is called the Affected Market Volume, a designation under which the billing data provided by the companies in the contracts subject to each agreement are included. This calculation formula does not take into account elements of individualization of responsibility such as the role played by each of the companies in the practice (instigator, direct beneficiary, indirect beneficiary, mere follower...) or others such as the duration of participation in the conduct. Thus, excessive weight is given to the direct billing that the companies receive from the contracts subject to the infringement (also generally offered by the infringing parties themselves) and the existence of other types of compensations that occur in cartels is overlooked. This results in the rates set by the CNMC for the different companies (6.5%-4.3%) differing excessively, considering the specific facts in which the companies participate. In any case, the theoretical or general rates determined by the CNMC lack relevance in most cases, as the result of their application is weighted (only downwards) in relation to the factor created in the aforementioned methodology, which generates a distortion among operators that bears no relation to any of the elements collected in Article 64 LDC and leads to a reduction in fines that, as we have indicated, in this case reduces them to meager figures (3.7; 0.02 and 0.5 compared to the approximately 6% actually applied in the Catalan resolution whose scope is regional).</w:t>
      </w:r>
    </w:p>
    <w:p>
      <w:r>
        <w:t>c. Proposal made by this counselor</w:t>
      </w:r>
    </w:p>
    <w:p>
      <w:r>
        <w:t>26. From the above, it can be deduced that this counselor considers that the sanctions imposed on the companies do not meet the often-mentioned principles of effectiveness, deterrence, and proportionality (understood as a limit to the sanctioning action and a requirement that it be appropriate to the intended purpose).</w:t>
      </w:r>
    </w:p>
    <w:p>
      <w:r>
        <w:t>27. It is not for this counselor, but as we saw for the Council of the CNMC, to propose a methodology for calculating sanctions to be applied by the Competition Chamber. However, elements that would be pertinent to the debate must be brought up.</w:t>
      </w:r>
    </w:p>
    <w:p>
      <w:r>
        <w:t>28. The aforementioned Judgment of the Supreme Court of January 29, 2015 constitutes settled case law that this Chamber must apply. It determines that when Article 63 of the LDC states that a sanction of up to a certain percentage can be imposed, it "marks the limits for the imposition of sanctions in each of the three categories of infringements not as a 'threshold for leveling' but as maximum figures of a scale of pecuniary sanctions within which the fine must be individualized. These are percentage figures that mark the maximum of the sanctioning rigor for the sanction corresponding to the infringing conduct that, within the respective category, has the greatest unlawful density." The Judgment also recalls that the parameters set forth in Articles 63 and 64 LDC are the only ones that must guide the competition authority in determining the amount of the sanctions since "even if a certain regulatory collaboration were admitted to introduce specifications or gradations to the legally established sanctions framework, regulations could not alter the nature or limits of the sanctions contemplated by law (...) nor have regulatory powers in this matter been attributed to the CNMC, lacking this nature and binding character beyond its communications."</w:t>
      </w:r>
    </w:p>
    <w:p>
      <w:r>
        <w:t>In the opinion of this counselor, from the cited Judgment and its assessments, it is deduced that the elements collected in the Law must serve to substantiate the fixed sanction considering the most serious infringements (of 10%) for the conducts that present the greatest unlawful density. This premise, accompanied by the consideration we previously made about deterrence (in terms of the recognized preventive and repressive functions of sanctioning law), would lead to imposing fines that fulfill the necessary effect of proportionality and deterrence.</w:t>
      </w:r>
    </w:p>
    <w:p>
      <w:r>
        <w:t>29. Finally, and in relation to several statements made by the aforementioned Judgment of the Supreme Court, it will be appropriate, once again, to recall Directive ECN+. The Supreme Court makes the previously commented statements in an indisputable situation, in which Regulation 1/2003 establishes that national authorities will apply "the sanctions provided for in their national law" to sanction the behaviors typified in the TFEU. The High Court develops the argument by recalling that national sanctions "do not have to adopt either the parameters or the percentages of Article 23 of Regulation 1/2003" and that, in fact, Article 63 "diverges significantly" from what is established in the European norm to the point of classifying infringements as minor, serious, and very serious, assigning sanctioning rates to each typology, differently from the European norm. The Supreme Court also recalls that "the national legislator, within its legitimate margin of regulatory configuration (...) could have expressly and recognized adopted the same guidelines for setting sanctions" as the European regulations. It should be understood that, in that case, nothing would prevent the application of a sanction calculation system comparable to the European one. In light of this reflection, it can only be recalled that the deadline for transposing Directive ECN+ is February 4, 2021 (Article 34) and some regulatory modifications will be necessary in our legal system before that date. It should not be forgotten that its recital 47 states: "In order to ensure that fines imposed for infringement of Articles 101 or 102 of the TFEU reflect the economic importance of the infringement, National Competition Authorities (NCAs) must take into account its severity. NCAs must also be able to set fines that are proportional to the duration of the infringement. These factors must be assessed on a case-by-case basis for all types of infringement, taking into account all the circumstances of the case. Among the factors that may be considered are the nature of the infringement, the combined market share of all companies involved, the geographical scope of the infringement, the fact that the infringement has been applied, the value of the sales of goods and services of the company to which the infringement refers directly or indirectly, and the size and market power of the involved company."</w:t>
      </w:r>
    </w:p>
    <w:p>
      <w:r>
        <w:t>C. On the prohibition of contracting</w:t>
      </w:r>
    </w:p>
    <w:p>
      <w:r>
        <w:t>30. Article 71 of the LCSP establishes that entities that have been definitively sanctioned for serious infringement in the area of distortion of competition may not contract with the administration. From a procedural perspective, Article 72 of the LCSP establishes that certain prohibitions on contracting, among which are those for distortion of competition, will be assessed directly by the contracting bodies when the judgment or administrative resolution has expressly stated its scope and duration, remaining in effect for the period indicated therein. In the event that the administrative resolution does not contain a pronouncement on the scope or duration of the prohibition to contract, these must be determined through a procedure instructed for that purpose. It will correspond to the Minister of Finance and Public Function, prior to the proposal of the State Public Contracting Advisory Board.</w:t>
      </w:r>
    </w:p>
    <w:p>
      <w:r>
        <w:rPr>
          <w:b/>
        </w:rPr>
        <w:t>[Pages 91–93]</w:t>
      </w:r>
    </w:p>
    <w:p>
      <w:r>
        <w:t>31. The resolution states that “it is possible to identify an automatic mechanism in the prohibition to contract arising from infringements related to distortion of competition, which derives ope legis or merely as a reflection of the issuance of a resolution declaring such infringement as provided by the aforementioned Article 71.1.b) of the LCSP.” However, it does not establish the duration and scope of the prohibition to contract and therefore agrees to send a certification of the resolution to the Advisory Board on Public Procurement “regardless of the possibility that this Commission may be consulted or may issue a report on the concurrent circumstances within the framework of said procedure that allow for the assessment of the duration and scope of the prohibition for each of the affected parties.”</w:t>
      </w:r>
    </w:p>
    <w:p>
      <w:r>
        <w:t>32. There is no doubt that the prohibition to contract has effectively become a legal consequence established by the Spanish legislator that directly derives from the Law in the case of companies sanctioned for infringements of competition regulations. However, there is no doctrinal or jurisprudential harmony regarding the legal nature of the prohibitions to contract. There are resolutions that affirm that the prohibition is a non-sanctioning burden measure63. However, there are also rulings that consider them sanctions and state that “we are faced with the exercise of a sanctioning power that corresponds exclusively to the Administration, even if it may be requested by citizens”64. Undoubtedly, we are facing a reaction of the legal system that significantly limits the rights of the subjects to whom it is imposed and affects their operations, potentially impacting essential issues for the entity receiving the measure (especially if it concerns companies, some of which conduct a very high percentage of their business volumes precisely with administrations). This limitation requires that procedural guarantees be respected in determining the conditions under which the duration and scope of the prohibition must be declared.</w:t>
      </w:r>
    </w:p>
    <w:p>
      <w:r>
        <w:t>Nevertheless, the discussion on whether prohibitions are conceived as sanctioning measures or mere burdens may have practical significance, as it would determine whether they are configured as a preventive or repressive instrument and, consequently, the purpose they intend to achieve. The prohibitions to contract could be considered as a way to protect the administration that fundamentally seeks to prevent it from contracting with entities that, by having committed an infringement (in this case, of competition), have called into question their commitment to legality and, consequently, their honorability. However, the prohibitions to contract could also be considered as one more within the catalog of reactions provided by the legal system to try to protect society from behaviors that are so harmful to the general interest as competition infringements. Assuming that sanctions cannot in all cases compensate for the extraordinary benefits obtained by companies through the infringement (considering the cap of 10% of business volume we referred to and the fact that there are behaviors that extend over years); considering that sanctions cannot compensate for the diffuse damages that infringements cause in society, or considering that there are often natural or legal persons who do not have the possibility or capacity to claim the damages that the infringements have caused them, the punitive system must devise forms of reaction that jointly contribute to the desired end of deterring behaviors (along with other behavioral measures or sanctions against executives).</w:t>
      </w:r>
    </w:p>
    <w:p>
      <w:r>
        <w:t>If the prohibitions were configured as a merely preventive instrument, the prevailing interest in their definition would be that of the contracting authorities, who would decide on the conditions of applicability, with flexibility depending on their needs or interests. That is, in the case of considering that the measure serves to protect the interests of the administration, it would be up to it to assess whether it should assume the risk of contracting with a certain operator despite their previous conduct. This measure would not aim to punish previous infringements. It would only aim to prevent the administration from contracting with individuals who may be suspected of not adequately fulfilling their obligations.</w:t>
      </w:r>
    </w:p>
    <w:p>
      <w:r>
        <w:t>However, if we consider that prohibitions are a repressive instrument, the decision must be made taking into account the circumstances that justified it. Thus, the gradation of the scope and duration of the prohibition must be defined according to criteria such as culpability and proportionality with the infringement committed. In the opinion of this councilor and from the perspective of the competition authority, there is no doubt that the prohibition to contract is one more of the repressive consequences of infringing conduct that joins fines; behavioral obligations, damage claims, or sanctions against executives in the catalog of reactions provided by the legal system in response to competition infringements.</w:t>
      </w:r>
    </w:p>
    <w:p>
      <w:r>
        <w:t>Not in vain, the prohibition has, as can be seen from the reactions of companies to the risk of its declaration, a marked deterrent character. In many cases, in fact, it is greater than that of fines. Furthermore, any other solution that would leave the decision on the prohibition in the hands of the contracting authorities based on their needs or willingness to assume risks and without being based on the linkage of the limiting measure of rights with the conduct that generates it would pose a risk of unequal treatment among companies that, in itself, could generate discrimination and a distortion of competition.</w:t>
      </w:r>
    </w:p>
    <w:p>
      <w:r>
        <w:t>All these considerations lead to the conclusion that it is essential to conceptualize the prohibitions to contract as sanctioning measures that seek to fulfill the functions of repression and deterrence (inherent, as we have seen, to any sanctioning measure in the Spanish legal system). From the aforementioned conclusion, it follows that it is the competition authority that is responsible for defining for each infringement the set of legal consequences that serve the principles of effectiveness, deterrence, and proportionality required by European regulations. In the event that a reaction as significant as the prohibition to contract were left in the hands of an administration different from that of competition, the reaction to what the Supreme Court calls unlawful density would be artificially divided.</w:t>
      </w:r>
    </w:p>
    <w:p>
      <w:r>
        <w:t>The necessary balance between the principles of deterrence and proportionality - considering the necessary respect for the rights of defense during the procedure, taking into account the culpability of the infringing subjects and considering the severity and other circumstances of the facts that justify the overall reaction - can be achieved by the competition authority and not by any other body of the administration. Not in vain, the CNMC had already expressed itself on this matter in reports on regulatory projects stating:65 “the CNMC, in cases it deems appropriate, may expressly pronounce on the scope and determination of the prohibition to contract in all its sanctioning resolutions related to Law 15/2007.”</w:t>
      </w:r>
    </w:p>
    <w:p>
      <w:r>
        <w:t>33. Continuing with the necessary respect for the principles of sanctioning law, the principle of legality requires not only that sanctions have a legal basis (undeniable in this case as we have verified) but also that there is a normative basis to identify the competence of the body that adopts the sanctioning decision. It is true that, perhaps because it is a norm prior to the LCSP, the LDC does not contain an express reference to the prohibitions to contract in Article 53, which collects the content that the resolutions adopted by the Council of the National Competition Commission may include, and it would be desirable for this to happen.65 Among others, see CNMC, IPN/CNMC/010/15 Report on the Draft Law on Public Sector Contracts, Madrid, July 16, 2015, https://www.cnmc.es/sites/default/files/709299_6.pdf. Similarly, it has been included in IPN/CNMC/011/15 Report on the Draft Law on procurement procedures in the water, energy, transport, and postal services sectors, Madrid, of the same date.</w:t>
      </w:r>
    </w:p>
    <w:p>
      <w:r>
        <w:rPr>
          <w:b/>
        </w:rPr>
        <w:t>[Pages 94–96]</w:t>
      </w:r>
    </w:p>
    <w:p>
      <w:r>
        <w:t>However, the aforementioned provision expressly recognizes that the Council may impose specific conditions and obligations on companies, including behavioral obligations. In the opinion of this council member, there is nothing to prevent the inclusion of both obligations to act and obligations not to act, and therefore the cited provision serves as authorization to impose prohibitions on contracting with the administration in the terms deemed appropriate.</w:t>
      </w:r>
    </w:p>
    <w:p>
      <w:r>
        <w:t>34. Likewise, we must refer to Article 5 of Regulation 1/2003, which establishes that: “The competition authorities of the Member States are competent to apply Articles 81 and 82 of the Treaty in specific matters. To this end, either ex officio or upon complaint by a party, they may adopt the following decisions: (…) - imposition of punitive fines, coercive fines, or any other sanction provided for by their national law.” From the cited provision, in force since May 2004 and contained in a Regulation of the European Union (which therefore is subject to primacy and direct effect), it follows that the competition authorities of the Member States are competent to apply any sanction provided for in national law aimed at ensuring the effectiveness of Articles 101 and 102 of the TFEU. Considering the content of Articles 71 and 72 of the LCSP, there can be no doubt about this Chamber's competence to apply the aforementioned sanctioning measures.</w:t>
      </w:r>
    </w:p>
    <w:p>
      <w:r>
        <w:t>The inclusion of the phrase “regardless of the possibility that this Commission may be consulted or may issue a report on the concurrent circumstances within the framework of said procedure that allow for the adjustment of the duration and scope of the prohibition for each of the affected parties” shows the intention to intervene in the decision-making process in a consultative manner and without the possibility of external control to which the resolutions of the CNMC are subject, which is consistent with the functions assigned to the competition authority by the legal framework.</w:t>
      </w:r>
    </w:p>
    <w:p>
      <w:r>
        <w:t>35. As currently drafted, the regulation seems to suggest that both options for determining the duration and scope of the prohibition on contracting are possible (whether it be the CNMC or the State Public Procurement Advisory Board that carries them out). However, considering the wording of the Procurement Directive and the jurisprudence that applies it, it must be understood, as we explain below, that the useful effect of European competition law recommends that it be the CNMC that makes such determination.</w:t>
      </w:r>
    </w:p>
    <w:p>
      <w:r>
        <w:t>The Directive establishes in its Article 57.7 that the exclusion period may not exceed three years in cases of infringement of competition law. The Court of Justice has clarified that “Article 57(7) of Directive 2014/24 must be interpreted as meaning that, when an economic operator has adopted behavior falling within the exclusion ground of Article 57(4)(d) of that Directive, which has been sanctioned by a competent authority, the maximum exclusion period is calculated from the date of the decision of that authority.” This implies that the maximum exclusion period is three years from the issuance of the CNMC's decision and that any delay that may occur due to the referral of the file to the Board and the time it takes for it to make decisions in this regard (as verified in previous files) would be deducted from the maximum period for imposing the restrictive measure. This is contrary to the efficient application of Union law and its useful effect and unjustifiably benefits the infringing companies that see the duration of the restrictive measure on their rights reduced for administrative or procedural reasons unrelated to the conduct carried out.</w:t>
      </w:r>
    </w:p>
    <w:p>
      <w:r>
        <w:t>36. For all the above reasons, this council member considers that the competition authority, taking into account the conditions of the declared infringement, must rule on the scope and duration of the prohibition on contracting. It is precisely the competition authority that is best positioned to jointly assess the entirety of the burden and sanction measures that can be adopted in light of the established facts and is in the best position to weigh the consequences in the market of the sanctioned conduct. Similarly, it is the one that can best assess the cases in which, as established by law, it is not appropriate to “declare a prohibition when, during the hearing process of the corresponding procedure, the payment or commitment to pay the fines by those responsible is evidenced and the adoption of appropriate technical, organizational, and personnel measures to prevent the commission of future administrative infringements is evidenced, among which will be included adherence to the leniency program in matters of competition distortion” and review it when the legal conditions are met.</w:t>
      </w:r>
    </w:p>
    <w:p>
      <w:r>
        <w:t>In the same vein, the ACCO has ruled -in the resolution commented on at the beginning of this vote- determining, in accordance with the facts judged, the duration and scope of the prohibition on contracting, which creates an interesting precedent in the application of competition law in Spain that will serve to advance this discipline.</w:t>
      </w:r>
    </w:p>
    <w:p>
      <w:r>
        <w:t>In this sense, I issue this Dissenting Vote.</w:t>
      </w:r>
    </w:p>
    <w:p>
      <w:r>
        <w:t>Signed: María Pilar Canedo Arrillaga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