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https://www.cnmc.es/expedientes/s062918</w:t>
      </w:r>
    </w:p>
    <w:p>
      <w:r>
        <w:t>Pages translated : 53</w:t>
      </w:r>
    </w:p>
    <w:p/>
    <w:p>
      <w:r>
        <w:rPr>
          <w:b/>
        </w:rPr>
        <w:t>[Pages 1–3]</w:t>
      </w:r>
    </w:p>
    <w:p>
      <w:r>
        <w:t xml:space="preserve">RESOLUTION  </w:t>
        <w:br/>
        <w:t xml:space="preserve">Expte. S/0629/18, VAILLANT TECHNICAL ASSISTANCE  </w:t>
        <w:br/>
        <w:t xml:space="preserve">COUNCIL. COMPETITION CHAMBER  </w:t>
        <w:br/>
        <w:t xml:space="preserve">President  </w:t>
        <w:br/>
        <w:t xml:space="preserve">Mr. José María Marín Quemada  </w:t>
        <w:br/>
        <w:t xml:space="preserve">Councillors  </w:t>
        <w:br/>
        <w:t xml:space="preserve">Ms. María Ortiz Aguilar  </w:t>
        <w:br/>
        <w:t xml:space="preserve">Mr. Josep Maria Guinart Solà  </w:t>
        <w:br/>
        <w:t xml:space="preserve">Ms. Clotilde de la Higuera González  </w:t>
        <w:br/>
        <w:t xml:space="preserve">Ms. María Pilar Canedo Arrillaga  </w:t>
        <w:br/>
        <w:t xml:space="preserve">Secretary of the Council  </w:t>
        <w:br/>
        <w:t xml:space="preserve">Mr. Joaquim Hortalà i Vallvé  </w:t>
        <w:br/>
        <w:t xml:space="preserve">In Madrid, on October 29, 2019  </w:t>
        <w:br/>
        <w:t xml:space="preserve">The Competition Chamber of the Council of the National Commission of Markets and Competition, with the composition expressed, has issued the following resolution in the file S/0629/18 VAILLANT TECHNICAL ASSISTANCE, initiated by the Directorate of Competition against VAILLANT, S.L.U., SAUNIER DUVAL DICOSA, S.A.U., VAILLANT SAUNIER DUVAL IBÉRICA, S.L. and RED OFISAT, S.L.U., for alleged restrictive practices of competition, prohibited by Article 1 of Law 15/2007, of July 3, on the Defense of Competition and by Article 1 of Law 16/1989, of July 17, on the Defense of Competition.  </w:t>
        <w:br/>
        <w:t xml:space="preserve">S/0629/18 National Commission of Markets and Competition Page 1 of 53  </w:t>
        <w:br/>
        <w:t xml:space="preserve">C/ Barquillo, 5 – 28004 Madrid - C/ Bolivia, 56 – 08018 Barcelona  </w:t>
        <w:br/>
        <w:t>www.cnmc.es</w:t>
      </w:r>
    </w:p>
    <w:p>
      <w:r>
        <w:t xml:space="preserve">I. BACKGROUND  </w:t>
        <w:br/>
        <w:t xml:space="preserve">1. On December 1, 2017, a written communication was received by the National Commission of Markets and Competition (CNMC) from a private individual informing the CNMC that ASISTENCIA TECNICA GABRIEL, S.L. and RED OFISAT BARCELONA, two companies part of the technical assistance service for "VAILLANT BOILERS," might be engaging in practices contrary to Law 15/2007, of July 3, on the Defense of Competition (LDC), consisting of an alleged market allocation of the official technical assistance services for the brands marketed by the entities VAILLANT, S.L.U., SAUNIER DUVAL DICOSA S.A.U., VAILLANT SAUNIER DUVAL IBÉRICA, S.L. and RED OFISAT, S.L.U. (VAILLANT GROUP), as well as restrictions on passive sales for which these official technical assistance services would have been responsible.  </w:t>
        <w:br/>
        <w:t xml:space="preserve">2. On December 22, 2017, the Directorate of Competition (DC) agreed to carry out a reserved inquiry to determine whether there were indications of infringement in the reported facts, and whether the circumstances justified the initiation of a sanctioning file, in accordance with the provisions of Article 49.2 of the LDC.  </w:t>
        <w:br/>
        <w:t xml:space="preserve">3. In the context of the reserved inquiry, on January 24, 2018, the DC made an information request to VAILLANT S.L.U. (VAILLANT), asking for information on (i) the structure of its technical assistance network, (ii) the types and nature of the technical assistance contracts that had been concluded with third-party providers of those services, and (iii) the existence of territorial limitations to which independent technical assistance services were subject, as well as the economic and business justification for such limitations (folios 6 to 8). The response to this request was received on February 13, 2018, along with copies of the various contract models signed by the VAILLANT GROUP (folios 27 to 113).  </w:t>
        <w:br/>
        <w:t xml:space="preserve">4. On March 26, 2018, the DC sent information requests to the companies VAILLANT and SAUNIER DUVAL DICOSA S.A.U. (SAUNIER DUVAL), as well as to their parent company in Spain, VAILLANT SAUNIER DUVAL IBÉRICA, S.L. (VSDI), regarding their commercial policy in relation to the VAILLANT and SAUNIER DUVAL brands and the technical assistance service operators (SAT) (folios 114 and 115).  </w:t>
        <w:br/>
        <w:t xml:space="preserve">S/0629/18 National Commission of Markets and Competition Page 2 of 53  </w:t>
        <w:br/>
        <w:t xml:space="preserve">C/ Barquillo, 5 – 28004 Madrid - C/ Bolivia, 56 – 08018 Barcelona  </w:t>
        <w:br/>
        <w:t>www.cnmc.es</w:t>
      </w:r>
    </w:p>
    <w:p>
      <w:r>
        <w:t xml:space="preserve">5. On May 22, 2018, after observing reasonable indications of the existence of conduct prohibited by the LDC, the DC agreed to initiate a sanctioning file against VAILLANT and SAUNIER DUVAL for an alleged infringement of Article 1 of the LDC consisting of (i) a limitation on passive sales to customers of the official technical assistance services located in reserved areas or territories under exclusivity and (ii) the setting of prices for such technical assistance services (folios 170 to 175).  </w:t>
        <w:br/>
        <w:t xml:space="preserve">6. On August 1, 2018, VAILLANT and SAUNIER DUVAL submitted a proposal for conventional termination of the sanctioning file in accordance with Article 39.2 of the Competition Defense Regulation, approved by Royal Decree 261/2008, of February 22 (RDC). The proposal was motivated by:  </w:t>
        <w:br/>
        <w:t xml:space="preserve">(i) the alleged absence of irreversible effects on effective competition in the market for official technical assistance services for the products marketed by the VAILLANT GROUP in Spain;  </w:t>
        <w:br/>
        <w:t xml:space="preserve">(ii) the non-affection of the investigated conduct to a substantial part of the after-sales market, being limited to a small part of it;  </w:t>
        <w:br/>
        <w:t xml:space="preserve">(iii) the possible regulation and clarification of VAILLANT's activities in the after-sales services segment through the commitments presented; and  </w:t>
        <w:br/>
        <w:t xml:space="preserve">(iv) the lack of sanctions against the VAILLANT GROUP at the national or European level for these alleged anti-competitive practices.  </w:t>
        <w:br/>
        <w:t xml:space="preserve">7. On October 11, 2018, the DC agreed to extend the initiation to the parent company of the VAILLANT GROUP in Spain, VSDI, as well as to the operational subsidiary responsible for the strategy and coordination of the after-sales services of the VAILLANT GROUP, RED OFISAT, S.L. (RED OFISAT), having established that the investigated practices would have been carried out with their knowledge and according to instructions given by them (folios 1,061 to 1,066). In the same agreement, the DC extended the initiation to another alleged anti-competitive practice consisting of imposing restrictions on independent SATs regarding the supply of spare parts with the obligation to purchase them only from the original manufacturer.  </w:t>
        <w:br/>
        <w:t xml:space="preserve">S/0629/18 National Commission of Markets and Competition Page 3 of 53  </w:t>
        <w:br/>
        <w:t xml:space="preserve">C/ Barquillo, 5 – 28004 Madrid - C/ Bolivia, 56 – 08018 Barcelona  </w:t>
        <w:br/>
        <w:t>www.cnmc.es</w:t>
      </w:r>
    </w:p>
    <w:p>
      <w:r>
        <w:rPr>
          <w:b/>
        </w:rPr>
        <w:t>[Pages 4–6]</w:t>
      </w:r>
    </w:p>
    <w:p>
      <w:r>
        <w:t>8. On October 26, 2018, having assessed the proposed commitments, the DC agreed to dismiss the proposal for conventional termination on the grounds that: (i) there would be no adequate commitments that could resolve the potential effects on competition arising from the conduct under investigation in the reference file, (ii) that the alleged anticompetitive practices are self-exhausting, without any adequate commitments that could resolve the potential irreversible effects already produced on competition as a result of them (pages 1,080 to 1,087).</w:t>
      </w:r>
    </w:p>
    <w:p>
      <w:r>
        <w:t>9. On November 14, 2018, VAILLANT, SAUNIER DUVAL, VSDI, and RED OFISAT filed an appeal before the CNMC Council pursuant to Article 47 of the LDC against the DC's decision to dismiss the proposal for conventional termination, leading to file R/AJ/093/18 Vaillant.</w:t>
      </w:r>
    </w:p>
    <w:p>
      <w:r>
        <w:t>10. On December 4, 2018, the Competition Chamber of the CNMC Council agreed to reject the appeal filed by VAILLANT, SAUNIER DUVAL, VSDI, and RED OFISAT due to the absence of defenselessness or an alleged irreparable harm to the rights or legitimate interests of the appellants as a result of the denial of the initiation of proceedings aimed at conventional termination by the DC (page 1,162).</w:t>
      </w:r>
    </w:p>
    <w:p>
      <w:r>
        <w:t>11. On January 21, 2019, the VAILLANT GROUP announced to the CNMC Council its intention to file a contentious-administrative appeal against the tacit dismissal of the request for completion and new access to the file (pages 1,174 to 1,177).</w:t>
      </w:r>
    </w:p>
    <w:p>
      <w:r>
        <w:t>12. On January 30, 2019, a second extension of the initiation was made for the commission of alleged infringements contrary to Article 1 of Law 16/1989, of July 17, on the Defense of Competition (Law 16/89), as the practices had also occurred prior to the entry into force of the LDC (pages 1,201 to 1,208).</w:t>
      </w:r>
    </w:p>
    <w:p>
      <w:r>
        <w:t>13. On February 26, 2019, VAILLANT, SAUNIER DUVAL, VSDI, and RED OFISAT, pursuant to Article 47 of the LDC, submitted an administrative appeal to the CNMC Council against the DC's agreement of February 12, 2019, which denied the requested confidentiality for certain documents and information in the file, which the DC considered necessary to substantiate the alleged infringement of the LDC, as well as to guarantee the right of defense of the parties (pages 1,396 to 1,402).</w:t>
      </w:r>
    </w:p>
    <w:p>
      <w:r>
        <w:t>14. On March 1, 2019, VAILLANT, SAUNIER DUVAL, VSDI, and RED OFISAT submitted to the DC a motivated request for reconsideration of the agreement dated February 12, 2019, requesting that the confidential nature of those documents or information whose access by third parties could cause serious and irreparable harm to the parties be maintained (pages 1,403 to 1,409). In light of the above, the DC adopted a new agreement on March 4, 2019, declaring certain documents or parts thereof confidential that had not been so in the agreement dated February 12, 2019 (pages 1,410 to 1,413).</w:t>
      </w:r>
    </w:p>
    <w:p>
      <w:r>
        <w:t>15. On March 6, 2019, VAILLANT, SAUNIER DUVAL, VSDI, and RED OFISAT submitted to the DC a letter of withdrawal of the administrative appeal filed on February 26, 2019, before the CNMC Council against the DC's agreement of February 12, 2019.</w:t>
      </w:r>
    </w:p>
    <w:p>
      <w:r>
        <w:t>16. On April 24, 2019, VAILLANT, SAUNIER DUVAL, VSDI, and RED OFISAT submitted to the DC a letter of allegations outlining the collaboration maintained with the DC throughout the procedure as well as communicating the implementation of various compliance measures to ensure compliance with competition regulations following the initiation of this sanctioning file by the CNMC (pages 2,308 to 2,359).</w:t>
      </w:r>
    </w:p>
    <w:p>
      <w:r>
        <w:t>17. On June 11, 2019, in accordance with the provisions of Article 50.3 of the LDC, the Statement of Facts (PCH) was notified to the VAILLANT GROUP, concluding that there were reasonable indications of the commission, by the VAILLANT GROUP (VAILLANT, SAUNIER DUVAL, VSDI, and RED OFISAT), of an infringement of Article 1 of Law 16/89 and the LDC (pages 2,360 to 2,412).</w:t>
      </w:r>
    </w:p>
    <w:p>
      <w:r>
        <w:t>18. On June 12, 2019, in accordance with the provisions of Articles 39.1, 50.1, and 63.1 of the LDC, VAILLANT, SAUNIER DUVAL, VSDI, and RED OFISAT were notified of a request for information from the DC in which they were required to submit information regarding the total turnover of those companies and of VAILLANT HOLDING, GMBH, corresponding to the fiscal year 2018, as well as the turnover of the companies in Spain in the market for post-sale technical assistance for boilers and heating and hot water appliances between the years 2004 and 2018, both inclusive (pages 2,425 and 2,426). On June 25, 2019, a response to this request for information was received by the CNMC clarifying that the companies VAILLANT, SAUNIER DUVAL, VSDI, and RED OFISAT, incorporated under Spanish corporate law, only carry out their economic activities in the Spanish national market, thus generating no turnover in the rest of the world (pages 2,458 to 2,461). On July 2, 2019, the CNMC received the VAILLANT GROUP's letter of allegations to the PCH, providing confidential and redacted versions of the letter, as well as 12 annexes to it, with confidentiality accepted by agreement of the instructor dated July 16, 2019 (page 2,439).</w:t>
      </w:r>
    </w:p>
    <w:p>
      <w:r>
        <w:t>19. On July 23, 2019, in accordance with the provisions of Article 33.1 of the RDC, the DC agreed to close the instruction phase (pages 2,818 to 2,826).</w:t>
      </w:r>
    </w:p>
    <w:p>
      <w:r>
        <w:t>20. On July 23, 2019, the DC issued a Proposal for Resolution (PR) concluding as follows (pages 2,828 to 2,901): “(72) The conduct investigated in this sanctioning file falls within the prohibited practices both by Article 1.1 of the LDC and by Article 1.1 of Law 16/1989, of July 17, on the defense of competition. A serious infringement has been proven consisting of the imposition of three vertical restrictions (i) restrictions on passive sales that independent SATs could carry out, (ii) price fixing for services provided by independent SATs outside maintenance contracts, and (iii) restrictions on the supply of spare parts other than those from the main manufacturer.” Furthermore, the sanctions that the DC proposes to the entities are:</w:t>
        <w:br/>
        <w:t>- VAILLANT SAUNIER DUVAL IBÉRICA, S.L.: 5,000 euros.</w:t>
        <w:br/>
        <w:t>- VAILLANT, S.L.U.: 15,000 euros.</w:t>
        <w:br/>
        <w:t>- SAUNIER DUVAL DICOSA, S.A.U.: 20,000 euros.</w:t>
        <w:br/>
        <w:t>- RED OFISAT, S.L.U.: 819,763 euros.</w:t>
      </w:r>
    </w:p>
    <w:p>
      <w:r>
        <w:t>21. On July 31, 2019, a letter from VAILLANT, RED OFISAT, SAUNIER DUVAL, and VSDI was received by the DC in which they accept in all its terms the PR notified on July 23, 2019, without presenting allegations in this regard (pages 2,986 to 2,990).</w:t>
      </w:r>
    </w:p>
    <w:p>
      <w:r>
        <w:rPr>
          <w:b/>
        </w:rPr>
        <w:t>[Pages 7–9]</w:t>
      </w:r>
    </w:p>
    <w:p>
      <w:r>
        <w:t>22. On August 1, 2019, the DC issued a Report and Proposal for resolution of the present file, submitting it to the Council of the CNMC in compliance with Article 50.5 of the LDC and 34.2 of the RDC.</w:t>
      </w:r>
    </w:p>
    <w:p>
      <w:r>
        <w:t>23. On August 5, a letter from VAILLANT, RED OFISAT, SAUNIER DUVAL, and VSDI was received by the CNMC in which they requested the Council of the CNMC to declare certain information submitted to the file and reflected in the proposal for resolution as confidential (folios 3,066 to 3,068).</w:t>
      </w:r>
    </w:p>
    <w:p>
      <w:r>
        <w:t>24. The Competition Chamber of the Council of the CNMC approved this resolution in its meeting of October 29, 2019.</w:t>
      </w:r>
    </w:p>
    <w:p>
      <w:r>
        <w:t>II. THE PARTIES</w:t>
      </w:r>
    </w:p>
    <w:p>
      <w:r>
        <w:t>1. VAILLANT GROUP</w:t>
      </w:r>
    </w:p>
    <w:p>
      <w:r>
        <w:t>The VAILLANT GROUP is a business group with an international presence in the heating, ventilation, and air conditioning products and technology sector (folio 40).</w:t>
      </w:r>
    </w:p>
    <w:p>
      <w:r>
        <w:t>According to the information provided by the parties, the VAILLANT GROUP does not manufacture its products in Spain, but imports them from various countries, mainly from the European Union, where it carries out its manufacturing activity. Therefore, the activity of the VAILLANT GROUP in Spain is limited to the marketing of its products (folio 41).</w:t>
      </w:r>
    </w:p>
    <w:p>
      <w:r>
        <w:t>The VAILLANT GROUP in Spain is composed of the companies that will be analyzed below, all of which are involved in the present file, as well as the company SAUNIER DUVAL CLIMA, S.A.U., primarily dedicated to the sale of air conditioning units and providing services to the other companies of the VAILLANT GROUP in Spain (folio 40).</w:t>
      </w:r>
    </w:p>
    <w:p>
      <w:r>
        <w:t>1.1. VAILLANT SAUNIER DUVAL IBÉRICA, S.L. (VSDI).</w:t>
      </w:r>
    </w:p>
    <w:p>
      <w:r>
        <w:t>VSDI is the holding company of the VAILLANT GROUP, incorporated under Spanish company law and with its registered office in Vitoria-Gasteiz (Álava), and wholly owned by VAILLANT HOLDING, GMBH, with its registered office in Germany.</w:t>
      </w:r>
    </w:p>
    <w:p>
      <w:r>
        <w:t>VSDI exercises exclusive control over the companies VAILLANT, SAUNIER DUVAL, and RED OFISAT, of which it is the sole partner, and in this capacity proceeds to appoint or revoke the members of their respective governing bodies (folios 308 and 309).</w:t>
      </w:r>
    </w:p>
    <w:p>
      <w:r>
        <w:t>VSDI is responsible for adopting the guidelines of the commercial policy applicable to the after-sales service segment, although it is RED OFISAT that is responsible for determining both the commercial policy and the operations in that segment (folios 309 and 310).</w:t>
      </w:r>
    </w:p>
    <w:p>
      <w:r>
        <w:t>In the fiscal year 2017, the turnover generated by VSDI amounted to 21.04 million euros (folio 1,214).</w:t>
      </w:r>
    </w:p>
    <w:p>
      <w:r>
        <w:t>1.2. VAILLANT, S.L.U.</w:t>
      </w:r>
    </w:p>
    <w:p>
      <w:r>
        <w:t>VAILLANT is a company incorporated in 1980 with its registered office in Vitoria-Gasteiz (Álava).</w:t>
      </w:r>
    </w:p>
    <w:p>
      <w:r>
        <w:t>VSDI exercises effective control over VAILLANT through the exercise of the political rights corresponding to it as the sole shareholder and through the appointment of the members of its administrative body, as stated by VAILLANT itself (folio 252).</w:t>
      </w:r>
    </w:p>
    <w:p>
      <w:r>
        <w:t>Its activity focuses on the marketing of climate control products under the "Vaillant" brand, such as boilers, water heaters, heat pumps, or air conditioning systems (folio 40).</w:t>
      </w:r>
    </w:p>
    <w:p>
      <w:r>
        <w:t>Its turnover in the fiscal year 2017 amounted to 48.4 million euros (folio 1,246).</w:t>
      </w:r>
    </w:p>
    <w:p>
      <w:r>
        <w:t>1.3. SAUNIER DUVAL DICOSA, S.A.U.</w:t>
      </w:r>
    </w:p>
    <w:p>
      <w:r>
        <w:t>SAUNIER DUVAL DICOSA, S.A.U (SAUNIER DUVAL) is a company incorporated in 1964 with its registered office in Zamudio (Vizcaya).</w:t>
      </w:r>
    </w:p>
    <w:p>
      <w:r>
        <w:t>SAUNIER DUVAL is wholly owned by VSDI, and its economic activity focuses on the marketing of climate control products under the "Saunier Duval" brand, such as boilers, water heaters, and heat pumps.</w:t>
      </w:r>
    </w:p>
    <w:p>
      <w:r>
        <w:t>As noted by the VAILLANT GROUP, in addition to "Vaillant" and "Saunier Duval"1, the GROUP markets in Spain and provides after-sales services for other brands ("Trianco," "Wiesberg," "Unical," "Renova," "Protherm," "AWB," "Rayco," and "Hermann"), to which the system corresponding to the Saunier Duval brand applies (folios 1,459 and 1,460).</w:t>
      </w:r>
    </w:p>
    <w:p>
      <w:r>
        <w:t>In 2001, VAILLANT acquired control over the Hepworth group, the owner of the SAUNIER DUVAL brand, through the acquisition of its shares. The integration of SAUNIER DUVAL into the VAILLANT GROUP was carried out in a dual aspect: (i) a corporate restructuring and (ii) commercial integration with the aim of marketing both brands independently and separately within the GROUP (folio 308).</w:t>
      </w:r>
    </w:p>
    <w:p>
      <w:r>
        <w:t>Its turnover in the fiscal year 2017 amounted to 70 million euros2.</w:t>
      </w:r>
    </w:p>
    <w:p>
      <w:r>
        <w:t>1 As stated by the VAILLANT GROUP, the brands Vaillant and Saunier Duval represent around 95% of the installed base of the group in Spain (folio 1,437).</w:t>
      </w:r>
    </w:p>
    <w:p>
      <w:r>
        <w:t>2 Information obtained from the website www.informa.com (folio 1279).</w:t>
      </w:r>
    </w:p>
    <w:p>
      <w:r>
        <w:t>1.4. RED OFISAT, S.L.</w:t>
      </w:r>
    </w:p>
    <w:p>
      <w:r>
        <w:t>RED OFISAT is the company of the VAILLANT GROUP, dependent on VSDI and dedicated to providing warranty services, maintenance, technical assistance, and the full range of after-sales services for the products marketed in Spain under the Vaillant and Saunier Duval brands, including the sale of spare parts.</w:t>
      </w:r>
    </w:p>
    <w:p>
      <w:r>
        <w:t>Its corporate purpose is the "start-up, repair, replacement of boiler parts, maintenance of domestic appliances and heating and cooling devices, as well as preventive and corrective maintenance of the same" (folio 1323).</w:t>
      </w:r>
    </w:p>
    <w:p>
      <w:r>
        <w:t>To provide these services, RED OFISAT has a network of eleven own territorial delegations (the CATs) that provide after-sales services and sell spare parts for products of the brands "Vaillant," "Saunier Duval," "Trianco," "Wiesberg," "Unical," "Renova," "Protherm," "AWB," "Rayco," and "Hermann" (folio 253), as well as another complementary network of SAT with its own legal personality in which it has a shareholding interest and that are controlled by it, jointly or exclusively, for the purposes of competition law (participated SATs), which is why the VAILLANT GROUP considers them as companies integrated into the group (folios 241-242). These participated SATs amount to 23 and usually cover areas where the territorial delegations of RED OFISAT are not present (folio 40).</w:t>
      </w:r>
    </w:p>
    <w:p>
      <w:r>
        <w:t>Its turnover in the fiscal year 2017 amounted to 69.9 million euros3.</w:t>
      </w:r>
    </w:p>
    <w:p>
      <w:r>
        <w:t>2. INDEPENDENT SATs</w:t>
      </w:r>
    </w:p>
    <w:p>
      <w:r>
        <w:t>The independent SATs are companies not participated by the companies of the VAILLANT GROUP that, under an exclusivity contract with the manufacturer, provide authorized maintenance and technical assistance services without being participated either directly or indirectly by RED OFISAT, and therefore, by the VAILLANT GROUP.</w:t>
      </w:r>
    </w:p>
    <w:p>
      <w:r>
        <w:t>The consideration of "independent" arises not only from having their own legal personality and not being under the de jure control of their principal (VAILLANT GROUP), but also because part of the development of their activity involves acting in their own name and on their own account, assuming certain economic and commercial risks for which the VAILLANT GROUP is not liable due to the existence of an exclusivity contract for the provision of after-sales services.</w:t>
      </w:r>
    </w:p>
    <w:p>
      <w:r>
        <w:t>The independent SATs are assigned a specific area or territory in which they develop their activity exclusively and provide technical assistance for the products marketed by the VAILLANT GROUP. However, generally, these independent SATs are contractually established with a brand obligation.</w:t>
      </w:r>
    </w:p>
    <w:p>
      <w:r>
        <w:rPr>
          <w:b/>
        </w:rPr>
        <w:t>[Pages 10–12]</w:t>
      </w:r>
    </w:p>
    <w:p>
      <w:r>
        <w:t>these independent SATs are contractually established with a unique brand obligation, so they cannot provide services for other brands not belonging to the VAILLANT GROUP. VAILLANT points out as an exception to the above the case of certain technical assistance service providers that operate within a limited scope and whose activity would not be viable if they were not allowed to provide maintenance services for other brands (multibrand SAT).</w:t>
      </w:r>
    </w:p>
    <w:p>
      <w:r>
        <w:t>Both independent SATs and SATs belonging to the VAILLANT GROUP provide their technical assistance services under two different regimes: (i) within the framework of maintenance contracts signed directly or indirectly by the VAILLANT GROUP with end customers and (ii) outside the framework of such maintenance contracts, in their own name and on their own account.</w:t>
      </w:r>
    </w:p>
    <w:p>
      <w:r>
        <w:t>When independent SATs operate outside of the maintenance contracts signed directly by the companies of the VAILLANT GROUP with the end customer, they should have the freedom to set their commercial policy, aside from certain conditions that the VAILLANT GROUP may establish for belonging to its official technical assistance network in terms, for example, of availability and quality of service or other vertical restrictions that may be justifiable.</w:t>
      </w:r>
    </w:p>
    <w:p>
      <w:r>
        <w:t>In contrast, when independent SATs operate within the framework of maintenance contracts signed directly or indirectly by the VAILLANT GROUP with the end customer, the VAILLANT GROUP has stated that there are differences in terms of the autonomy available to independent SATs, as well as their remuneration.</w:t>
      </w:r>
    </w:p>
    <w:p>
      <w:r>
        <w:t>The number of independent SATs with active technical assistance service contracts at the time of the investigation amounts to 54, of which 15 provide service interchangeably for the "Vaillant" and "Saunier Duval" brands, 10 exclusively for products of the "Saunier Duval" brands, and the remaining 29 for products under the "Vaillant" brand.</w:t>
      </w:r>
    </w:p>
    <w:p>
      <w:r>
        <w:t>III. REGULATORY FRAMEWORK AND ANALYSIS OF THE AFFECTED MARKET</w:t>
      </w:r>
    </w:p>
    <w:p>
      <w:r>
        <w:t>4.1. Applicable regulations for technical assistance services</w:t>
      </w:r>
    </w:p>
    <w:p>
      <w:r>
        <w:t>Royal Decree 58/1988, of January 29, on the Protection of Consumer Rights in the Repair Service of Household Appliances (RD 58/1988) is the regulation that obliges manufacturers of household appliances, including boilers and other climate control devices, to provide maintenance and after-sales services for the products they market directly or through authorized third parties.</w:t>
      </w:r>
    </w:p>
    <w:p>
      <w:r>
        <w:t>Article 1.2.2 of RD 58/1988 contains the following definition of a SAT: "Those establishments or persons who, meeting the regulatory requirements established for this activity, are dedicated to the repair, installation, and/or conservation or maintenance of household appliances and provide their services both in the premises where their activity is carried out and at the users' homes."</w:t>
      </w:r>
    </w:p>
    <w:p>
      <w:r>
        <w:t>On the other hand, Article 1.2.3 defines brand SATs as: "those technical assistance services that have written authorization from the manufacturer or its legal representative in Spain"; specifying that an "official brand" SAT includes "those technical assistance services that have written authorization from the manufacturer or its legal representative in Spain."</w:t>
      </w:r>
    </w:p>
    <w:p>
      <w:r>
        <w:t>Furthermore, by "spare part," RD 58/1988 understands: "a) any element or set of elements that perform a correct and specific function, including decorative, in the household appliance and b) any part necessary for the correct functioning of the household appliance."</w:t>
      </w:r>
    </w:p>
    <w:p>
      <w:r>
        <w:t>Regarding the scope of service provision, Article 2.4 of RD 58/1988 excludes the obligation of official SATs to provide services for appliances of other brands under the following terms: "Official brand SATs shall not be obliged to repair appliances of brands different from those they represent or that have not been legally imported, but they shall be obliged to repair all those of the brand and range they represent and whose repair is clearly and visibly advertised in the corresponding technical assistance service for the user, regardless of the establishment or place of purchase, under the terms established in this article."</w:t>
      </w:r>
    </w:p>
    <w:p>
      <w:r>
        <w:t>Article 4 of RD 58/1988 sets forth conditions for the use of spare parts by technical assistance services that: (i) the parts must be new, except if the user gives their written consent for the use of used or recovered spare parts or non-original parts, provided they are in perfect working condition and at a lower price; (ii) all technical assistance services are obliged to have available to the public documentary justification that certifies the origin, nature, and price of the spare parts used in the repairs.</w:t>
      </w:r>
    </w:p>
    <w:p>
      <w:r>
        <w:t>Finally, Article 4.6 of RD 58/1988 establishes that: "Manufacturers, importers, and official representatives of the brands shall be obliged to provide the spare parts of the brand or brands represented to users or technical assistance services, official or not, that request them, as long as they have stock of the same, and in any case within the period indicated in the previous section."</w:t>
      </w:r>
    </w:p>
    <w:p>
      <w:r>
        <w:t>4.2. Affected market</w:t>
      </w:r>
    </w:p>
    <w:p>
      <w:r>
        <w:t>The conduct subject to this resolution takes place in the sector of the provision of after-sales technical assistance services for the products marketed by the VAILLANT GROUP, namely, boilers, water heaters, heat pumps, air conditioning units, and solar technology devices.</w:t>
      </w:r>
    </w:p>
    <w:p>
      <w:r>
        <w:t>4.2.1. After-sales technical assistance market for boilers and heating and hot water appliances.</w:t>
      </w:r>
    </w:p>
    <w:p>
      <w:r>
        <w:t>Technical assistance markets are secondary or aftermarket markets, which can be defined as markets in which products or services related to the use of a durable good that has already been previously acquired are offered, which in this case would be boilers and other climate control devices marketed by the VAILLANT GROUP.</w:t>
      </w:r>
    </w:p>
    <w:p>
      <w:r>
        <w:t>There are various national precedents that have analyzed this type of market.</w:t>
      </w:r>
    </w:p>
    <w:p>
      <w:r>
        <w:t>In the resolution of the National Competition Commission (CNC) of February 13, 2014, within the framework of file S/0395/11 NATURGAS BOILERS, the market for the installation and maintenance of wall-mounted boilers and gas water heaters was analyzed, stating that: "Manufacturers of appliances usually additionally offer preventive maintenance services to end consumers (official brand services), which they carry out through their own network or by subcontracting authorized maintenance companies."</w:t>
      </w:r>
    </w:p>
    <w:p>
      <w:r>
        <w:t>It is also indicated in the aforementioned resolution that: "(T)he companies supplying natural gas also offer maintenance services, which they carry out through their own network or by subcontracting authorized maintenance companies, which may or may not be part of the official brand services."</w:t>
      </w:r>
    </w:p>
    <w:p>
      <w:r>
        <w:t>The above aligns with the organizational structure of the VAILLANT GROUP, which, as described, provides technical assistance services for its brands directly through participating SATs or through independent SATs to which it entrusts these tasks in certain geographical areas.</w:t>
      </w:r>
    </w:p>
    <w:p>
      <w:r>
        <w:rPr>
          <w:b/>
        </w:rPr>
        <w:t>[Pages 13–15]</w:t>
      </w:r>
    </w:p>
    <w:p>
      <w:r>
        <w:t>In the system developed by the VAILLANT GROUP, on one hand, the provision of technical assistance services is distinguished, which are carried out under a maintenance contract signed with the consumer, and, on the other hand, those services that are provided without such maintenance contracts and for which consumers pay fees based on "indicative or reference prices" (folio 148).</w:t>
      </w:r>
    </w:p>
    <w:p>
      <w:r>
        <w:t>VAILLANT indicates that most of the technical assistance services within the framework of maintenance contracts with its end customers are provided through the branches belonging to RED OFISAT, its participating SATs, or through independent subcontracted SATs (folios 40 and 41).</w:t>
      </w:r>
    </w:p>
    <w:p>
      <w:r>
        <w:t>Likewise, it states that the technical assistance services provided by independent SATs outside the framework of subcontracted maintenance contracts represent only a minimal part of the after-sales service activities related to products of the VAILLANT GROUP. Specifically, the VAILLANT GROUP estimates that the total number of users visited by independent non-subcontracted SATs in 2018 amounted to approximately 10% of those visited by the VAILLANT GROUP or by subcontracted independent SATs (folios 1435 and 1436).</w:t>
      </w:r>
    </w:p>
    <w:p>
      <w:r>
        <w:t>Furthermore, there would be various companies in the affected market that provide after-sales services and are not related in any way to the VAILLANT GROUP, specifically large companies such as Gas Natural or Endesa and small plumbing or installation service companies (folio 41).</w:t>
      </w:r>
    </w:p>
    <w:p>
      <w:r>
        <w:t>The VAILLANT GROUP in Spain has conducted an estimation of the after-sales service market in which its network operates (CAT, participating SATs, and independent SATs) based on: (i) the installed base in 2018 of appliances from all brands, (ii) the installed base in 2018 of products from the Vaillant and Saunier Duval brands (sales and a useful life period of around 12 years), and (iii) the number of users visited by members of its after-sales service network during 2018 (folio 1458), positioning itself in the boiler segment of the Vaillant/Saunier Duval brands with a share exceeding the 30% threshold established in Regulation (EU) 330/2010 of the Commission, of April 20, 2010, regarding the application of Article 101, paragraph 3, of the Treaty on the Functioning of the European Union to certain categories of vertical agreements and concerted practices (hereinafter, Regulation 330/2010).</w:t>
      </w:r>
    </w:p>
    <w:p>
      <w:r>
        <w:t>Thus, regarding the installed base of all climate control products (air, heat pump, boilers, water heaters) of the Vaillant/Saunier Duval brands, the market share of after-sales services would be around 33%. If it were from the boiler segment, the market share would rise to 44.2%. Additionally, it is noted that of the turnover derived from the after-sales activity of the VAILLANT GROUP, the services provided for Saunier Duval brand appliances represent approximately 65% of this figure, while the services provided for Vaillant brand appliances account for approximately the remaining 35% (folio 1432).</w:t>
      </w:r>
    </w:p>
    <w:p>
      <w:r>
        <w:t>Regarding the demand for these VAILLANT boiler maintenance services, according to the information provided by the company, there are 6 million gas boilers, of which [confidential] are from brands marketed by the VAILLANT GROUP, maintaining maintenance contracts with 38% of the end customers of these.</w:t>
      </w:r>
    </w:p>
    <w:p>
      <w:r>
        <w:t>Consumers and users are free to choose who will provide them with technical assistance services, although Royal Decree 58/1988, when regulating consumer rights, provides that manufacturers of household appliances (including gas boilers and water heaters, among others) must offer maintenance and technical assistance services for their products. Therefore, all operators active in the manufacture of boilers are also active in the after-sales market (folio 44).</w:t>
      </w:r>
    </w:p>
    <w:p>
      <w:r>
        <w:t>With respect to independent non-subcontracted SATs, that is, outside of maintenance contracts, the market share attributed to the VAILLANT GROUP would be 3.3% based on the installed base of the products of the brands marketed by the VAILLANT GROUP.</w:t>
      </w:r>
    </w:p>
    <w:p>
      <w:r>
        <w:t>In relation to the sales of spare parts, two segments could be defined within the after-sales service market: (i) after-sales maintenance and repair services, which would include the sale of spare parts to end users, and (ii) resale of such spare parts among authorized SATs or to unofficial independent SATs.</w:t>
      </w:r>
    </w:p>
    <w:p>
      <w:r>
        <w:t>The VAILLANT GROUP indicates that there is a market for the supply of spare parts in which not only the VAILLANT GROUP operates as a manufacturer of appliances and spare parts but also specialized wholesale distributors such as REMLE, BEN2010, and ARBO, which market official VAILLANT spare parts purchased in Spain or in the European Economic Area, as well as technically equivalent non-original spare parts (folio 1461).</w:t>
      </w:r>
    </w:p>
    <w:p>
      <w:r>
        <w:t>4.2.2. Geographical market.</w:t>
      </w:r>
    </w:p>
    <w:p>
      <w:r>
        <w:t>Other precedents that have analyzed markets similar to the affected one, that is, markets for maintenance, repair, or technical assistance services, have generally concluded that the geographical dimension of the same was local or regional.</w:t>
      </w:r>
    </w:p>
    <w:p>
      <w:r>
        <w:t>Regarding the maintenance and technical assistance services for boilers, the attributable geographical scope would be, at most, of provincial dimension in line with what was indicated by the Competition Defense Tribunal in the resolution of December 14, 1994, within the framework of file A 90/94 VAILLANT TECHNICAL ASSISTANCE, where it was stated that: "The market for technical assistance for heating appliances and water heaters does not have national scope but rather local or, at most, provincial."</w:t>
      </w:r>
    </w:p>
    <w:p>
      <w:r>
        <w:t>In the previously mentioned file S/0395/11 NATURGAS BOILERS, the Directorate of Investigation indicated that, although the installer or maintainer company registration certificate provided for in the Thermal Installations in Buildings Regulation, approved by Royal Decree 1027/2007, of July 20, is valid for the entire national territory: "The authorization and registration of installer and maintainer companies must be carried out before the competent authority of the Autonomous Community in which their registered office is located or in which they wish to carry out their activity. In the case of wanting to carry out the activity in an Autonomous Community different from that in which it is registered, prior notification to the Autonomous Community in which they are going to carry out their activities will be mandatory."</w:t>
      </w:r>
    </w:p>
    <w:p>
      <w:r>
        <w:t>In light of the above, a narrower definition of the geographical market could be raised, since the need for prior registration in each Autonomous Community when exercising the activity may act as a barrier to entry in the different geographical areas. On the other hand, installer and maintainer companies, especially smaller ones, operate in a local/regional geographical scope, which would reinforce the definition of a geographical market of regional scope.</w:t>
      </w:r>
    </w:p>
    <w:p>
      <w:r>
        <w:t>Furthermore, this consideration regarding the territorial scope of the market would be corroborated by the geographical delimitation contained in the maintenance and technical assistance contracts themselves, which are mostly of provincial scope or lower than provincial (regional areas in some cases). Similarly, in very similar markets in terms of their structure and functioning, such as that of lifting appliances (elevators and escalators), all existing national precedents considered that the market for installation, maintenance, and repair of elevators would be, at most, of provincial scope.</w:t>
      </w:r>
    </w:p>
    <w:p>
      <w:r>
        <w:t>IV. ACCREDITED FACTS</w:t>
      </w:r>
    </w:p>
    <w:p>
      <w:r>
        <w:t>(1) The VAILLANT GROUP provides after-sales technical assistance services for the products it markets, directly through its subsidiary RED OFISAT and through its participating SATs and independent SATs.</w:t>
      </w:r>
    </w:p>
    <w:p>
      <w:r>
        <w:rPr>
          <w:b/>
        </w:rPr>
        <w:t>[Pages 16–18]</w:t>
      </w:r>
    </w:p>
    <w:p>
      <w:r>
        <w:t>the participating SATs, and indirectly, through the independent SATs, that is, companies or individuals over which the VAILLANT GROUP has no control, as they are not owned by the group (page 40).</w:t>
      </w:r>
    </w:p>
    <w:p>
      <w:r>
        <w:t>(2) There is a duality between, on one hand, the conditions that apply to the independent SATs working with the "Vaillant" brand and, on the other hand, those applicable to the independent SATs working with the other brands of the VAILLANT GROUP, primarily "Saunier Duval" but also "Trianco," "Wiesberg," "Unical," "Renova," "Protherm," "AWB," "Rayco," and "Hermann" (hereinafter, unless otherwise indicated, the term "Saunier Duval" will also encompass the aforementioned brands).</w:t>
      </w:r>
    </w:p>
    <w:p>
      <w:r>
        <w:t>The maintenance contracts for the products marketed under the Vaillant brand are entered into between the end customers and the VAILLANT GROUP (either directly or through its CAT or participating SATs), so that the latter determines all the conditions applicable to these contracts, including prices. Such maintenance contracts may also be subcontracted to independent SATs, which therefore act merely as subcontractors on behalf of and in the name of the VAILLANT GROUP without assuming any commercial risk and without being able to modify or determine any of the conditions established by the VAILLANT GROUP. Since the contracts are signed between the VAILLANT GROUP and the end customers, it is the VAILLANT GROUP that receives the price paid by them and who compensates the independent SATs subcontracted for the services they provide under maintenance contracts, granting them a percentage of the amount established in the maintenance contract, which is billed to the customers located in the area assigned to each SAT.</w:t>
      </w:r>
    </w:p>
    <w:p>
      <w:r>
        <w:t>The maintenance contracts for "Saunier Duval" products are entered into directly between the customer and the CAT, the participating SATs, or the independent SATs, so that the latter can unilaterally set the conditions applicable to these maintenance contracts (among others, the price).</w:t>
      </w:r>
    </w:p>
    <w:p>
      <w:r>
        <w:t>The VAILLANT GROUP has stated that it does not compensate the independent SATs that are not subcontracted, as the SAT enters into maintenance contracts directly with the end consumer, receiving compensation directly from them.</w:t>
      </w:r>
    </w:p>
    <w:p>
      <w:r>
        <w:t>(3) Starting in 2014, the VAILLANT GROUP initiated a standardized commercial policy in the after-sales service segment with the aim of maintaining the same quality standards for all its customers, regardless of the brand, establishing common contractual conditions, including prices, for all CATs and participating and independent SATs of the Vaillant brand and all CATs and participating SATs of the Saunier Duval brand, and also offering independent SATs of the Saunier Duval brands the opportunity to participate in this standardized commercial policy. However, only 5 independent SATs have chosen to do so up to the close of the investigation phase.</w:t>
      </w:r>
    </w:p>
    <w:p>
      <w:r>
        <w:t>1.1. On the contracts signed between the VAILLANT GROUP and the independent SATs</w:t>
      </w:r>
    </w:p>
    <w:p>
      <w:r>
        <w:t>(4) The legal link between the VAILLANT GROUP8 (VAILLANT and SAUNIER DUVAL as main entities) and the independent SATs is structured through technical assistance service contracts, negotiated bilaterally between the parties based on the contractual model in force at the time of each negotiation (page 36).</w:t>
      </w:r>
    </w:p>
    <w:p>
      <w:r>
        <w:t>Thus, over time, the models on which the contracts signed between the VAILLANT GROUP and the multiple independent SATs it works with have been modified for each of the GROUP's brands, without these contracts being updated. This has resulted in the existence during the investigated period (2004-2018) of contracts related to the official after-sales technical assistance service for the GROUP's brands marketed in the national market based on 6 different models9.</w:t>
      </w:r>
    </w:p>
    <w:p>
      <w:r>
        <w:t>These models have been overlapping from 1981 to 2018 as summarized in the following table10, based on the detailed information in the PCH and the PR:</w:t>
      </w:r>
    </w:p>
    <w:p>
      <w:r>
        <w:t>Contract Models | Provisions | Restrictive Competition Provisions</w:t>
        <w:br/>
        <w:t>--- | --- | ---</w:t>
        <w:br/>
        <w:t>Model 1 | 5 (9%) | 23 • Prohibits passive sales outside its exclusive territory (pages 54-59) • Sets or conditions the setting of rates by the independent SATs regarding services and resale of parts • Restriction on the provision of spare parts that are not from the VAILLANT GROUP</w:t>
        <w:br/>
        <w:t>Model 2 | 2 (3.5%) | 14 • Prohibits passive sales outside its exclusive territory (pages 60-62) • Sets or conditions the setting of rates by the independent SATs regarding services and resale of parts</w:t>
        <w:br/>
        <w:t>Model 3 | 2 (3.5%) | 15 • Prohibits passive sales outside its exclusive territory (pages 63-66) • Sets or conditions the setting of rates by the independent SATs regarding services and resale of parts • Restriction on the provision of spare parts that are not from the VAILLANT GROUP</w:t>
        <w:br/>
        <w:t>Model 4 | 16 (28%) | 11 • Prohibits passive sales outside its exclusive territory (pages 67-76) • Restriction on the provision of spare parts that are not from the VAILLANT GROUP</w:t>
        <w:br/>
        <w:t>Model 5 | 12 (21%) | 12 • Prohibits passive sales outside its exclusive territory (pages 77-87) • Restriction on the provision of spare parts that are not from the VAILLANT GROUP</w:t>
        <w:br/>
        <w:t>Model 6 | 9 (16%) | 12 Model that eliminates all restrictive competition clauses, designed in 2014 as a result of a change in its commercial policy (pages 88-100)</w:t>
        <w:br/>
        <w:t>Without model | 11 (19%) | No copy | No copy</w:t>
      </w:r>
    </w:p>
    <w:p>
      <w:r>
        <w:t>As can be seen in the table, of the contracts in force of the VAILLANT GROUP with its independent SATs during the investigated period, there are 37 signed prior to 2014, the year from which a new contract model was used, of which 9 were closed with independent SATs, several of them by novation from previous contracts, leaving 11 contracts without model attribution, as VAILLANT stated that it does not have a copy of them (pages 146 and 245).</w:t>
      </w:r>
    </w:p>
    <w:p>
      <w:r>
        <w:t>(5) The contract model 6 is structured in 12 clauses that stipulate: (i) the area of operation assigned to the SAT (with recognition of passive sales), (ii) the billing criteria (recommended maximum prices), (iii) the duration and termination of the contract, (iv) other contractual obligations (responsibilities, guarantees, and information), and (iv) the procurement of spare parts from the manufacturer or approved third parties.</w:t>
      </w:r>
    </w:p>
    <w:p>
      <w:r>
        <w:t>1.2. On the vertical relationship between the VAILLANT GROUP and the independent SATs</w:t>
      </w:r>
    </w:p>
    <w:p>
      <w:r>
        <w:t>(6) Through RED OFISAT, the VAILLANT GROUP provides each independent SAT with a wide range of documents, guides, and instructions to carry out the official technical assistance services, among others11: (i) models included in the "Corporate Image Manual," specifically: (a) budget model, (b) deposit receipt model, (c) model of...</w:t>
      </w:r>
    </w:p>
    <w:p>
      <w:r>
        <w:t>11 Pages 242 to 245 of VAILLANT's response to the information request dated 14/06/2018 and pages 295 to 297 of SAUNIER DUVAL DICOSA's response to the information request dated 14/06/2018.</w:t>
      </w:r>
    </w:p>
    <w:p>
      <w:r>
        <w:rPr>
          <w:b/>
        </w:rPr>
        <w:t>[Pages 19–21]</w:t>
      </w:r>
    </w:p>
    <w:p>
      <w:r>
        <w:t>request for special services, (d) checklist model and (e) work report model; (ii) technical communications, (iii) communications regarding corporate image, which includes elements of stationery, premises, and vehicles, (iv) communications for training activities, (v) communications regarding production means12, (vi) action protocols for the start-up or repair of devices, (vii) communications regarding computer systems13 and (viii) communications regarding pricing policies both in maintenance contracts and outside maintenance contracts.</w:t>
      </w:r>
    </w:p>
    <w:p>
      <w:r>
        <w:t>1.2.1. Established facts regarding a possible restriction of passive sales</w:t>
      </w:r>
    </w:p>
    <w:p>
      <w:r>
        <w:t>(7) The technical assistance network of the VAILLANT GROUP with independent SATs in the Spanish market is based on a scheme of exclusive distribution in defined territorial areas, which sometimes coincide with provincial boundaries. However, as VAILLANT points out, when more than one CAT, participated SAT, or independent SAT operates in the same province, each of them is assigned a different geographical area, defined with reference to postal codes (folio 48).</w:t>
      </w:r>
    </w:p>
    <w:p>
      <w:r>
        <w:t>(8) In contract model 6, used from 2014 onwards, it is explicitly stated that passive sales will be exempt from the prohibition for independent SATs to provide services outside the exclusively assigned territory: “the SAT may not provide services outside the assigned area, without prejudice to the ability to respond to requests made by users outside the assigned area that do not arise from active promotional actions by the SAT.” In these cases, the SAT may fulfill the request but commits to identify itself as an unauthorized SAT in the corresponding territory and to inform users of the existence, if applicable, of another official brand SAT in that territory. The territorial restriction just outlined appears identically in two successive clauses of model 6: “2.2.) Geographical delimitation” and “3.1) Non-competition.”</w:t>
      </w:r>
    </w:p>
    <w:p>
      <w:r>
        <w:t>(9) The other contract models with independent SATs in force during the investigated period (i.e., models 1 to 5) do not contain any explicit clause that allows and authorizes the SAT to carry out passive sales outside the exclusively assigned territory by the VAILLANT GROUP, so these would not be permitted by the independent SAT.</w:t>
      </w:r>
    </w:p>
    <w:p>
      <w:r>
        <w:t>1.2.2. Established facts regarding a possible restriction on the ability of independent SATs to set their rates</w:t>
      </w:r>
    </w:p>
    <w:p>
      <w:r>
        <w:t>12 VAILLANT understands "Production Means" as agreements with suppliers from which independent SATs can benefit, such as the supply of work uniforms (folio 243 of the response to the information request dated 14/06/2018).</w:t>
      </w:r>
    </w:p>
    <w:p>
      <w:r>
        <w:t>13 These would be software packages developed by VAILLANT and made voluntarily available to the SATs (folio 244 of the response to the information request dated 14/06/2018).</w:t>
      </w:r>
    </w:p>
    <w:p>
      <w:r>
        <w:t>(10) In contract models 1 to 3, prior to the one that began to be used by the VAILLANT GROUP in 2014 (contract model 6), there are clauses that directly or indirectly set or condition the setting of rates by the SAT both for the provision of services unrelated to maintenance and technical assistance contracts14, as well as for the resale of spare parts:</w:t>
      </w:r>
    </w:p>
    <w:p>
      <w:r>
        <w:t>- In contract model 1, in the ninth provision it states (folio 2051): “The AUTHORIZED WORKSHOP will charge users for the sold or replaced parts in repairs at the current prices and without any discount. The AUTHORIZED WORKSHOP will charge for the repairs carried out the actual labor time invested, calculating it in quarter-hour fractions and at the current price at that time, as well as travel. For those interventions whose work is priced, the AUTHORIZED WORKSHOP will apply the corresponding price agreed with VAILLANT, S.L.”</w:t>
      </w:r>
    </w:p>
    <w:p>
      <w:r>
        <w:t>- In contract model 2, stipulations l) and c), it indicates that (folios 2058 and 2056) “the rates to be applied by […] will be an average of those applied by the official technical services of the competition of DICOSA or UBESA15” of the contract establishes that “DICOSA will bill directly to […], the net price resulting from applying a 25% discount and in UBESA 20% on the retail price of accessory rates.”</w:t>
      </w:r>
    </w:p>
    <w:p>
      <w:r>
        <w:t>- In contract model 3, twelfth clause (folio 2061), it states that “the rates to be applied by […], will be an average of those applied by the official technical services of the competition of SAUNIER DUVAL DICOSA, S.A., or DICOSA RADIADORES, S.A.”</w:t>
      </w:r>
    </w:p>
    <w:p>
      <w:r>
        <w:t>(11) As evidence of the notifications of the new tariff system applicable to services outside maintenance contracts to independent SATs, there is an email (folios 591-592) from the Service Manager of RED OFISAT for the Basque Country and Catalonia dated July 22, 2014, in which the following communication is circulated: “To adapt to compliance with current regulations, we will proceed, in the case of chargeable interventions not covered by maintenance contracts, to billing by minutes. As a proposal element for all, I inform you of the measures agreed yesterday with all the SATs of Madrid, of Saunier Duval and Vaillant: Unification of all Labor rates into one (boilers, water heaters, air conditioning). Billing by minutes [0.00-2.00] euros/minute up to minute 30 [0.00-2.00] euros/minute from minute 31.”</w:t>
      </w:r>
    </w:p>
    <w:p>
      <w:r>
        <w:t>(12) In an email dated April 10, 2017, a manager of an independent SAT makes the following request to RED OFISAT (folios 597-600): “I need you to design new price rates for me, we need to modify the price of normal boiler inspections [confidential]+VAT and condensing boiler [confidential]+VAT.” The response received is: “I attach the Word template for the rates. The text is completely editable so you can put yours. What is fixed are your details, the address, and the logo.” Due to certain technical configuration and printing problems on the part of the SAT, RED OFISAT warns the SAT that the prices contained in the template would only be indicative prices.</w:t>
      </w:r>
    </w:p>
    <w:p>
      <w:r>
        <w:t>(13) The VAILLANT GROUP provides a list of the rates applied by several independent SATs integrated into its computer system since 2014 for the service trips of technicians:</w:t>
      </w:r>
    </w:p>
    <w:p>
      <w:r>
        <w:t>SAT Compensation in the first 30 minutes (euros/minute)</w:t>
        <w:br/>
        <w:t>2014 2015 2016</w:t>
        <w:br/>
        <w:t>[confidential] [0.00-2.00] [0.00-2.00] [0.00-2.00]</w:t>
        <w:br/>
        <w:t>[confidential] [0.00-2.00] [0.00-2.00] [0.00-2.00]</w:t>
        <w:br/>
        <w:t>[confidential] [0.00-2.00] [0.00-2.00] [0.00-2.00]</w:t>
        <w:br/>
        <w:t>[confidential] [0.00-2.00] [0.00-2.00] [0.00-2.00]</w:t>
        <w:br/>
        <w:t>[confidential] [0.00-2.00] [0.00-2.00] [0.00-2.00]</w:t>
        <w:br/>
        <w:t>[confidential] [0.00-2.00] [0.00-2.00] [0.00-2.00]</w:t>
        <w:br/>
        <w:t>[confidential] [0.00-2.00] [0.00-2.00] [0.00-2.00]</w:t>
        <w:br/>
        <w:t>[confidential] [0.00-2.00] [0.00-2.00] [0.00-2.00]</w:t>
        <w:br/>
        <w:t>[confidential] [0.00-2.00] [0.00-2.00] [0.00-2.00]</w:t>
        <w:br/>
        <w:t>Source: Own elaboration based on data provided by VAILLANT</w:t>
      </w:r>
    </w:p>
    <w:p>
      <w:r>
        <w:t>SAT Compensation in the following minutes (euros/minute)</w:t>
        <w:br/>
        <w:t>2014 2015 2016</w:t>
        <w:br/>
        <w:t>[confidential] [0.00-2.00] [0.00-2.00] [0.00-2.00]</w:t>
        <w:br/>
        <w:t>[confidential] [0.00-2.00] [0.00-2.00] [0.00-2.00]</w:t>
      </w:r>
    </w:p>
    <w:p>
      <w:r>
        <w:rPr>
          <w:b/>
        </w:rPr>
        <w:t>[Pages 22–24]</w:t>
      </w:r>
    </w:p>
    <w:p>
      <w:r>
        <w:t xml:space="preserve">[confidential] [0.00-2.00] [0.00-2.00] [0.00-2.00]  </w:t>
        <w:br/>
        <w:t xml:space="preserve">[confidential] [0.00-2.00] [0.00-2.00] [0.00-2.00]  </w:t>
        <w:br/>
        <w:t xml:space="preserve">[confidential] [0.00-2.00] [0.00-2.00] [0.00-2.00]  </w:t>
        <w:br/>
        <w:t xml:space="preserve">[confidential] [0.00-2.00] [0.00-2.00] [0.00-2.00]  </w:t>
        <w:br/>
        <w:t xml:space="preserve">[confidential] [0.00-2.00] [0.00-2.00] [0.00-2.00]  </w:t>
        <w:br/>
        <w:t xml:space="preserve">[confidential] [0.00-2.00] [0.00-2.00] [0.00-2.00]  </w:t>
        <w:br/>
        <w:t xml:space="preserve">[confidential] [0.00-2.00] [0.00-2.00] [0.00-2.00]  </w:t>
        <w:br/>
        <w:t>Source: Own elaboration based on data provided by VAILLANT</w:t>
      </w:r>
    </w:p>
    <w:p>
      <w:r>
        <w:t>1.2.3. Established facts regarding a possible restriction of the sources of supply of spare parts that independent SATs can access</w:t>
      </w:r>
    </w:p>
    <w:p>
      <w:r>
        <w:t>(14) In contract model 1, fourth provision, it is explicitly stated that (folio 2051): “The Authorized Workshop commits to maintaining a permanent stock of the main and most common urgent parts, which will always be purchased from VAILLANT, S.L., expressly committing not to use spare parts from other sources.”</w:t>
      </w:r>
    </w:p>
    <w:p>
      <w:r>
        <w:t>(15) In contract model 3, seventh stipulation, second paragraph, it is indicated that (folio 2060): “the necessary parts for the repair of the previously mentioned devices will be acquired from SAUNIER DUVAL DICOSA, S.A., and DICOSA RADIADORES, S.A., at the corresponding tariff prices with a discount of 25% according to those established in the ninth clause.”</w:t>
      </w:r>
    </w:p>
    <w:p>
      <w:r>
        <w:t>(16) In contract model 4, clause 4, the possible acquisition of non-original spare parts outside the warranty period is established (folio 2066): “The spare parts used in warranty repairs will always be new and original VAILLANT. In any other type of repair carried out by the SAT on VAILLANT devices, the spare parts will be new and original VAILLANT, or new and original spare parts duly certified and of equal or superior quality to the original VAILLANT.” It is also specified that “the orders for spare parts and, where applicable, the returns will be processed by the SAT to VAILLANT.”</w:t>
      </w:r>
    </w:p>
    <w:p>
      <w:r>
        <w:t>(17) In model 5, clause 4.2, it is established, for the possible acquisition of non-original spare parts outside the warranty period, that (folio 2077): “The spare parts used in warranty repairs will always be new and original VAILLANT. In any other type of repair carried out by the SAT on VAILLANT devices, the spare parts will be new and original VAILLANT, or new and original spare parts duly authorized by VAILLANT and of equal or superior quality to the original VAILLANT.”</w:t>
      </w:r>
    </w:p>
    <w:p>
      <w:r>
        <w:t>(18) Model 6, clause 4.2, used from the year 2014, provides for the possibility of using equivalent quality spare parts (folio 2,088): [confidential]. In cases where the SAT does not use original parts from the BRAND, it will inform users prior to carrying out the repair and will include a specific mention in this regard in the documentation exchanged with them (repair sheets, invoices, etc.).</w:t>
      </w:r>
    </w:p>
    <w:p>
      <w:r>
        <w:t>V. LEGAL GROUNDS</w:t>
      </w:r>
    </w:p>
    <w:p>
      <w:r>
        <w:t>FIRST. JURISDICTION TO RESOLVE</w:t>
      </w:r>
    </w:p>
    <w:p>
      <w:r>
        <w:t>According to Article 5.1.c) of Law 3/2013, of June 4, creating the National Commission of Markets and Competition (LCNMC), the CNMC is responsible for “applying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Consequently, the jurisdiction to resolve this procedure corresponds to the Competition Chamber of the CNMC Council.</w:t>
      </w:r>
    </w:p>
    <w:p>
      <w:r>
        <w:t>SECOND. OBJECT OF THE RESOLUTION AND APPLICABLE REGULATIONS</w:t>
      </w:r>
    </w:p>
    <w:p>
      <w:r>
        <w:t>The Competition Chamber of the Council must resolve in this file, based on the instruction carried out by the DC as reflected in the report and resolution proposal, whether the investigated practices constitute an infringement of Article 1 of the LDC and Law 16/89.</w:t>
      </w:r>
    </w:p>
    <w:p>
      <w:r>
        <w:t>Both the LDC and Law 16/89 prohibit any agreement, decision, or collective recommendation, or concerted or consciously parallel practice, that has as its object, produces, or may produce the effect of preventing, restricting, or distorting competition in all or part of the national market and, in particular, those consisting of the fixing of prices or other commercial conditions and the allocation of the market or sources of supply.</w:t>
      </w:r>
    </w:p>
    <w:p>
      <w:r>
        <w:t>Choosing one legal provision over another could be considered indifferent given their practical identity. However, according to the provisions of Article 26 of Law 40/2015, of October 1, on the Legal Regime of the Public Sector (LRJSP), the applicable regulations must be the one that is most beneficial for the infringer in the specific case, in accordance with the principles of non-retroactivity of the more unfavorable sanctioning norm and retroactivity of the more favorable one.</w:t>
      </w:r>
    </w:p>
    <w:p>
      <w:r>
        <w:t>Notwithstanding that the conduct regulated by the respective Article 1 of the aforementioned laws is identical, according to the National Court16 and the precedents of this Chamber17, in this case, the sanctioning regime designed by Law 15/2007 is, from a global perspective, more favorable to infringers than that contemplated by Law 16/89.</w:t>
      </w:r>
    </w:p>
    <w:p>
      <w:r>
        <w:t xml:space="preserve">This appreciation of Law 15/2007 as the more favorable law results, among other elements of judgment, from the following aspects:  </w:t>
        <w:br/>
        <w:t xml:space="preserve">- from the non-existent system of grading infringements in the previous legislation;  </w:t>
        <w:br/>
        <w:t xml:space="preserve">- from the establishment of maximum caps on the amount of some sanctions of lower amounts than the general one provided by Article 10 of Law 16/89;  </w:t>
        <w:br/>
        <w:t xml:space="preserve">- from the reduction of limitation periods for some of the typified conducts, or  </w:t>
        <w:br/>
        <w:t>- from the possibility, common to all who have participated in a cartel, to request exemption from the payment of the fine or reduction of the amount of the fine under the leniency program, introduced precisely by Law 15/2007.</w:t>
      </w:r>
    </w:p>
    <w:p>
      <w:r>
        <w:t>In view of this, Law 15/2007 is, in general terms, the applicable norm to the present sanctioning procedure.</w:t>
      </w:r>
    </w:p>
    <w:p>
      <w:r>
        <w:t>THIRD. PROPOSAL FOR RESOLUTION OF THE INSTRUCTING BODY</w:t>
      </w:r>
    </w:p>
    <w:p>
      <w:r>
        <w:t xml:space="preserve">Once the sanctioning procedure has been instructed, the DC has proposed to this Chamber that the existence of conduct prohibited by Articles 1 of Law 16/89 and Law 15/2007 be declared, consisting of:  </w:t>
        <w:br/>
        <w:t xml:space="preserve">- The restriction of passive sales in technical assistance contracts with independent SATs from at least May 18, 2004, until June 2018.  </w:t>
        <w:br/>
        <w:t xml:space="preserve">- The fixing of prices to the SATs from at least May 18, 2004, until August 2018.  </w:t>
        <w:br/>
        <w:t>- The restriction of cross-supply of spare parts to independent SATs from at least May 18, 2004, until August 2018.</w:t>
      </w:r>
    </w:p>
    <w:p>
      <w:r>
        <w:t>Considering the nature of the conduct and its authors, the DC proposes that they be classified, for the purposes of determining the sanction to be imposed, as a serious infringement of Article 62.3.a) of the LDC.</w:t>
      </w:r>
    </w:p>
    <w:p>
      <w:r>
        <w:t>17 Among others, CNMC Resolutions of June 12, 2014, file S/0444/12, GEA; of September 22, 2014, file S/0428/12, Palés; of December 4, 2014, file S/0453/12 Railway Bearings; and of May 26, 2016, file S/0504/14, AIO.</w:t>
      </w:r>
    </w:p>
    <w:p>
      <w:r>
        <w:rPr>
          <w:b/>
        </w:rPr>
        <w:t>[Pages 25–27]</w:t>
      </w:r>
    </w:p>
    <w:p>
      <w:r>
        <w:t>The DC considers the following companies responsible for said infringement and proposes that the sanctions provided for in Article 63.1.b) of the LDC be imposed on them:</w:t>
        <w:br/>
        <w:t>- VAILLANT SAUNIER IBÉRICA, S.L.</w:t>
        <w:br/>
        <w:t>- VAILLANT, S.L.U.</w:t>
        <w:br/>
        <w:t>- SAUNIER DUVAL DICOSA, S.A.U.</w:t>
        <w:br/>
        <w:t>- RED OFISAT, S.L.U.</w:t>
      </w:r>
    </w:p>
    <w:p>
      <w:r>
        <w:t>FOURTH. ASSESSMENT OF THE COMPETITION CHAMBER</w:t>
      </w:r>
    </w:p>
    <w:p>
      <w:r>
        <w:t>1. Delimitation of the restrictive practices subject to the file</w:t>
      </w:r>
    </w:p>
    <w:p>
      <w:r>
        <w:t>The VAILLANT GROUP provides technical assistance services to its clients in Spain through a network composed of its own branches, integrated into the group through RED OFISAT, its after-sales service subsidiary, as well as various affiliated companies (affiliated SATs) and independent third parties, whether natural or legal persons (independent SATs).</w:t>
      </w:r>
    </w:p>
    <w:p>
      <w:r>
        <w:t>This Chamber analyzes the practices arising from the validity of the technical assistance service contracts entered into between companies belonging to the VAILLANT GROUP and the independent SATs for products of the SAUNIER DUVAL brand and for products of the VAILLANT brand outside the maintenance and technical assistance contracts. Through these contracts, the freedom of enterprise of the independent SATs has been limited, preventing them from making passive sales in territories other than those contractually assigned, setting the prices of the technical assistance services they must apply, and obliging them to purchase spare parts exclusively from the manufacturer, which restricts cross-supplies among the other members of the official technical assistance network of the VAILLANT GROUP.</w:t>
      </w:r>
    </w:p>
    <w:p>
      <w:r>
        <w:t>Regarding the restrictions on passive sales, it has been proven that contract models 1 to 5 of technical assistance, examined in the table included in the proven fact (4), combine exclusive distribution by geographical areas with the restriction of the activity of independent SATs outside the areas assigned by the VAILLANT GROUP, which would affect both the provision of technical assistance services and the sale of spare parts. This circumstance is reflected not only in the establishment of an operational territory for the SATs but also, in certain contractual models, specifically models 4 and 5, this limitation is reinforced by explicitly stating that the assigned territory "will be strictly respected, in order to avoid interference with other SATs."</w:t>
      </w:r>
    </w:p>
    <w:p>
      <w:r>
        <w:t>Thus, in all contract models in force from at least May 18, 2004, until 2018, except for model 6, which began to be applied from September 2014, there are clauses limiting the capacity of independent SATs to respond to unsolicited service requests from areas outside those assigned in each contract.</w:t>
      </w:r>
    </w:p>
    <w:p>
      <w:r>
        <w:t>Regarding the setting of prices for technical assistance services, it has been proven that contract models 1 to 3 of official technical assistance, examined in the table included in the proven fact (4), lead to the setting by the VAILLANT GROUP of the prices applied by independent SATs when providing their services and reselling spare parts outside the framework of the maintenance contracts concluded with end customers.</w:t>
      </w:r>
    </w:p>
    <w:p>
      <w:r>
        <w:t>Price setting occurs directly in contract 1, which establishes that the SAT will charge users for the sold or replaced parts in repairs at the same current prices and without any discount, and indirectly in contracts 2 and 3. In these latter contracts, the prices applied by the SATs are linked to the resale prices of competitors in the case of service tariffs, while for spare parts, the selling price of the VAILLANT GROUP is linked to the resale price applied by the SAT, which implies a way of setting the reseller's margin, which indirectly constitutes price fixing.</w:t>
      </w:r>
    </w:p>
    <w:p>
      <w:r>
        <w:t>In relation to the restrictions on the supply of spare parts, all contracts examined in the table included in the proven fact (4) originally established an obligation for independent SATs to source exclusively from the VAILLANT GROUP regarding spare parts, so that it was not permitted to use parts that were not from the VAILLANT GROUP brands or to purchase spare parts from VAILLANT GROUP brands from other members of the official technical assistance network other than the entities belonging to the VAILLANT GROUP. This is clear in contract models 1 and 3 entered into between the VAILLANT GROUP and the independent SATs, in which it is agreed that the supply of spare parts will be exclusively carried out by the manufacturer and that they must be original. In turn, in contract models 4, 5, and 6, a distinction is made between the warranty period, during which the independent SAT is obliged to use original parts, and the subsequent period in which non-original parts may be used, provided that they are of equal or superior quality to the originals supplied by the VAILLANT GROUP.</w:t>
      </w:r>
    </w:p>
    <w:p>
      <w:r>
        <w:t>2. Typicality and unlawfulness of the conduct</w:t>
      </w:r>
    </w:p>
    <w:p>
      <w:r>
        <w:t>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consisting of:</w:t>
        <w:br/>
        <w:t>a) The direct or indirect fixing of prices or other commercial or service conditions.</w:t>
      </w:r>
    </w:p>
    <w:p>
      <w:r>
        <w:t>b) The limitation or control of production, distribution, technical development or investments.</w:t>
      </w:r>
    </w:p>
    <w:p>
      <w:r>
        <w:t>c) The allocation of the market or sources of supply. [...]"</w:t>
      </w:r>
    </w:p>
    <w:p>
      <w:r>
        <w:t>The prohibition in Article 1 of the LDC requires the concurrence of three requirements: that there is an agreement between at least two companies, and that it has as its object or produces or may produce a restriction of competition in the market. Furthermore, Article 1.3 of the LDC states that "the prohibition in paragraph 1 shall not apply to agreements, decisions, recommendations, and practices that contribute to improving the production or marketing and distribution of goods and services or to promoting technical or economic progress, without any prior decision being necessary for such purposes, provided that:</w:t>
        <w:br/>
        <w:t>a) They allow consumers or users to participate equitably in their advantages,</w:t>
        <w:br/>
        <w:t>b) They do not impose on the interested companies restrictions that are not indispensable for achieving those objectives, and</w:t>
        <w:br/>
        <w:t>c) They do not allow participating companies the possibility of eliminating competition regarding a substantial part of the products or services concerned."</w:t>
      </w:r>
    </w:p>
    <w:p>
      <w:r>
        <w:t>In assessing a possible application of the exemption in Article 1.3 of the LDC, it will be taken into account that the existing contractual relationships are vertical agreements in the sense of Regulation (EU) 330/2010 of the Commission. The proven facts show the existence of a series of contracts in force between 2004 and 2018 between the VAILLANT GROUP and the independent SATs that contain vertical restrictions on competition in the market for the provision of after-sales technical assistance services for the products marketed by the VAILLANT GROUP.</w:t>
      </w:r>
    </w:p>
    <w:p>
      <w:r>
        <w:t>According to established case law18 in infringements of Article 1 of the LDC and Article 1 of Law 16/89, such as those analyzed in this resolution, the fact that the conduct, manifested in any of its forms, has the object of restricting competition is sufficient to consider its unlawfulness, without the need to demonstrate the existence of effects, nor even that this agreement has been materialized.</w:t>
      </w:r>
    </w:p>
    <w:p>
      <w:r>
        <w:t>The technical assistance service contracts are vertical agreements entered into between a principal (in this case, the VAILLANT GROUP) and companies to which the provision of such services is delegated in its name, but operating independently. It is the existence or non-existence of a regime of freedom and independence that will determine whether such contracts, signed and executed by the entities involved, constitute agreements that fall into the category of restrictive vertical agreements in competition.</w:t>
      </w:r>
    </w:p>
    <w:p>
      <w:r>
        <w:rPr>
          <w:b/>
        </w:rPr>
        <w:t>[Pages 28–30]</w:t>
      </w:r>
    </w:p>
    <w:p>
      <w:r>
        <w:t>the meaning given by Article 1.1 of the RDC: “the agreements or concerted practices entered into between two or more companies that operate, for the purposes of the agreement or concerted practice, at different levels of the production or distribution chain and that refer to the conditions under which the parties may acquire, sell or resell certain goods or services.”</w:t>
      </w:r>
    </w:p>
    <w:p>
      <w:r>
        <w:t>As already noted, the VAILLANT GROUP has been signing exclusive technical assistance service contracts with independent SATs. Through these contracts, which have been in effect until 2018, a series of unlawful behaviors have been implemented consisting of particularly serious vertical restrictions concerning products of the SAUNIER DUVAL brand and the VAILLANT brand outside of maintenance and technical assistance contracts.</w:t>
      </w:r>
    </w:p>
    <w:p>
      <w:r>
        <w:t>Firstly, regarding the prohibition of passive sales imposed by the VAILLANT GROUP, while contract model 6 provides for the possibility that independent SATs may carry out passive sales outside the assigned territory19, as an exception to the general prohibition of operating outside of it, the other models in effect during the investigated period impose an absolute prohibition, which constitutes a particularly serious restriction of competition, expressly contemplated in the REC.</w:t>
      </w:r>
    </w:p>
    <w:p>
      <w:r>
        <w:t>The very wording of the Guidelines on vertical restrictions approved by the European Commission (Vertical Guidelines)20 allows us to appreciate the seriousness of a prohibition on passive sales:</w:t>
      </w:r>
    </w:p>
    <w:p>
      <w:r>
        <w:t>“There are four exceptions to the particularly serious restriction contemplated in Article 4, letter b), of the Block Exemption Regulation. The first exception of Article 4, letter b), point i) allows suppliers to restrict active sales made by their direct buyers to a territory or to a GROUP of customers that has been exclusively assigned to another buyer or that the supplier has reserved for itself. A territory or GROUP of customers is considered to be assigned only to one distributor for its distribution in a specific territory or to a specific GROUP of customers, and the exclusive distributor is protected in its territory or GROUP of customers against active sales from all other buyers of the supplier within the Union, regardless of the supplier's sales. The supplier is allowed to combine the assignment of an exclusive territory and an exclusive GROUP of customers, designating, for example, an exclusive distributor to a specific GROUP of customers in a certain territory. This protection of territories or groups of customers assigned exclusively must, however, allow for passive sales to such territories or groups of customers.”</w:t>
      </w:r>
    </w:p>
    <w:p>
      <w:r>
        <w:t>Therefore, both Regulation 330/2010 and the Vertical Guidelines allow that in the context of an exclusive distribution system such as that implemented by the VAILLANT GROUP, in which each SAT, whether belonging to the group or not, has been assigned a geographical area to carry out its activity as an official technical assistance service, restrictions on active sales may be established, making it clear that such territorial restriction cannot also be applied to passive sales.</w:t>
      </w:r>
    </w:p>
    <w:p>
      <w:r>
        <w:t>For their part, the companies involved have indicated in their submissions to the PCH that the territorial exclusivity provided for in the technical assistance contracts brings the following efficiencies and benefits for consumers and users: (i) the territorial limitation corresponds to a short operating radius so that travel does not consume much time and immediate technical assistance can be provided to customers; (ii) the exclusive territorial limitation also guarantees the economic viability of the independent SAT and, therefore, that it can provide its services; and (iii) shorter distances and travel times, by reducing transportation costs, result in lower prices for consumers and users.</w:t>
      </w:r>
    </w:p>
    <w:p>
      <w:r>
        <w:t>However, this Chamber considers that while the exclusive territorial distribution of SATs may be justified due to the economic efficiencies it generates, residual competition in the maintenance and technical assistance market would only persist through passive sales, something that is formally excluded in at least 70% of the contracts between the VAILLANT GROUP and independent SATs, constituting a restriction by object that is particularly serious and violates Article 1 of the LDC.</w:t>
      </w:r>
    </w:p>
    <w:p>
      <w:r>
        <w:t>Secondly, the clauses present in contract models 1 to 3 that stipulate the setting of prices for technical assistance services constitute a particularly serious vertical restriction, as clarified by the Vertical Guidelines in paragraph 48:</w:t>
      </w:r>
    </w:p>
    <w:p>
      <w:r>
        <w:t>“The particularly serious restriction contemplated in Article 4, letter a), of the Block Exemption Regulation refers to the maintenance of resale price (RPM), that is, those agreements or concerted practices whose direct or indirect object is the establishment of a fixed or minimum resale price or a fixed or minimum price level to which the buyer must adhere. The restriction raises no doubts in the case of contractual clauses or concerted practices that directly set the resale price.”</w:t>
      </w:r>
    </w:p>
    <w:p>
      <w:r>
        <w:t>This is evidenced in contract model 1, which establishes that the SAT will charge users for the sold or replaced parts in repairs at the current prices and without any discount, as well as the manner in which labor and travel costs must be charged, and that the agreed price with the VAILLANT GROUP must be applied for those interventions whose work is priced.</w:t>
      </w:r>
    </w:p>
    <w:p>
      <w:r>
        <w:t>For their part, contract models 2 and 3 lead to an indirect price setting by the VAILLANT GROUP for independent SATs, which does not prevent this from being equally restrictive of competition as paragraph 48 of the Vertical Guidelines continues to state:</w:t>
      </w:r>
    </w:p>
    <w:p>
      <w:r>
        <w:t>“However, RPM can also be achieved through indirect means. Examples of this latter possibility are agreements that set the distribution margin; setting the maximum level of discount that the distributor can grant based on a certain established price level; subordinating the granting of discounts or the reimbursement by the supplier of promotional costs to the observance of a certain price level; linking the established resale price to the resale prices of competitors; threats, intimidation, warnings, fines, delays or suspension of deliveries or contract terminations in relation to the observance of a certain price level. Direct or indirect price-setting means are more effective when combined with measures aimed at identifying distributors who lower prices, such as implementing a price control system or requiring retailers to report other members of the distribution network who deviate from the established price level. Similarly, direct or indirect price setting can be achieved more effectively if combined with measures capable of reducing the buyer's incentives to lower the resale price, such as the possibility for the supplier to print a recommended resale price on the product or to require the buyer to apply a most favored customer clause. The same indirect means and “accompanying” measures can be used to ensure that recommended maximum prices function as RPM” [emphasis added].</w:t>
      </w:r>
    </w:p>
    <w:p>
      <w:r>
        <w:t>Furthermore, it has been found that communications directed to independent SATs regarding the recommended prices applicable to services outside of maintenance contracts excessively detail the commercial and billing conditions of the services, facilitating that independent SATs opt for simple compliance with them rather than developing their own rates in a truly autonomous manner.</w:t>
      </w:r>
    </w:p>
    <w:p>
      <w:r>
        <w:t>For all the above reasons, this Chamber considers that the technical assistance contracts of the VAILLANT GROUP signed according to models 1 to 3 contain a vertical restriction consisting of limiting the prices applied by independent SATs in their technical assistance services.</w:t>
      </w:r>
    </w:p>
    <w:p>
      <w:r>
        <w:rPr>
          <w:b/>
        </w:rPr>
        <w:t>[Pages 31–33]</w:t>
      </w:r>
    </w:p>
    <w:p>
      <w:r>
        <w:t>In the third place, regarding the restrictions on the supply of spare parts, it is true that these have been relaxed in the latest contract models, although the obligation for spare parts to be purchased directly from the VAILLANT GROUP remains in all models, which restricts cross-supplies between the independent SATs in a selective technical assistance service provision system.</w:t>
      </w:r>
    </w:p>
    <w:p>
      <w:r>
        <w:t>This Chamber considers it reasonable for the VAILLANT GROUP to include in its contracts the prohibition of selling spare parts of VAILLANT GROUP brands to operators who do not belong to the official technical assistance network or to impose minimum quality requirements, in order to prevent supplies not coming directly from the VAILLANT GROUP from containing defects that could harm its brand image. However, it is excessive to restrict the sources of supply for independent SATs in this manner, contributing to accentuating the economic dependency relationship they maintain with the VAILLANT GROUP.</w:t>
      </w:r>
    </w:p>
    <w:p>
      <w:r>
        <w:t>Thus, it is considered justified to impose on the SATs the obligation to acquire spare parts exclusively of the VAILLANT brand, provided that it is established that non-original spare parts of standard qualities, at least equivalent to the originals, may be used.</w:t>
      </w:r>
    </w:p>
    <w:p>
      <w:r>
        <w:t>At this point, it happens that the technical assistance contracts of the VAILLANT GROUP signed according to models 1 and 3 contain a particularly serious vertical restriction in the sense of Regulation 330/2010, consisting of not allowing independent SATs to acquire spare parts from other members belonging to the official technical assistance network of the VAILLANT GROUP.</w:t>
      </w:r>
    </w:p>
    <w:p>
      <w:r>
        <w:t>In short, the clarity of the vertical restrictions contained in the analyzed contracts leaves no doubt about their potentially harmful nature for the competitive process.</w:t>
      </w:r>
    </w:p>
    <w:p>
      <w:r>
        <w:t>Regarding the legal qualification of this infringement, Article 62.3.a) of the LDC establishes that serious infringements include the development of collusive conduct as provided in Article 1 of the Law, when they consist of agreements, decisions, or collective recommendations, concerted practices, or consciously parallel practices among companies that are not competitors with each other, whether real or potential. Therefore, this Chamber considers that the proven conduct constitutes a serious infringement in accordance with Article 62.3.a) of the LDC.</w:t>
      </w:r>
    </w:p>
    <w:p>
      <w:r>
        <w:t>As has been pointed out, this Chamber also considers that in the present case the application of the exemption provided in Article 1.3 of the LDC is not possible due to its significant anti-competitive effects. The practices have not resulted in any efficiencies and have not generated benefits for the consumer or the clients of the companies participating in the conduct in any case. Nor have these clients participated equitably in the advantages since they were unaware of the existence of the conduct due to the secret nature of the agreements adopted, among other reasons.</w:t>
      </w:r>
    </w:p>
    <w:p>
      <w:r>
        <w:t>Likewise, the practices analyzed would fall within the scope of conduct excluded from the concept of minor importance, as indicated in Article 2.2 of the RDC, which expressly includes those consisting of the establishment of a fixed or minimum resale price to which the buyer must adhere, the imposition of passive sales restrictions to end users by a distribution network in an exclusively assigned territory, or restrictions on the supply of spare parts.</w:t>
      </w:r>
    </w:p>
    <w:p>
      <w:r>
        <w:t>3. Duration of the conduct. Single and continuous infringement</w:t>
      </w:r>
    </w:p>
    <w:p>
      <w:r>
        <w:t>In line with the proposal submitted to this Chamber, it must be considered proven the commission of a serious infringement of Article 1.1 of the LDC consisting of the establishment of vertical restrictions in technical assistance contracts with independent SATs.</w:t>
      </w:r>
    </w:p>
    <w:p>
      <w:r>
        <w:t>There is abundant national and European Union jurisprudence indicating that the attribution of a single and continuous infringement must be preceded by the concurrence of the following requirements: i) that the conduct is due to the existence of a plurality of acts carried out by the same responsible subjects, close in time, and that obey a homogeneous practice in the modus operandi through the use of similar measures, instruments, or techniques; ii) that the actions of the responsible parties occur in execution of a previously conceived plan; iii) that there is unity of the legal provision violated so that the legal good harmed is coincident, of the same or similar nature. Regarding the continuity of the conduct, the jurisprudence only requires that there are no significant gaps of inactivity or lack of evidence of the maintenance of the anti-competitive agreements.</w:t>
      </w:r>
    </w:p>
    <w:p>
      <w:r>
        <w:t>Without prejudice to the individualization of the responsibility that this Chamber will carry out in the corresponding section, the single and continuous infringement includes the proven conduct in the file related to the implementation of vertical agreements between non-competing companies through the signing of a series of contracts on technical assistance services between the VAILLANT GROUP and the independent SATs that have been overlapping over time.</w:t>
      </w:r>
    </w:p>
    <w:p>
      <w:r>
        <w:t>During the period from December 14, 1994, to May 17, 2004, the contracts for the provision of technical assistance services entered into between the VAILLANT GROUP and the independent SATs were covered by the singular authorization granted by the Competition Defense Tribunal (TDC) under the provisions of Article 3.1 of Law 16/89:</w:t>
      </w:r>
    </w:p>
    <w:p>
      <w:r>
        <w:t>"Agreements, decisions, recommendations, and practices referred to in Article 1, or categories thereof, that contribute to improving the production or marketing of goods and services, or to promoting technical or economic progress, may be authorized, provided that: a) They allow consumers or users to participate adequately in their advantages; b) They do not impose on the interested companies restrictions that are not indispensable for achieving those objectives; and c) They do not allow the participating companies the possibility of eliminating competition regarding a substantial part of the products or services concerned."</w:t>
      </w:r>
    </w:p>
    <w:p>
      <w:r>
        <w:t>Even though several of the technical assistance contracts with vertical restriction clauses were in force since 1986, the singular authorization granted to VAILLANT in December 1994 under the competition legislation in force during that period until the withdrawal of the extension on May 17, 2004, meant the non-application of Article 1 of Law 16/89 in relation to those contracts.</w:t>
      </w:r>
    </w:p>
    <w:p>
      <w:r>
        <w:t>However, following the monitoring of the obligations imposed in each authorization resolution, the TDC issued a report, dated November 19, 2003, concluding that: "the response of the company Vaillant S.L., to the condition set forth by this Tribunal in numeral 2 of the dispositive part of the reference Resolution, has proven clearly insufficient for the intended purposes, so it cannot be stated that it has complied with the aforementioned condition and that this non-compliance implies that with the practical application of the aforementioned contract, restrictions to competition are being produced, unnecessary for the fulfillment of the objectives for which it was promoted."</w:t>
      </w:r>
    </w:p>
    <w:p>
      <w:r>
        <w:t>Therefore, although the anti-competitive practices proven by the TDC could not be subject to sanction under the singular authorization granted to Vaillant S.L., subsequently the TDC rejected the extension of that singular authorization for non-compliance with the imposed obligations, ending the validity of the authorization on May 18, 2004.</w:t>
      </w:r>
    </w:p>
    <w:p>
      <w:r>
        <w:t>Regarding the termination of the infringements, it has been proven that the VAILLANT GROUP sent a communication to the independent SATs, at least, in June 2018, regarding the legality and possibility of carrying out passive sales.</w:t>
      </w:r>
    </w:p>
    <w:p>
      <w:r>
        <w:t>Likewise, VAILLANT determined the modification and unification of the contracts signed with the independent SATs in order to align them with an improved version of the contract, based on the contract model that VAILLANT provided to the DC in its request for conventional termination, dated August 1, 2018, which included all the necessary modifications to address the doubts raised by the DC.</w:t>
      </w:r>
    </w:p>
    <w:p>
      <w:r>
        <w:rPr>
          <w:b/>
        </w:rPr>
        <w:t>[Pages 34–36]</w:t>
      </w:r>
    </w:p>
    <w:p>
      <w:r>
        <w:t>As a result of the above, the conduct has been carried out in the following time intervals:</w:t>
      </w:r>
    </w:p>
    <w:p>
      <w:r>
        <w:t>(i) The restriction of passive sales in the technical assistance contracts with independent SATs through service provision contracts signed from models 1 to 5, from at least May 18, 2004, until June 2018.</w:t>
      </w:r>
    </w:p>
    <w:p>
      <w:r>
        <w:t>(ii) The setting of prices by the SATs through contracts signed from models 1 to 3, from May 18, 2004, until August 2018.</w:t>
      </w:r>
    </w:p>
    <w:p>
      <w:r>
        <w:t>(iii) The restriction of the supply of spare parts to independent SATs through technical assistance contracts signed from models 1 to 3, from at least May 18, 2014, until August 2018.</w:t>
      </w:r>
    </w:p>
    <w:p>
      <w:r>
        <w:t>4. Effects of the conduct in the market</w:t>
      </w:r>
    </w:p>
    <w:p>
      <w:r>
        <w:t>For an infringement of competition rules to exist, it is sufficient, in accordance with Article 1.1 of the LDC, that the practice has as its object, produces, or may produce the effect of preventing, restricting, or distorting competition in all or part of the national market. To this end, the CNC23 and the CNMC24 have reiterated that it is sufficient for the agreement in question, whether express or tacit, to meet one of the following three premises: that it aims to prevent, restrict, or distort competition, even if it does not succeed; that it has the effect of doing so, even if it did not have such a purpose; and that, without producing the effect or pursuing it, it has the capacity to do so.</w:t>
      </w:r>
    </w:p>
    <w:p>
      <w:r>
        <w:t>That is to say, the type of Article 1 of the LDC does not require the production of effects, but is perfected with the capacity or suitability of the conduct to produce them, even if they are not manifested, since the conducts considered an infringement by object have such a potential to distort competition that it exempts competition authorities from proving that they have indeed caused harm.</w:t>
      </w:r>
    </w:p>
    <w:p>
      <w:r>
        <w:t>On these bases, the wording of the restrictive clauses contained in models 1 to 5 of the service provision contracts with independent SATs during the period from May 18, 2004, to August 2018 has favored the introduction in after-sales technical services of elements that limit and hinder the access of customers of the products marketed by the VAILLANT GROUP to the provision of services requested outside the exclusively assigned areas, to the payment of rates in a competitive regime outside maintenance contracts and to access to spare parts under better and more favorable competitive conditions, without mandatory dependence on the supply of original parts produced by the manufacturer.</w:t>
      </w:r>
    </w:p>
    <w:p>
      <w:r>
        <w:t>However, along with these restrictions by object, which doctrine has considered "black clauses" due to their special nature in a contract, attention must be paid to the fact that, to the extent that these practices are self-exhausting, a series of irreversible effects in the market would have occurred as a consequence of them, as recorded in the denial of the conventional termination of the DC (folios 1,078 and 1,079).</w:t>
      </w:r>
    </w:p>
    <w:p>
      <w:r>
        <w:t>On the other hand, the VAILLANT GROUP began in August 201825, and as a priority, a process of modification and unification of the technical assistance service contracts signed with independent SATs based on the improved model provided to the DC in the request for conventional termination. This includes the necessary modifications that ensure full compliance with competition rules, being aware of the need to correct the restrictive practices that were occurring in the technical assistance service market as a result of the restrictive clauses of the previous contracts.</w:t>
      </w:r>
    </w:p>
    <w:p>
      <w:r>
        <w:t>It is noteworthy that on April 29, 2019, prior to the submission of the PCH in the context of this file, the VAILLANT GROUP reported on the progress made in the modification and unification of the technical assistance contracts with independent SATs and stated that the new contract model has been signed with 85% of the independent SATs affiliated with the technical assistance service network and that additionally it has proceeded to: (i) the implementation of a new communication policy with clear guidelines that its employees must follow in commercial contacts with independent SATs and (ii) the sending of an electronic communication to independent SATs reminding them of the absence of restrictions on making passive sales to customers outside the assigned area26.</w:t>
      </w:r>
    </w:p>
    <w:p>
      <w:r>
        <w:t>This Chamber considers that these corrective actions are a response given by the VAILLANT GROUP not only to correct the practices contrary to competition identified by the DC in the contract models from 1 to 5 of technical assistance services but also go further, addressing other issues, such as the communication campaign to the SATs or the training of VAILLANT GROUP employees in competition law27, so that all clauses of the new contract are in line with competition rules.</w:t>
      </w:r>
    </w:p>
    <w:p>
      <w:r>
        <w:t>However, although VAILLANT has stated that with each new contract model these conditions are applied to all SATs with previous contracts, the truth is that this assertion has not been fully substantiated for various reasons. In this regard, VAILLANT has acknowledged that it never communicated to the independent SATs that the new contractual conditions would apply to them once the new models were approved, so they could not reasonably foresee that different clauses from those signed would be applied to them.</w:t>
      </w:r>
    </w:p>
    <w:p>
      <w:r>
        <w:t>5. Liability of the entities involved</w:t>
      </w:r>
    </w:p>
    <w:p>
      <w:r>
        <w:t>For the exercise of the sanctioning power in the field of competition defense, Article 61 of the LDC provides that "the infringing subjects shall be the natural or legal persons who carry out the actions or omissions classified as infringements in this Law" and also requires the concurrence of intent or negligence in the conduct carried out by the infringing subject. Likewise, the actions of a company are also attributable to the companies or persons who control it, except when its economic behavior is not determined by any of them.</w:t>
      </w:r>
    </w:p>
    <w:p>
      <w:r>
        <w:t>As detailed in the previous sections, the entities involved, according to their respective individualized intervention, have participated in conduct that falls within the definition of anti-competitive agreements entered into between companies operating at different stages of the production or distribution chain defined in Article 1 of the LDC. Specifically, the anti-competitive conduct has been coordinated between the VAILLANT GROUP and the independent SATs with which the technical assistance service contracts were negotiated and signed.</w:t>
      </w:r>
    </w:p>
    <w:p>
      <w:r>
        <w:t>In fact, between the VAILLANT GROUP and the independent SATs, vertical agreements between non-competing companies have been applied through which a relationship of dependence of the SATs on the VAILLANT GROUP has been established, although this operates horizontally in the after-sales service market through RED OFISAT and the participating SATs.</w:t>
      </w:r>
    </w:p>
    <w:p>
      <w:r>
        <w:t>Having established and qualified the conduct contrary to the LDC, Article 63.1 of the same norm conditions the exercise of the sanctioning power regarding fines by the competition authority on the concurrence in the infringing subject of intent or negligence in the commission of the imputed conduct.</w:t>
      </w:r>
    </w:p>
    <w:p>
      <w:r>
        <w:t>27 According to the information provided by VAILLANT in its written allegations to the PCH of July 2, the training of personnel includes the staff of the Legal Department of the VAILLANT GROUP, the Marketing Department staff, and the executives of the group companies.</w:t>
      </w:r>
    </w:p>
    <w:p>
      <w:r>
        <w:rPr>
          <w:b/>
        </w:rPr>
        <w:t>[Pages 37–39]</w:t>
      </w:r>
    </w:p>
    <w:p>
      <w:r>
        <w:t>In the present case, the Chamber considers that it has been widely proven that the entities involved were aware of and conscious of the unlawfulness of the conduct carried out during the period individualized for each economic operator. Regarding the dependence and strategic subordination of the independent SATs in relation to the principal, the VAILLANT GROUP has not only acted as the governing party in the contracts for the provision of technical assistance services with the independent SATs, but it also maintains permanent communications with its entire after-sales service network, including the independent SATs, in order to ensure the services provided, such as: (a) communications about corporate image, (b) communications about training programs, (c) communications about agreements made with suppliers, (d) communications about computer systems, and (e) communications about tariff updates applicable both within maintenance contracts and for services outside of those contracts.</w:t>
      </w:r>
    </w:p>
    <w:p>
      <w:r>
        <w:t>It is appropriate to highlight the different roles that each of the involved entities has played within the framework of the vertical relationships between the VAILLANT GROUP and the independent SATs. On one hand, VAILLANT, S.L. and SAUNIER DUVAL, DICOSA, S.A.U. have been responsible for negotiating and signing the contracts for the provision of assistance services, as marketers of VAILLANT and SAUNIER products in the national market. On the other hand, RED OFISAT has played the role of transmitter of the communications from the VAILLANT GROUP and its strategies in the after-sales segment that were regularly sent to the independent SATs and included the procedures to be followed for carrying out after-sales services, as well as the maximum recommended prices for charging for technical assistance services and for the resale of spare parts.</w:t>
      </w:r>
    </w:p>
    <w:p>
      <w:r>
        <w:t>Notwithstanding the above, it is necessary to take into account the coordinating function that must be attributed to the parent company of the VAILLANT GROUP, which exercises effective control over all the companies by exercising the political rights conferred by being the sole shareholder and by appointing the members of the governing bodies of all of them.</w:t>
      </w:r>
    </w:p>
    <w:p>
      <w:r>
        <w:t>Consequently, the VAILLANT GROUP, through its subsidiaries VAILLANT, S.L., SAUNIER DUVAL DICOSA, S.A.U., and RED OFISAT, S.L., has been acting as the sole responsible party for the alleged particularly serious vertical restrictions by maintaining in nearly 70% of the contracts for technical assistance with independent SATs various clauses that, by their nature, would be infringing Article 1 of the LDC, in the terms already indicated.</w:t>
      </w:r>
    </w:p>
    <w:p>
      <w:r>
        <w:t>Finally, this Chamber appreciates the communication by the VAILLANT GROUP on April 29, 2019, regarding the implementation of various legal and organizational measures aimed at ending the practices subject to this file, also reflecting the proactive and transparent communication with the DC from the beginning of the procedure. Among these legal and organizational measures are the modification and unification of the contracts signed with the independent SATs in order to align them with an improved version of the same, modifications that have been signed by the majority of the independent SATs.</w:t>
      </w:r>
    </w:p>
    <w:p>
      <w:r>
        <w:t>FIFTH. ALLEGATIONS ON CONFIDENTIALITY</w:t>
      </w:r>
    </w:p>
    <w:p>
      <w:r>
        <w:t>On August 5, 2019, a written submission was received regarding the PR in which the entities comprising the VAILLANT GROUP requested confidentiality for certain data reflected in the PR, providing a redacted version of the paragraphs describing the information (folios 3,066 to 3,068).</w:t>
      </w:r>
    </w:p>
    <w:p>
      <w:r>
        <w:t>This Chamber, after analyzing the aforementioned information, considers that it deserves the consideration of confidential, as it refers to commercially and strategically sensitive data of the group of companies that could constitute trade secrets, such as the content of the clauses of the contracts prepared by the VAILLANT GROUP.</w:t>
      </w:r>
    </w:p>
    <w:p>
      <w:r>
        <w:t>It is therefore appropriate to declare confidential sections 14, 15, 16, and 50 of the PR, as well as footnote 152 thereof (folios 2,882, 2,889, and 2,891).</w:t>
      </w:r>
    </w:p>
    <w:p>
      <w:r>
        <w:t>SIXTH. DETERMINATION OF THE SANCTION</w:t>
      </w:r>
    </w:p>
    <w:p>
      <w:r>
        <w:t>The analyzed conduct consists of the imposition of vertical restrictions prohibited by Article 1.1 of the LDC by VAILLANT SAUNIER DUVAL IBÉRICA S.L., VAILLANT S.L.U., SAUNIER DUVAL DICOSA S.A.U., and RED OFISAT S.L., in their contracts with the independent SATs for the provision of technical assistance services. This infringement has been manifested in different contract models that included the various types of restrictions employed, specifically:</w:t>
      </w:r>
    </w:p>
    <w:p>
      <w:r>
        <w:t>i) restrictions on passive sales regarding the provision of technical assistance services outside the areas assigned to each of them;</w:t>
      </w:r>
    </w:p>
    <w:p>
      <w:r>
        <w:t>ii) the setting of prices for the provision of services by the SATs; and</w:t>
      </w:r>
    </w:p>
    <w:p>
      <w:r>
        <w:t>iii) restrictions on the supply of spare parts.</w:t>
      </w:r>
    </w:p>
    <w:p>
      <w:r>
        <w:t>It is therefore a serious infringement (art. 62.3.a of the LDC) of Article 1 of the LDC (and of art. 1 of Law 16/1989), which may be sanctioned with a fine of up to 5% of the total turnover of the infringing company in the year immediately preceding the imposition of the fine (art. 63.1.b), that is, 2018.</w:t>
      </w:r>
    </w:p>
    <w:p>
      <w:r>
        <w:t>The total turnovers of these companies in the year 2018 were as follows:</w:t>
      </w:r>
    </w:p>
    <w:p>
      <w:r>
        <w:t>Total turnover</w:t>
        <w:br/>
        <w:t>Company</w:t>
        <w:br/>
        <w:t>in 2018 (VNT, €)</w:t>
        <w:br/>
        <w:t>VAILLANT SAUNIER DUVAL IBÉRICA 28,518,000</w:t>
        <w:br/>
        <w:t>VAILLANT 58,304,000</w:t>
        <w:br/>
        <w:t>SAUNIER DUVAL DICOSA 79,059,000</w:t>
        <w:br/>
        <w:t>RED OFISAT 117,109,000</w:t>
      </w:r>
    </w:p>
    <w:p>
      <w:r>
        <w:t>The sanctioning rate that corresponds to be imposed on these companies must be determined based on the grading criteria of Article 64.1 of the LDC:</w:t>
      </w:r>
    </w:p>
    <w:p>
      <w:r>
        <w:t>- The market affected by the conduct is the after-sales technical assistance market for boilers and heating and hot water appliances (art. 64.1.a).</w:t>
      </w:r>
    </w:p>
    <w:p>
      <w:r>
        <w:t>- The market share of the responsible company or companies (art. 64.1.b). The share of the Vaillant/Saunier Duval brands is between 33% and 44% of the market, depending on whether all climate control products are considered or only the boiler segment.</w:t>
      </w:r>
    </w:p>
    <w:p>
      <w:r>
        <w:t>- The scope of the infringement (art. 64.1.c). The scope of the contracts between RED OFISAT and the independent SATs is normally provincial or lower, but the conduct has affected the entire national territory.</w:t>
      </w:r>
    </w:p>
    <w:p>
      <w:r>
        <w:t>- The duration of the infringement (art. 64.1.d). The conduct has taken place from May 18, 2004, until June 2018 (in the case of the restriction of passive sales) and until August 2018 (in relation to price fixing and the restriction of supplies of spare parts).</w:t>
      </w:r>
    </w:p>
    <w:p>
      <w:r>
        <w:t>- The effects of the infringement in the market (art. 64.1.e). The analyzed conduct has had the effect of restricting the passive sales of the independent SATs in territories other than those contractually assigned, has prevented or restricted the autonomous setting of prices by the SATs, and has prevented them from acquiring spare parts from other members belonging to the official technical assistance network of the VAILLANT GROUP.</w:t>
      </w:r>
    </w:p>
    <w:p>
      <w:r>
        <w:t>- Finally, mitigating circumstances have been noted, in accordance with the provisions of Article 64.3 of the LDC, due to the active and effective collaboration during the sanctioning procedure, as well as for having carried out various actions aimed at ending the infringement through the modification and unification of the contracts for the provision of technical assistance with the independent SATs voluntarily initiated by the VAILLANT GROUP.</w:t>
      </w:r>
    </w:p>
    <w:p>
      <w:r>
        <w:rPr>
          <w:b/>
        </w:rPr>
        <w:t>[Pages 40–42]</w:t>
      </w:r>
    </w:p>
    <w:p>
      <w:r>
        <w:t>from August 2018 (with all contracts currently replaced or adapted), including the implementation of communication campaigns with the SAT, all prior to the notification of the PCH in the present file.</w:t>
      </w:r>
    </w:p>
    <w:p>
      <w:r>
        <w:t>Taking into account all the circumstances considered in the points mentioned above, it would be appropriate to impose on the infringing companies a total sanction rate of 0.70% of the total turnover of each in the year prior to this sanctioning resolution.</w:t>
      </w:r>
    </w:p>
    <w:p>
      <w:r>
        <w:t>This sanction rate is appropriate to the severity and characteristics of the infringement of the companies. However, although a sanction rate may be proportionate to the severity and characteristics of the infringement committed, at times, the application of that percentage to the total turnover of the company could lead to a penalty in euros that would be disproportionate in relation to the actual dimension of the anticompetitive conduct.</w:t>
      </w:r>
    </w:p>
    <w:p>
      <w:r>
        <w:t>To carry out any assessment of proportionality, it is necessary to estimate the illicit benefit that each infringing entity could have obtained from the conduct under very prudent assumptions, and apply an incremental deterrent factor29. This estimate is used as a reference value, above which it is considered that the fine could be disproportionate.</w:t>
      </w:r>
    </w:p>
    <w:p>
      <w:r>
        <w:t>In the case of RED OFISAT, the imposed fine is well below the estimated proportionality limit, so no adjustment is warranted.</w:t>
      </w:r>
    </w:p>
    <w:p>
      <w:r>
        <w:t>However, in the case of infringing companies that do not have activity in the affected market but whose participation in the infringement has been proven, a sanction is assigned that adequately reflects two factors: their lack of direct benefit and their full participation in the infringement.</w:t>
      </w:r>
    </w:p>
    <w:p>
      <w:r>
        <w:t>The following table shows the fines corresponding to each of the companies:</w:t>
      </w:r>
    </w:p>
    <w:p>
      <w:r>
        <w:t>Company                                      Fine (€)</w:t>
        <w:br/>
        <w:t>VAILLANT SAUNIER DUVAL IBÉRICA      5,000</w:t>
        <w:br/>
        <w:t>VAILLANT                                           15,000</w:t>
        <w:br/>
        <w:t>SAUNIER DUVAL DICOSA                     20,000</w:t>
        <w:br/>
        <w:t>RED OFISAT                                     819,763</w:t>
      </w:r>
    </w:p>
    <w:p>
      <w:r>
        <w:t>RESOLVES</w:t>
      </w:r>
    </w:p>
    <w:p>
      <w:r>
        <w:t>First. Declare that in the present file a violation of Article 1 of Law 15/2007, of July 3, on the Defense of Competition, as well as Article 1 of Law 16/1989, of July 17, on the Defense of Competition, has been proven, as outlined in the fourth legal basis of this resolution, consisting of the establishment by several companies of the VAILLANT GROUP of vertical restrictions in their contracts with independent SAT for the provision of technical assistance services.</w:t>
      </w:r>
    </w:p>
    <w:p>
      <w:r>
        <w:t>Such conduct is classified as a serious infringement as provided in Article 62.3.a) of the LDC.</w:t>
      </w:r>
    </w:p>
    <w:p>
      <w:r>
        <w:t>Second. Declare the following companies responsible for the infringement:</w:t>
        <w:br/>
        <w:t>1. VAILLANT SAUNIER DUVAL IBÉRICA, S.L.</w:t>
        <w:br/>
        <w:t>2. VAILLANT, S.L.U.</w:t>
        <w:br/>
        <w:t>3. SAUNIER DUVAL DICOSA, S.A.U.</w:t>
        <w:br/>
        <w:t>4. RED OFISAT, S.L.U.</w:t>
      </w:r>
    </w:p>
    <w:p>
      <w:r>
        <w:t>Third. Impose the following sanctioning fines:</w:t>
        <w:br/>
        <w:t>1. VAILLANT SAUNIER DUVAL IBÉRICA, S.L.: 5,000 euros</w:t>
        <w:br/>
        <w:t>2. VAILLANT, S.L.U.: 15,000 euros</w:t>
        <w:br/>
        <w:t>3. SAUNIER DUVAL DICOSA, S.A.U.: 20,000 euros</w:t>
        <w:br/>
        <w:t>4. RED OFISAT, S.L.U.: 819,763 euros</w:t>
      </w:r>
    </w:p>
    <w:p>
      <w:r>
        <w:t>Fourth. Order the infringing companies to refrain in the future from engaging in conduct similar to that classified and sanctioned in this Resolution.</w:t>
      </w:r>
    </w:p>
    <w:p>
      <w:r>
        <w:t>Fifth. Request the Competition Directorate to monitor the full compliance with this Resolution.</w:t>
      </w:r>
    </w:p>
    <w:p>
      <w:r>
        <w:t>Sixth: Resolve on the confidentiality regarding the documentation provided by the companies in accordance with what is indicated in the Fifth Legal Basis of this resolution.</w:t>
      </w:r>
    </w:p>
    <w:p>
      <w:r>
        <w:t>Communicate this Resolution to the Competition Directorate of the National Commission on Markets and Competition and notify the interested parties, informing them that there is no administrative appeal against it, and that they may file a contentious-administrative appeal before the Audiencia Nacional within two months from the day following its notification.</w:t>
      </w:r>
    </w:p>
    <w:p>
      <w:r>
        <w:rPr>
          <w:b/>
        </w:rPr>
        <w:t>[Pages 43–45]</w:t>
      </w:r>
    </w:p>
    <w:p>
      <w:r>
        <w:t>VOTE BY COUNCILOR Dª MARÍA PILAR CANEDO</w:t>
      </w:r>
    </w:p>
    <w:p>
      <w:r>
        <w:t xml:space="preserve">1. Objective and content of the particular vote .......................................................... 44  </w:t>
        <w:br/>
        <w:t xml:space="preserve">2. Elements of the resolution that justify this vote ................................................ 44  </w:t>
        <w:br/>
        <w:t xml:space="preserve">3. The determination of the sanctioning rates for the companies ......................... 46  </w:t>
        <w:br/>
        <w:t>4. The relationship between the sanctions imposed on the sanctioned companies ...... 51</w:t>
      </w:r>
    </w:p>
    <w:p>
      <w:r>
        <w:t xml:space="preserve">Vote by Councilor Dª María Pilar Canedo  </w:t>
        <w:br/>
        <w:t>In the exercise of the authority conferred upon me by Article 11.3 of the Internal Operating Regulation of the CNMC and with the utmost respect for the opinion of the majority of the Competition Chamber of the CNMC, I submit this particular concurrent vote with the legal qualification of the facts established in the resolution, although I disagree on the amount and method of calculation of the imposed sanction30.</w:t>
      </w:r>
    </w:p>
    <w:p>
      <w:r>
        <w:t xml:space="preserve">1. Objective and content of the particular vote  </w:t>
        <w:br/>
        <w:t xml:space="preserve">The objective of this particular vote is to express disagreement with the resolution on the following points:  </w:t>
        <w:br/>
        <w:t xml:space="preserve">1. The resolution imposes clearly insufficient fines in light of the sanctioned facts, failing to respect the principles of efficiency, proportionality, and deterrence required by Spanish and European regulation, resulting in extraordinarily low amounts that detrimentally affect public finances and harm the taxpayer.  </w:t>
        <w:br/>
        <w:t xml:space="preserve">2. The application of the reduction of sanctions for collaboration with the administration as contained in the resolution lacks normative or jurisprudential support in our legal system and, as will be explained, would not even be justified by the analogical application of European jurisprudence in this regard.  </w:t>
        <w:br/>
        <w:t>3. The imposed fines create discrimination among the companies, as the calculation does not sufficiently consider the different role that each one plays in the conduct contrary to what is required by Article 64 LDC and the jurisprudence interpreting it.</w:t>
      </w:r>
    </w:p>
    <w:p>
      <w:r>
        <w:t xml:space="preserve">2. Elements of the resolution that justify this vote  </w:t>
        <w:br/>
        <w:t xml:space="preserve">4. The resolution establishes the existence of a vertical agreement constituting a serious infringement typified in Article 1 of the LDC committed by several companies of the VAILLANT group.  </w:t>
        <w:br/>
        <w:t xml:space="preserve">It has been established that the service contracts for technical assistance entered into between companies belonging to the VAILLANT GROUP and the independent SATs for the products of the SAUNIER DUVAL brand and for the products of the VAILLANT brand have limited the freedom of enterprise of the independent SATs, preventing them from making passive sales in territories other than those contractually assigned, setting the prices of the technical assistance services they were to apply, and forcing them to purchase spare parts exclusively from the manufacturer.  </w:t>
        <w:br/>
        <w:t xml:space="preserve">It is considered established that these behaviors restrict the cross supplies among the members of the official technical assistance network of the VAILLANT GROUP.  </w:t>
        <w:br/>
        <w:t xml:space="preserve">The resolution states that "the sanctioning rate that corresponds to be imposed on these companies must be determined based on the grading criteria of Article 64.1 of the LDC:  </w:t>
        <w:br/>
        <w:t xml:space="preserve">- The market affected by the conduct is the post-sale technical assistance market for boilers and heating and hot water appliances (art. 64.1.a).  </w:t>
        <w:br/>
        <w:t xml:space="preserve">- The market share of the responsible company or companies (art. 64.1.b). The share of the Vaillant/Saunier Duval brands is between 33% and 44% of the market, depending on whether all climate control products or only the boiler segment are considered.  </w:t>
        <w:br/>
        <w:t xml:space="preserve">- The scope of the infringement (art. 64.1.c). The scope of the contracts between RED OFISAT and the independent SATs is normally provincial or lower, but the conduct has affected the entire national territory.  </w:t>
        <w:br/>
        <w:t xml:space="preserve">- The duration of the infringement (art. 64.1.d). The conduct has taken place from May 18, 2004, until June 2018 (in the case of the restriction of passive sales) and until August 2018 (in relation to price fixing and the restriction of supplies of spare parts).  </w:t>
        <w:br/>
        <w:t xml:space="preserve">- The effects of the infringement in the market (art. 64.1.e). The analyzed conduct has had the effect of restricting the passive sales of independent SATs in territories other than those contractually assigned, has prevented or restricted the autonomous price setting by the SATs, and has prevented them from acquiring spare parts from other members belonging to the official technical assistance network of the VAILLANT GROUP."  </w:t>
        <w:br/>
        <w:t xml:space="preserve">Mitigating circumstances are noted, in accordance with the provisions of Article 64.3 of the LDC, due to active and effective collaboration during the sanctioning procedure.  </w:t>
        <w:br/>
        <w:t xml:space="preserve">All of this leads the DC to propose and the Chamber to confirm the imposition of a sanctioning rate of 0.70% of the turnover of the company active in the maintenance market, resulting in a fine "far below the estimated proportionality limit, so no adjustment is warranted."  </w:t>
        <w:br/>
        <w:t>"In the case of the infringing companies that do not have activity in the affected market but whose participation in the infringement has been established, they are</w:t>
      </w:r>
    </w:p>
    <w:p>
      <w:r>
        <w:rPr>
          <w:b/>
        </w:rPr>
        <w:t>[Pages 46–48]</w:t>
      </w:r>
    </w:p>
    <w:p>
      <w:r>
        <w:t>assigns a sanction that adequately reflects two factors: its lack of direct benefit and its full participation in the infringement."</w:t>
      </w:r>
    </w:p>
    <w:p>
      <w:r>
        <w:t>Therefore, fines of €5,000 are imposed on VAILLANT SAUNIER DUVAL IBÉRICA - which represents 0.017% of its total turnover; €15,000 on Vaillant - 0.025% of its total turnover; and €20,000 on SAUNIER DUVAL DICOSA - 0.025% of its total turnover.</w:t>
      </w:r>
    </w:p>
    <w:p>
      <w:r>
        <w:t>5. Although Article 5 of Regulation 1/2003 states that it is the responsibility of the competition authorities of the Member States "to impose punitive fines, coercive fines, or any other sanction provided for by their national law," it also establishes the mandate to carry out an effective and uniform application of European competition law, which is reinforced in Directive ECN+. This directive, in its Article 13, requires states to ensure that competition authorities can impose "effective, proportionate, and dissuasive financial penalties on companies and associations of companies" for infringements of competition law.</w:t>
      </w:r>
    </w:p>
    <w:p>
      <w:r>
        <w:t>For these reasons, and although EU law does not apply, it is essential to analyze whether the imposed sanctions meet the mentioned objectives. Two issues fundamentally lead this counselor to present this dissenting vote, both related to different elements concerning the setting of sanctions for the involved companies.</w:t>
      </w:r>
    </w:p>
    <w:p>
      <w:r>
        <w:t>3. The determination of sanctioning rates for the companies</w:t>
      </w:r>
    </w:p>
    <w:p>
      <w:r>
        <w:t>6. The resolution states that the companies have implemented "a series of unlawful behaviors consisting of particularly serious vertical restrictions in relation to the products of the SAUNIER DUVAL brand and the VAILLANT brand outside of maintenance and technical assistance contracts" in the form of a prohibition on passive sales; setting prices for technical assistance services, and restrictions on the supply of spare parts from 2004 to 2018.</w:t>
      </w:r>
    </w:p>
    <w:p>
      <w:r>
        <w:t>It also acknowledges that the conduct has had "notable anti-competitive effects."</w:t>
      </w:r>
    </w:p>
    <w:p>
      <w:r>
        <w:t>Therefore, it concludes that the Vaillant group "has been acting as the sole responsible party for the alleged particularly serious vertical restrictions by maintaining in nearly 70% of the technical assistance contracts with independent SAT various clauses that, by their nature, would be infringing Article 1 of the LDC, in the terms already indicated."</w:t>
      </w:r>
    </w:p>
    <w:p>
      <w:r>
        <w:t>Despite this, the rate of 0.70% proposed by the DC and confirmed by the Chamber is determined, as indicated, taking into account the appreciation of the existence of mitigating factors that fundamentally focus on the existence of cooperation with the authority and the implementation of a communication program within the companies' compliance program.</w:t>
      </w:r>
    </w:p>
    <w:p>
      <w:r>
        <w:t>7. There would be several possibilities for reducing sanctioning rates in European legislation (apart from leniency or conventional termination also regulated in our legal system).</w:t>
      </w:r>
    </w:p>
    <w:p>
      <w:r>
        <w:t>8. The first of these would be the so-called transaction, currently not in force in our legal system (the so-called settlements in English). Generally, these are a form of agreement between the competition authority and the companies that implies for the former a way to shorten the sanctioning procedure in cases where the companies do not contest the existence of the facts, the infringement, and their responsibility in exchange for a reduction in the amount of the sanction that would have been imposed. In the European Union, they are regulated in Regulation 773/2004 and introduce a simplified procedure in cartel cases. Considering the sanction calculation system of the European Commission, the fine can be reduced by 10% once the maximum limit is applied. Furthermore, if an increase is made to achieve adequate deterrence, it will not exceed a multiplying factor of 2.</w:t>
      </w:r>
    </w:p>
    <w:p>
      <w:r>
        <w:t>Much of the doctrine supports the 10% reduction of the sanction established in the EU system and is openly against reductions exceeding 20%, fundamentally considering that in transactions the competition authority has complete evidence of the existence of the infringement and the procedure only seeks a simplification of the process while considering the necessary deterrence required by the sanction system.</w:t>
      </w:r>
    </w:p>
    <w:p>
      <w:r>
        <w:t>9. In cases where transactions would not apply (outside of cartel cases), the Commission has recently made reductions in the amount of sanctions in cases of cooperation from the companies. The first reductions occurred in the ARA case.</w:t>
      </w:r>
    </w:p>
    <w:p>
      <w:r>
        <w:t>The Commission openly stated in the ARA matter that the cooperation of the companies can be taken into consideration in any case and that the assessment must be carried out in an analysis of the specific case as long as there is a formal request from the company acknowledging the infringement and proposing necessary and proportional structural remedies (paragraph 161).</w:t>
      </w:r>
    </w:p>
    <w:p>
      <w:r>
        <w:t>Subsequently, following the Philips, Pioneer, Guess, and Nike matters, related to infringements due to vertical agreements that could resemble the case subject to this resolution, it determined conditions for applying reductions.</w:t>
      </w:r>
    </w:p>
    <w:p>
      <w:r>
        <w:t>In order to ensure adequate legal certainty and the required respect for the principle of equality among operators, the Commission has published a document clarifying that the level of reduction of sanctions for companies that acknowledge their responsibility in an infringement will be based on a general analysis of the extent and duration of the infringement, the cooperation offered, and the level of efficiency achieved in each specific case.</w:t>
      </w:r>
    </w:p>
    <w:p>
      <w:r>
        <w:t>In the mentioned cases (Philips, Guess, and Nike), the companies acknowledged the infringement before the statement of objections and revealed anti-competitive restrictions that were not known to the authority until the companies presented additional evidence to what the administration had.</w:t>
      </w:r>
    </w:p>
    <w:p>
      <w:r>
        <w:t>In the GUESS case, the Commission found the company responsible for making distribution agreements that limited the possibilities of distributors in various ways from January 1, 2014, to October 31, 2017.</w:t>
      </w:r>
    </w:p>
    <w:p>
      <w:r>
        <w:t>The resolution expressly states that the company cooperated with the authority beyond what was legally required, in particular, revealing to the Commission infringements of the rules that were not yet known to the administration (specifically regarding the prohibition of using the brand and trade name in online advertising). Furthermore, the company provided evidence that represented significant added value and expressly acknowledged the facts and the infringement. Guess waived procedural rights "which resulted in administrative efficiency."</w:t>
      </w:r>
    </w:p>
    <w:p>
      <w:r>
        <w:t>The Commission granted a 50% reduction in the amount of the sanction, which approached 40 million euros.</w:t>
      </w:r>
    </w:p>
    <w:p>
      <w:r>
        <w:t>In the Nike case, the Commission imposed a sanction of 12.5 million euros on the company for prohibiting traders from selling licensed products to other EEA countries for 13 years. Nike also cooperated with the Commission beyond its legal obligation to do so, in particular by providing information that allowed the Commission to expand the scope of the investigation. The company also provided evidence with significant value.</w:t>
      </w:r>
    </w:p>
    <w:p>
      <w:r>
        <w:rPr>
          <w:b/>
        </w:rPr>
        <w:t>[Pages 49–51]</w:t>
      </w:r>
    </w:p>
    <w:p>
      <w:r>
        <w:t>added and expressly acknowledged the facts and the infringements of EU competition law. The Commission granted a 40% reduction of the fine.</w:t>
      </w:r>
    </w:p>
    <w:p>
      <w:r>
        <w:t>10. To assess the amount of the sanction imposed in the case now resolved, we must start from the fact that, for a fine to adequately fulfill its repressive and preventive functions, it must be effective, proportionate, and deterrent, and must take into account the severity and duration of the conduct.</w:t>
      </w:r>
    </w:p>
    <w:p>
      <w:r>
        <w:t>11. In the case now being resolved, the transaction procedure could not be applied, since it requires a legal basis that is not contained in the Spanish legal system. Even if it were, we are faced with a vertical infringement, so settlement would not be possible if, as seems likely, a forthcoming modification of Spanish regulation that would accommodate this institution were based on the parameters of European law. As we have seen, the reduction provided for these cases is 10% of the fine that would be imposed without the existence of a transaction.</w:t>
      </w:r>
    </w:p>
    <w:p>
      <w:r>
        <w:t>12. To apply other reductions of sanctioning rates (40 or 50% in the mentioned cases), conditions have been identified that are not met in the case now resolved. It is not recorded in the file that there has been collaboration from the companies "beyond their legal obligation to do so," nor that, as in the three mentioned cases, they have provided information that would allow the authority to expand the scope of the investigation. It follows from the file that the DC did not accept the Conventional Termination presented by the companies, which is consistent with the fact that the conduct has produced effects and has lasted for 14 years. The fact that the company has waived judicial remedies against the aforementioned rejection decision (to which the factual background 15 of the resolution refers) cannot be framed within the efficiencies referred to in the procedure designed by the Commission, as it does not refer to the facts themselves or their legal qualification. It is not even evident from the file that the companies have expressly accepted the facts or the infringement, much less that they have provided data of which the administration was unaware and that would have allowed for the expansion of the scope of the file.</w:t>
      </w:r>
    </w:p>
    <w:p>
      <w:r>
        <w:t>13. Considering the duration and extent of the facts and comparing the cooperation of the companies in this case and in the described cases, it does not seem that it could be deduced that the reduction could reach the percentages of the analyzed cases (40 and 50% respectively). The sanctions imposed in this case -0.70% in one of them and in the others still much lower- do not indicate, as the resolutions of the Commission do, the level of reduction decided nor do they allow for a control of the motivation of the sanctions for the companies affected directly or indirectly by them. Therefore, even in the event that the aforementioned doctrine of the European Commission could be applied, the sanctions proposed by the DC and imposed in the resolution would not meet the requirements of proportionality and deterrence that efficient application of competition law in the European Union demands, nor the necessary transparency in the criteria used for their determination.</w:t>
      </w:r>
    </w:p>
    <w:p>
      <w:r>
        <w:t>14. Furthermore, and in any case, it should be noted that the aforementioned jurisprudence is applicable to the sanction calculation system essentially contained in Regulation 1/2003, which applies to those imposed by the Commission and not to those imposed by national authorities, especially in a case like this where Article 101 of the TFEU does not apply. In the case of the Spanish authority, according to the Supreme Court ruling of 2015, the criteria for the graduation of sanctions are those contained in Article 64 LDC. The scope and duration of the infringement referred to and the effects of the typified conduct do not allow for the conclusion that a proportional and deterrent sanction can be achieved with fines of such a small amount. Even if the companies had ceased the conduct once the file was initiated, the effects have lasted for 14 years and affected customers and distributors as derived from the resolution.</w:t>
      </w:r>
    </w:p>
    <w:p>
      <w:r>
        <w:t>15. The limited definition of the facts in the resolution by reducing the contracts to categories and numbers (declaring the more detailed information confidential) limits the possibilities of claiming damages by those affected - which, while not being the function of the competition authority, should not be hindered by it - and also benefits the infringing companies, just like the low amount of the sanction.</w:t>
      </w:r>
    </w:p>
    <w:p>
      <w:r>
        <w:t>35 Special reflection will be warranted when it becomes legally possible to carry out this type of negotiations or transactions between companies and the competition authority, regarding the distribution of powers among the different instructing and decision-making bodies, a matter that is not addressed in European cases where such a distinction is nonexistent.</w:t>
      </w:r>
    </w:p>
    <w:p>
      <w:r>
        <w:t>36 Judgment of the Supreme Court of January 29, 2015, Administrative Litigation Chamber, Section 3, Cassation Appeal 2872/2013.</w:t>
      </w:r>
    </w:p>
    <w:p>
      <w:r>
        <w:t>4. The relationship between the sanctions imposed on the sanctioned companies</w:t>
      </w:r>
    </w:p>
    <w:p>
      <w:r>
        <w:t>16. From the resolution, it is inferred that the anticompetitive conduct has been coordinated between the VAILLANT GROUP and the independent SATs with which the contracts for the provision of technical assistance were negotiated and signed. "The VAILLANT GROUP has not only acted as the governing party in the contracts for the provision of technical assistance services with the independent SATs, but maintains permanent communications with its entire after-sales service network, including the independent SATs, in order to guarantee the services provided, such as: (a) communications about corporate image, (b) communications about training programs, (c) communications about agreements closed with suppliers, (d) communications about computer systems, and (e) communications about tariff updates both applicable within maintenance contracts and for services outside of those contracts."</w:t>
      </w:r>
    </w:p>
    <w:p>
      <w:r>
        <w:t>"VAILLANT, S.L. and SAUNIER DUVAL, DICOSA, S.A.U. have been responsible for negotiating and signing the contracts for the provision of assistance services, as marketers of VAILLANT and SAUNIER products in the national market. On the other hand, RED OFISAT has played the role of transmitter of the communications from the VAILLANT GROUP and its strategies in the after-sales segment that were regularly sent to the independent SATs and included the procedures to be followed to carry out after-sales services, as well as the maximum recommended prices for charging for technical assistance services and for the resale of spare parts."</w:t>
      </w:r>
    </w:p>
    <w:p>
      <w:r>
        <w:t>"Without prejudice to the above, it must be taken into account the coordinating function that must be attributed to the parent company of the VAILLANT GROUP, which exercises effective control over all the companies by exercising the political rights conferred by being the sole shareholder and the appointment of the members of the governing bodies of all of them. Consequently, the VAILLANT GROUP through its subsidiaries VAILLANT, S.L., SAUNIER DUVAL DICOSA, S.A.U. and RED OFISAT, S.L., has acted as the sole responsible party for the alleged particularly serious vertical restrictions by maintaining in nearly 70% of the contracts for technical assistance with independent SATs various clauses that, by their nature, would be infringing Article 1 of the LDC, in the terms already indicated."</w:t>
      </w:r>
    </w:p>
    <w:p>
      <w:r>
        <w:t>17. It follows from the aforementioned paragraphs that the companies VAILLANT, S.L. and SAUNIER DUVAL, DICOSA, S.A.U. are those that have been responsible for negotiating and signing the contracts that contained the clauses constituting the infringement, with RED OFISAT, S.L. being the transmitter of the group's communications to the SATs.</w:t>
      </w:r>
    </w:p>
    <w:p>
      <w:r>
        <w:rPr>
          <w:b/>
        </w:rPr>
        <w:t>[Pages 52–53]</w:t>
      </w:r>
    </w:p>
    <w:p>
      <w:r>
        <w:t>Despite this, the resolution only imposes a fine on RED OFISAT, S.L. resulting from the application of the sanctioning rate of 0.70% to its total turnover (of which it is indicated that "the imposed fine is well below the estimated proportionality limit, so no adjustment is warranted").</w:t>
      </w:r>
    </w:p>
    <w:p>
      <w:r>
        <w:t>"In the case of infringing companies that do not have activity in the affected market but whose participation in the infringement has been proven, a sanction is assigned that adequately reflects two factors: their lack of direct benefit and their full participation in the infringement." Therefore, fines of €5,000 are imposed on VAILLANT SAUNIER DUVAL IBÉRICA, which represents 0.017% of its total turnover; €15,000 on Vaillant, which is 0.025% of its total turnover; and €20,000 on SAUNIER DUVAL DICOSA - 0.025% of its total turnover.</w:t>
      </w:r>
    </w:p>
    <w:p>
      <w:r>
        <w:t>18. Regarding the calculation of what is referred to by the resolution as the limit of proportionality, as well as regarding the fact that sanctions are reduced if they are below it but not increased if they are below, this counselor has already expressed her opinion in previous votes.</w:t>
      </w:r>
    </w:p>
    <w:p>
      <w:r>
        <w:t>19. In this case, however, the lack of equality that arises from the sanctioning rates imposed on the different entities must be emphasized, as those that have been responsible for negotiating and signing the service contracts and have carried out effective control of the conduct receive sanctions of extraordinarily lower rates than those applied to the entity recognized as merely a transmitter.</w:t>
      </w:r>
    </w:p>
    <w:p>
      <w:r>
        <w:t>The fact that this is the only company that invoices directly in this market does not, in the opinion of this counselor, have sufficient validity to reach the conclusion stated in the resolution nor does it have normative support in Article 64 LDC and the aforementioned jurisprudence of the TS that interprets it.</w:t>
      </w:r>
    </w:p>
    <w:p>
      <w:r>
        <w:t>In this sense, I issue this Dissenting Vote.</w:t>
      </w:r>
    </w:p>
    <w:p>
      <w:r>
        <w:t>Signed: María Pilar Canedo Arrillaga</w:t>
      </w:r>
    </w:p>
    <w:p>
      <w:r>
        <w:t>37 For example, in resolution S/DC/0598/16: ELECTRIFICACIÓN Y ELECTROMECÁNICA FERROVIARIAS, of March 14, 2019 at https://www.cnmc.es/expedientes/sdc059816 or S/DC/0612/17, MONTAJE Y MANTENIMIENTO INDUSTRIAL, of October 1, 2019 at https://www.cnmc.es/expedientes/sdc061217.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