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https://www.cnmc.es/expedientes/s063718</w:t>
      </w:r>
    </w:p>
    <w:p>
      <w:r>
        <w:t>Pages translated : 20</w:t>
      </w:r>
    </w:p>
    <w:p/>
    <w:p>
      <w:r>
        <w:rPr>
          <w:b/>
        </w:rPr>
        <w:t>[Pages 1–3]</w:t>
      </w:r>
    </w:p>
    <w:p>
      <w:r>
        <w:t xml:space="preserve">RESOLUTION  </w:t>
        <w:br/>
        <w:t xml:space="preserve">Exp. S/0637/18 UBER/CABIFY/UNAUTO  </w:t>
        <w:br/>
        <w:t xml:space="preserve">COUNCIL. COMPETITION ROOM  </w:t>
        <w:br/>
        <w:t xml:space="preserve">PRESIDENT  </w:t>
        <w:br/>
        <w:t xml:space="preserve">Mr. José María Marín Quemada  </w:t>
        <w:br/>
        <w:t xml:space="preserve">COUNCILORS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May 28, 2020  </w:t>
        <w:br/>
        <w:t xml:space="preserve">The Competition Room of the Council of the National Commission on Markets and Competition (CNMC), with the composition expressed, has issued the following resolution in the file S/0637/18 UBER/CABIFY/UNAUTO processed in response to various complaints filed against MAXI MOBILITY SPAIN S.L. (CABIFY) and UBER SYSTEMS SPAIN, S.L. (UBER), for alleged conduct that could violate Law 15/2007, of July 3, on the Defense of Competition (LDC).  </w:t>
        <w:br/>
        <w:t xml:space="preserve">S/0637/18 National Commission on Markets and Competition Page 1 of 20  </w:t>
        <w:br/>
        <w:t xml:space="preserve">UBER/CABIFY/UNAUTO C/ Barquillo, 5 – 28004 Madrid - C/ Bolivia, 56 – 08018 Barcelona  </w:t>
        <w:br/>
        <w:t>www.cnmc.es</w:t>
      </w:r>
    </w:p>
    <w:p>
      <w:r>
        <w:t xml:space="preserve">I. BACKGROUND  </w:t>
        <w:br/>
        <w:t xml:space="preserve">1. On September 22, 2018, a document was submitted to the CNMC reporting an initiative by CABIFY and UBER, publicized by the association of VTC drivers UNAUTO, to provide all their services for free for 12 hours on September 26, 2018, under the campaign "In the future, we all fit" (folios 1-3). According to the complainants, these facts would constitute a possible prohibited conduct under the LDC.  </w:t>
        <w:br/>
        <w:t xml:space="preserve">On September 26, 27, and 28 (folios 4-1044) and October 1 and 2 (folios 1045-1197), several additional complaints were received, channeled through FEDETAXI, which provided taxi drivers with a form for submitting such complaints1.  </w:t>
        <w:br/>
        <w:t xml:space="preserve">On September 25, 2018, a query was submitted to the CNMC (folios 5-8) from the General Directorate of Management and Traffic Surveillance of the Madrid City Council. It raised the question of whether the day of free service could violate Law 3/1991, of January 10, on Unfair Competition (LCD).  </w:t>
        <w:br/>
        <w:t xml:space="preserve">2. On October 17, 2018, 107 complaints were submitted to the Competition Defense Agency of Andalusia, alleging that there would be price alignment by the VTC platforms that could be contrary to Articles 1 and 3 of the LDC.  </w:t>
        <w:br/>
        <w:t xml:space="preserve">On January 22 and 25, 2019, documents were received from an individual regarding alleged anti-competitive conduct by UBER and CABIFY and the VTCs due to price fixing that would be contrary to Article 1 of the LDC.  </w:t>
        <w:br/>
        <w:t xml:space="preserve">3. On January 16 and 17, 2019, information requests were made to UNAUTO (folios 163-1631), UBER (folios 1635-1636), and MAXI MOBILITY (folios 1641-1642) regarding the campaign "In the future, we all fit" of September 26, 2018, and possible plans for future similar campaigns, as well as the objectives of the campaign, the results of that day, and its geographical scope. Additionally, information was requested about similar campaigns that other competitors may have carried out, as well as market shares and business volumes.  </w:t>
        <w:br/>
        <w:t xml:space="preserve">Responses were received from UNAUTO and UBER on February 5, 2019 (folios 1670-1697 and 1698-1706, respectively). The request to MAXI MOBILITY was reiterated on February 12, 2019, and the response to this second request was received on February 26, 2019 (folios 1713-1743).  </w:t>
        <w:br/>
        <w:t xml:space="preserve">On April 3, 2019, a similar information request was made to MYTAXI (folios 1768-1770). On April 4, a second information request was made to UNAUTO (folios 1773-1774), regarding the conditions under which the various VTC companies operate. The response from MYTAXI was received on April 30, 2019 (folios 1832-1849) and that of UNAUTO on April 12, 2019 (folios 1783-1828).  </w:t>
        <w:br/>
        <w:t xml:space="preserve">4. On July 16, 2019, a document from an unidentified sender was submitted to the CNMC. It reported that at the MADCOOL festival - held in Madrid from July 11 to 13, 2019 - the vehicles contracted by UBER - the official sponsor of the festival - would have had preferential access and access to a private parking lot that other vehicles - CABIFY or taxis - would not have been able to access (folios 1850-1851).  </w:t>
        <w:br/>
        <w:t xml:space="preserve">5. On January 28, 2020, the Directorate of Competition (DC) submitted to the Competition Room a proposal for non-initiation of the file and filing of the proceedings, considering that there are no indications of infringement of the LDC (folios 1852-1875).  </w:t>
        <w:br/>
        <w:t>6. The Council of the CNMC in the Competition Room approved this resolution in its meeting of May 28, 2020.</w:t>
      </w:r>
    </w:p>
    <w:p>
      <w:r>
        <w:t xml:space="preserve">II. THE PARTIES  </w:t>
        <w:br/>
        <w:t xml:space="preserve">1. Complainant: SPANISH TAXI FEDERATION (FEDETAXI)  </w:t>
        <w:br/>
        <w:t xml:space="preserve">It is a grouping of associations or organizations of taxi drivers from different provinces or Spanish communities. It was established in 2012 and is based in Madrid. Its objective is to defend, promote, and advocate for the interests of taxi drivers and the organizations or associations that are part of it.  </w:t>
        <w:br/>
        <w:t xml:space="preserve">2. Defendants  </w:t>
        <w:br/>
        <w:t xml:space="preserve">A. UBER SYSTEMS SPAIN, S.L. (UBER)  </w:t>
        <w:br/>
        <w:t xml:space="preserve">It is a company established in 2014, a subsidiary of UBER Technologies Inc., which currently provides services for hiring rental vehicles with drivers (VTC2). All Uber products are digital. The technological platform allows connecting public transport users on one side and drivers on the other, with UBER retaining a commission per transaction.  </w:t>
        <w:br/>
        <w:t xml:space="preserve">2 According to information made public by UBER on its website (https://www.uber.com/es-ES/blog/taximadrid/) since November 22, 2019, the UberX formula offers the possibility of pre-booking the services of a VTC or a taxi, under the same conditions and at a fixed price for services contracted in the Community of Madrid. When pre-booking the service, the algorithm will offer the user the nearest vehicle.  </w:t>
        <w:br/>
        <w:t xml:space="preserve">S/0637/18 National Commission on Markets and Competition Page 3 of 20  </w:t>
        <w:br/>
        <w:t xml:space="preserve">UBER/CABIFY/UNAUTO C/ Barquillo, 5 – 28004 Madrid - C/ Bolivia, 56 – 08018 Barcelona  </w:t>
        <w:br/>
        <w:t>www.cnmc.es</w:t>
      </w:r>
    </w:p>
    <w:p>
      <w:r>
        <w:rPr>
          <w:b/>
        </w:rPr>
        <w:t>[Pages 4–6]</w:t>
      </w:r>
    </w:p>
    <w:p>
      <w:r>
        <w:t xml:space="preserve">B. MAXI MOBILITY SPAIN S.L. (CABIFY)  </w:t>
        <w:br/>
        <w:t>MAXI MOBILITY SPAIN, S.L. is the company that owns the CABIFY application. It was established in 2011 and is headquartered in Madrid. The platform's corporate purpose is the development, execution, provision, and commercialization of applications for mobile devices (CABIFY), vehicle rental with a driver, and the provision of discretionary public passenger transport services. Its ultimate goal is to provide urban alternatives to private vehicles. It operates with both taxis and VTCs.</w:t>
      </w:r>
    </w:p>
    <w:p>
      <w:r>
        <w:t xml:space="preserve">C. UNAUTO VTC  </w:t>
        <w:br/>
        <w:t>It is a non-profit associative entity for VTC drivers. It represents 90% of a sector that comprises about 15,000 professionals in Spain. Its purpose is the defense and improvement of the social and professional rights of its members.</w:t>
      </w:r>
    </w:p>
    <w:p>
      <w:r>
        <w:t xml:space="preserve">3. MYTAXI IBERIA, S.L. (MY TAXI)  </w:t>
        <w:br/>
        <w:t xml:space="preserve">MYTAXI was created in Hamburg in 2009. It expanded throughout Europe and began operating in Spain, in Barcelona, in 2011. It has been operating in Madrid since 2012 and in Valencia and Seville since 2015.  </w:t>
        <w:br/>
        <w:t xml:space="preserve">MYTAXI owns a software application that allows its customers to request a taxi via the internet. MYTAXI can be accessed through the internet browser of a computer or through an application downloaded on any electronic mobile device of customers and taxi drivers.  </w:t>
        <w:br/>
        <w:t>MYTAXI, now FREE NOW, is part of the joint venture formalized between BMW and Daimler in February 2019.</w:t>
      </w:r>
    </w:p>
    <w:p>
      <w:r>
        <w:t xml:space="preserve">III. ANALYSIS OF THE AFFECTED MARKET  </w:t>
        <w:br/>
        <w:t xml:space="preserve">1. Regulatory Framework  </w:t>
        <w:br/>
        <w:t xml:space="preserve">The economic activity in which the reported conduct is framed, the provision of intermediation services for the transport of passenger vehicles (taxi or VTC), takes place within a regulatory framework basically integrated by Law 16/1987, of July 30, on the regulation of land transport (LOTT)3; the Regulation on the Regulation of Land Transport (ROTT, approved by Royal Decree 1211/1990 of September 28) and its development regulations5. This regulatory framework, along with the market regulated by it, was the subject of analysis in a promotion report by the CNMC6.  </w:t>
        <w:br/>
        <w:t xml:space="preserve">According to what was recognized in the ruling of the Supreme Court of June 4, 2018 (rec. no. 438/2017), the taxi service is subject to intense regulation, which includes the limitation of licenses and the establishment of regulated fares to guarantee certain levels of quality, safety, and accessibility.  </w:t>
        <w:br/>
        <w:t xml:space="preserve">Taxi services are subject to a special legal regime, developed by the corresponding national, regional, and municipal regulations, which regulate the provision of this type of service and impose administrative, territorial, quality, safety, and price restrictions7.  </w:t>
        <w:br/>
        <w:t xml:space="preserve">VTC transport also requires obtaining a license from the corresponding administrative authority, although the requirements for obtaining it are not exactly the same as those for taxis. Specifically, the number of licenses may be limited, and there are also territorial restrictions, regarding the type of vehicle used, age, etc8. Unlike the taxi service, fares are not regulated, and the hiring must necessarily be done prior to the provision of the service, and they cannot circulate on public roads looking for customers who have not previously contracted the service.  </w:t>
        <w:br/>
        <w:t xml:space="preserve">Royal Decree-Law 13/2018, of September 28, which modifies the LOTT, established that the national vehicle rental authorization with a driver exclusively enables the provision of intercity services. A 4-year moratorium (until 09/30/2022) is established as compensation for the regulatory change. All this is without prejudice to the competences that may correspond to the different local entities.  </w:t>
        <w:br/>
        <w:t xml:space="preserve">In this sense, it is worth mentioning the regulations established in cities such as Barcelona or Valencia that require VTC passengers to pre-book in advance9. However, the High Court of Justice of Catalonia (TSJC) has provisionally suspended several articles of the regulation of the Metropolitan Area of Barcelona (AMB) that regulates the activity of vehicles for hire with a driver (VTC), including the one that sets a mandatory interval of one hour between hiring and the effective provision of this service.  </w:t>
        <w:br/>
        <w:t>In light of the above, it is considered that taxi and VTC services constitute two forms of urban transport with a similar service from the user's perspective, in which a regulatory asymmetry is observed.</w:t>
      </w:r>
    </w:p>
    <w:p>
      <w:r>
        <w:t xml:space="preserve">2. Product Market  </w:t>
        <w:br/>
        <w:t xml:space="preserve">The behaviors subject to investigation in this file are framed within the sector of intermediation services for hiring transport journeys for people in small-sized vehicles (taxi and VTC) through applications or programs primarily intended for tablets or smartphones (APPs)10.  </w:t>
        <w:br/>
        <w:t xml:space="preserve">The passenger transport service provided by VTCs is, to date, practically identical to that provided by taxis. The differences between the two are of a regulatory nature and refer to the requirement of different access or activity exercise requirements.  </w:t>
        <w:br/>
        <w:t xml:space="preserve">Spanish regulations prevent VTCs from obtaining customers directly on the street without having previously contracted the service, and they do not have designated stops for picking up customers without pre-booking. Their activity is therefore limited to pre-booked services through mobile applications.  </w:t>
        <w:br/>
        <w:t xml:space="preserve">9 For Barcelona, Regulation approved on May 21, 2019; in the case of Valencia, Decree Law 4/2019, on the provision of discretionary public transport services for passengers through vehicle rental with a driver.  </w:t>
        <w:br/>
        <w:t>10 Resolution of the CNMC of October 4, 2018, Expte. S/0616/17 UBER; C/0802/16 DAIMLER/HAILO/MYTAXI. Economic report on the competition restrictions included in Royal Decree 1057/2015 and in Order FOM/2799/2015, regarding vehicles for hire with a driver – UM/085/15 and accumulated, CNMC 2016.</w:t>
      </w:r>
    </w:p>
    <w:p>
      <w:r>
        <w:rPr>
          <w:b/>
        </w:rPr>
        <w:t>[Pages 7–9]</w:t>
      </w:r>
    </w:p>
    <w:p>
      <w:r>
        <w:t>Although taxi services can be contracted by hailing customers on the street or at a taxi stand, they can also be contracted through an intermediary. In this latter case, contact can be established either by phone through a radio station or by using a mobile application11.</w:t>
      </w:r>
    </w:p>
    <w:p>
      <w:r>
        <w:t>In cases of contracting through an application, the business model developed by these online platforms depends on two interdependent demands, which gives rise to a situation known as two-sided markets, as established in European and national precedents12.</w:t>
      </w:r>
    </w:p>
    <w:p>
      <w:r>
        <w:t xml:space="preserve">The two-sided market generated by vehicle hiring applications consists of:  </w:t>
        <w:br/>
        <w:t xml:space="preserve">(a) taxi drivers or VTC who register on the corresponding APP through their mobile devices. Taxis and VTC are competitors in the provision of transport services.  </w:t>
        <w:br/>
        <w:t>(b) end users of the vehicles (passengers) who download the APP on their mobile devices.</w:t>
      </w:r>
    </w:p>
    <w:p>
      <w:r>
        <w:t>To define the relevant market in this case, the substitutability from both the demand and supply sides of the intermediation services for hiring journeys through APPs has been evaluated in the case of taxis versus VTC.</w:t>
      </w:r>
    </w:p>
    <w:p>
      <w:r>
        <w:t>Taxis and VTC compete directly in the prior or advance booking of discretionary passenger transport carried out via APP13.</w:t>
      </w:r>
    </w:p>
    <w:p>
      <w:r>
        <w:t>The intermediation services for hiring journeys via APP, whether in taxi or VTC, meet the end user's need for transportation with similar characteristics in terms of functionalities.</w:t>
      </w:r>
    </w:p>
    <w:p>
      <w:r>
        <w:t>From the perspective of end customers, hiring journeys through APP for taxis and VTC can be seen as substitutable, to the extent that both types of applications have similar functions and purposes, as well as a similar access channel through the mobile device.</w:t>
      </w:r>
    </w:p>
    <w:p>
      <w:r>
        <w:t>The use of the APP is generally free in both cases, for both the driver and the user. Except for some exceptions, both systems provide the same services (pickup at the point indicated by the passenger with real-time information on the vehicle's arrival, payment through the application itself, and driver evaluation).</w:t>
      </w:r>
    </w:p>
    <w:p>
      <w:r>
        <w:t>It is necessary to remember that there are significant regulatory differences between the taxi service and VTC that particularly affect price setting and vehicle availability: taxi fares are, except for exceptions, set by regulations and are mandatory (they are calculated based on mileage and travel time, making it difficult to anticipate the exact price of the journey for the passenger); in the case of VTC, there is greater pricing freedom and, therefore, the application can preset the exact price for the requested service.</w:t>
      </w:r>
    </w:p>
    <w:p>
      <w:r>
        <w:t>Regarding vehicle availability, the strong limitations on the number of VTC licenses compared to taxis mean that VTC services may have availability issues at certain times.</w:t>
      </w:r>
    </w:p>
    <w:p>
      <w:r>
        <w:t>The development of these APPs with complete functionalities, as well as their adaptation to taxi/VTC, can have significant costs in the form of initial investment to develop the program used, limiting market access and substitutability from the supply side.</w:t>
      </w:r>
    </w:p>
    <w:p>
      <w:r>
        <w:t>Therefore, from the perspective of the final customer demand using the APP to request the service, the final provision through taxi or VTC is significantly substitutable, without prejudice to potential issues of unavailability of VTC services. From the supply side, however, substitutability may be limited, both by current regulations and by adjustment costs.</w:t>
      </w:r>
    </w:p>
    <w:p>
      <w:r>
        <w:t>In conclusion, in this specific case, it is considered, in line with recent precedents, that the relevant product market in this case is the provision of intermediation services for hiring journeys in taxi and VTC through APP. This definition is made without prejudice to leaving open the possibility of considering that mobile applications for taxis, on one hand, and those for VTC, on the other, may constitute differentiated markets14.</w:t>
      </w:r>
    </w:p>
    <w:p>
      <w:r>
        <w:t>The Advocate General in his conclusions presented on May 11, 2017 (preliminary ruling C-434/15) states that, in the case of Uber, this platform is not merely an intermediary between drivers and passengers, but a true organizer and operator of urban transport services in the cities where it is present, and it is this organization of transport that distinguishes Uber from a "mere taxi booking application." The ruling of the Court of Justice on December 20, 2017, resolved that "an intermediation service, such as that in the main dispute, which aims to connect, through a smartphone application, drivers with people wishing to make an urban journey, is inextricably linked to a transport service and, therefore, must be classified as a 'service in the field of transport' for the purposes of Article 58 TFEU, paragraph 1. Consequently, a service of this nature is excluded from the scope of application of Article 56 TFEU, Directive 2006/123, and Directive 2000/31."</w:t>
      </w:r>
    </w:p>
    <w:p>
      <w:r>
        <w:t>Regarding the geographical market and according to precedents in the matter, VTC activity is subject to authorization issued by the Autonomous Community, and services must usually be provided within the same15.</w:t>
      </w:r>
    </w:p>
    <w:p>
      <w:r>
        <w:t>The provision of taxi service, on the other hand, is subject to obtaining municipal licenses, without prejudice to the possibility of creating joint provision areas in which previously authorized vehicles may operate beyond the previously defined municipal terms16.</w:t>
      </w:r>
    </w:p>
    <w:p>
      <w:r>
        <w:t>From the platform's perspective, the application is the same for all cities, and the market can be considered national in scope, as services of intermediation between drivers and passengers are offered from a single IT platform with the same functionalities and commercial conditions17.</w:t>
      </w:r>
    </w:p>
    <w:p>
      <w:r>
        <w:t>The conduct analyzed is framed within the regions where the defendants operate, including large cities such as Madrid, Barcelona, Málaga, and Sevilla on the part of UBER, and Madrid, Barcelona, Valencia, Sevilla, Málaga, and Alicante on the part of CABIFY. Therefore, the relevant geographical scope would be autonomous, encompassing the reported conduct across several Autonomous Communities, although it is appropriate to leave the market definition open, as the conclusions of the analysis do not vary substantially based on the established market definition.</w:t>
      </w:r>
    </w:p>
    <w:p>
      <w:r>
        <w:t xml:space="preserve">IV. FACTS  </w:t>
        <w:br/>
        <w:t>FIRST. On September 22, the association of VTC drivers UNAUTO published a campaign carried out by CABIFY and UBER, under the name "In the future, we all fit," which involved providing free services for 12 hours on September 26, 2018 (pages 1-3).</w:t>
      </w:r>
    </w:p>
    <w:p>
      <w:r>
        <w:rPr>
          <w:b/>
        </w:rPr>
        <w:t>[Pages 10–12]</w:t>
      </w:r>
    </w:p>
    <w:p>
      <w:r>
        <w:t xml:space="preserve">The promotion was limited to a single service at no cost per user. The association FEDETAXI made a form available to taxi drivers for filing complaints against such actions. More than 100 complaints were filed based on the aforementioned form. According to the latest official data, the number of taxi licenses in Spain is approximately six times higher than that of VTC: at the end of 2018, there were 65,973 taxi licenses and 15,306 VTC licenses18. CABIFY, UBER, and MYTAXI are the main operators of intermediation services for booking taxi and VTC journeys through the APP. The fees for journeys on September 19 and on the day of the campaign (26) are as follows:  </w:t>
        <w:br/>
        <w:t xml:space="preserve">Non-confidential table established in 10% brackets:  </w:t>
        <w:br/>
        <w:t xml:space="preserve">September 19 September 26 (free)  </w:t>
        <w:br/>
        <w:t xml:space="preserve">MYTAXI 20-30% 30-40%  </w:t>
        <w:br/>
        <w:t xml:space="preserve">CABIFY 40-50% 40-50%  </w:t>
        <w:br/>
        <w:t xml:space="preserve">UBER 20-30% 20-30%  </w:t>
        <w:br/>
        <w:t xml:space="preserve">Source: prepared by the DC based on journey data obtained from responses of the parties to the information requests made by it.19  </w:t>
        <w:br/>
        <w:t xml:space="preserve">The monthly journey fees contracted via the app after the promotional campaign day were as follows:  </w:t>
        <w:br/>
        <w:t xml:space="preserve">Non-confidential table in 10% brackets:  </w:t>
        <w:br/>
        <w:t xml:space="preserve">ESTIMATED MARKET POSITION OF THE PARTIES (%) AFTER THE DAY  </w:t>
        <w:br/>
        <w:t xml:space="preserve">October 2018 November 2018 December 2018 January 2019  </w:t>
        <w:br/>
        <w:t xml:space="preserve">UBER 30-40% 30-40% 40-50% 30-40%  </w:t>
        <w:br/>
        <w:t xml:space="preserve">MYTAXI 20-30% 10-20% 20-30% 20-30%  </w:t>
        <w:br/>
        <w:t xml:space="preserve">CABIFY 40-50% 40-50% 30-40% 30-40%  </w:t>
        <w:br/>
        <w:t xml:space="preserve">Source: prepared by the DC based on journey data obtained from responses of the parties to the information requests made by it (folio 1705).  </w:t>
        <w:br/>
        <w:t xml:space="preserve">SECOND. UBER calculates the price of the journey according to an algorithm whose variables include, among others, the duration of the journey, the distance traveled, and demand. Although the application provides an estimate of the journey price, traffic can cause the actual price of the journey to be higher than the estimate. CABIFY charges a fixed price per kilometer (not including the time variable), subject to the type of service. The application provides a fixed price when going to pick up the vehicle or reserving it for a future journey.  </w:t>
        <w:br/>
        <w:t xml:space="preserve">18 http://observatoriotransporte.fomento.es.  </w:t>
        <w:br/>
        <w:t xml:space="preserve">19 Response to the information requests to UBER and CABIFY (folios 1703, and 1719-1720).  </w:t>
        <w:br/>
        <w:t xml:space="preserve">THIRD. UBER was the official sponsor of the MADCOOL festival held in Madrid from July 11 to 13, 2019. The VTCs contracted by this company were able to use a preferential lane and an exclusive parking area not open to other transport service providers (taxis or CABIFY) who, consequently, had to pick up or drop off customers a kilometer away. The prices paid by UBER customers increased, given their dynamic adjustment during high demand.  </w:t>
        <w:br/>
        <w:t xml:space="preserve">V. LEGAL GROUNDS  </w:t>
        <w:br/>
        <w:t xml:space="preserve">FIRST.- Competence to resolve, object, and proposal of the DC  </w:t>
        <w:br/>
        <w:t xml:space="preserve">It is the responsibility of the Competition Chamber of the CNMC Council to resolve sanctioning procedures applying the LDC "in matters of conduct that may impede, restrict, and distort competition20". In its report, the DC proposed to this Chamber the non-initiation of the sanctioning procedure and the filing of the proceedings, in accordance with the provisions of Article 49.3 of the LDC, as it considers that, in relation to the reported facts, there are no indications of infringement of the LDC. This Chamber must assess whether it is indeed appropriate to agree to the non-initiation of the sanctioning procedure and the filing of the proceedings21.  </w:t>
        <w:br/>
        <w:t xml:space="preserve">SECOND.- Assessment of the Competition Chamber  </w:t>
        <w:br/>
        <w:t xml:space="preserve">1. Analysis of the offer made on September 26, 2018  </w:t>
        <w:br/>
        <w:t xml:space="preserve">The offer made by the operators must be analyzed in light of Articles 1, 2, and 3 of the LDC. Article 1 of the LDC requires the existence of agreements between operators that have the object or effect of impeding, restricting, or distorting competition in the market. Such conditions have not been verified in the reported conduct.  </w:t>
        <w:br/>
        <w:t xml:space="preserve">20 See Articles 5.1.c) and 20.2 of Law 3/2013, of June 4, creating the National Commission of Markets and Competition and Article 14.1.a) of the Organic Statute of the CNMC, approved by Royal Decree 657/2013, of August 30.  </w:t>
        <w:br/>
        <w:t xml:space="preserve">21 Article 27.1 of the Competition Defense Regulation (RDC), approved by Royal Decree 261/2008, of February 22, stipulates that: "1. In order for the Council of the National Commission of Competition [current CNMC] to agree not to initiate a procedure and to file the proceedings in the terms established in Articles 44 and 49.3 of Law 15/2007, of July 3, the Directorate of Investigation [current Directorate of Competition] will forward the received complaint, the prior proceedings carried out, if applicable, and a proposal for filing."  </w:t>
        <w:br/>
        <w:t xml:space="preserve">We are dealing with conduct carried out in a specific manner, clearly indicating that it is a campaign with a duration limited to a few hours of a single day22. The possible effect of this offer is practically imperceptible in economic terms for the taxi sector, since in the segment related to pre-booked journeys (booking via APP) - which is the only market where VTC and taxis compete - the latter do not hold a significant share. If the results of the offer in the market are analyzed, it can be verified that on the day of the offer MYTAXI carried out [15,000-20,000] journeys, CABIFY [20,000-25,000], and UBER [10,000-15,000]. It should be considered that not all platforms operated in all cities23. If we compare such results with those from the week prior to the promotion, it can be concluded that MYTAXI increased by 9% in journeys on the day of the offer, CABIFY decreased by 7%, and UBER decreased by 2%. It can therefore be stated that, despite the free journeys on that day, the trend in terms of journeys made by each of the operators remained. In some cases, the usual percentage of journeys even decreased. Among the reasons that lead different agents in this sector to carry out promotions like the one currently analyzed are both to increase the recurrence and use of pre-existing customers and to retain or compensate for the effects of seasonality or even to promote the use of public transport in the most congested urban areas24. In the context of the reported campaign, the VTC companies reacted against the approval and publication of the Royal Decree-Law that allowed the denial of VTC authorizations in certain cases25 (folio 1173). For all these reasons, it can be concluded that there are no indications of an agreement between operators whose object or effect is to impede, restrict, or distort competition in the market. The Chamber considers that the described situation also does not fit within Article 2 of the LDC.  </w:t>
        <w:br/>
        <w:t xml:space="preserve">22 This offer could be equated to the promotion launched by the MYTAXI platform on January 15, 2019, in which a free service worth €20 was proposed for passengers using the app during the time slot from 9 am to 5 pm (https://es.mytaxi.com/hoyenmytaxi).  </w:t>
        <w:br/>
        <w:t xml:space="preserve">23 MYTAXI operates in Barcelona, Madrid, Málaga, Sevilla, and Valencia; CABIFY operates in Madrid, Barcelona, Valencia, and Alicante, Sevilla, and Málaga; for its part, UBER currently operates in Madrid, Barcelona, Costa del Sol, and Sevilla, although on September 26, 2018, it did not yet operate in the latter city.  </w:t>
        <w:br/>
        <w:t xml:space="preserve">24 According to the information provided by Mytaxi to the DC.  </w:t>
        <w:br/>
        <w:t>25 Royal Decree-Law 13/2018, of September 28, which amended Law 16/1987, of July 30, on the Regulation of Land Transport, to the extent that the new regulation...</w:t>
      </w:r>
    </w:p>
    <w:p>
      <w:r>
        <w:rPr>
          <w:b/>
        </w:rPr>
        <w:t>[Pages 13–15]</w:t>
      </w:r>
    </w:p>
    <w:p>
      <w:r>
        <w:t xml:space="preserve">In 2018, the market for intermediation for the hiring of passenger journeys with a driver through an app has the following operators26:  </w:t>
        <w:br/>
        <w:t xml:space="preserve">- CABIFY with a share of [40-50]%  </w:t>
        <w:br/>
        <w:t xml:space="preserve">- UBER [30-40]%  </w:t>
        <w:br/>
        <w:t xml:space="preserve">- MYTAXI [10-15]%  </w:t>
        <w:br/>
        <w:t>- others such as PIDETAXI or TAKSEE that only operate with taxis, with shares of [0-5]% and [0-5]%, respectively.</w:t>
      </w:r>
    </w:p>
    <w:p>
      <w:r>
        <w:t>These data must be analyzed in relation to the characteristics of this market (the provision of services via the internet, the dynamism of demand and the accelerated innovation of platforms, the mobility of end users to belong to multiple platforms and thus mitigate their market power).</w:t>
      </w:r>
    </w:p>
    <w:p>
      <w:r>
        <w:t>The analysis of the facts and the market structure leads us to assert that there can be no interpretation of an exclusionary intent by the companies reported. The analyzed behaviors must be interpreted as a promotional campaign of limited duration. Therefore, even assuming that there was a dominant position, it must be concluded that the reported campaign cannot be deemed abusive because it lacks the capacity to restrict competition in light of the context in which it occurs, its content, and, in particular, its duration.</w:t>
      </w:r>
    </w:p>
    <w:p>
      <w:r>
        <w:t xml:space="preserve">Finally, Article 3 of the LDC establishes that practices classified as unfair under the LCD that affect the public interest by distorting free competition constitute a competition infringement. Article 17 of the LCD establishes that sales below cost can only be deemed unfair in cases where:  </w:t>
        <w:br/>
        <w:t xml:space="preserve">a) they are likely to mislead consumers about the price level of other products or services of the same establishment.  </w:t>
        <w:br/>
        <w:t xml:space="preserve">b) they have the effect of discrediting the image of a product or an establishment belonging to others.  </w:t>
        <w:br/>
        <w:t>c) they are part of a strategy aimed at eliminating a competitor or group of competitors from the market.</w:t>
      </w:r>
    </w:p>
    <w:p>
      <w:r>
        <w:t>The Chamber considers that the reported campaign does not fit into any of the cases where sales made below cost can be deemed unfair.</w:t>
      </w:r>
    </w:p>
    <w:p>
      <w:r>
        <w:t>26 According to information provided by MYTAXI.</w:t>
      </w:r>
    </w:p>
    <w:p>
      <w:r>
        <w:t>From the message contained on the website of the VTC or UNAUTO, the promotional nature of the offer and the precision regarding its limited duration are evident, so it could not lead the consumer to conclude that the price in question was indicative of the price level of other services offered.</w:t>
      </w:r>
    </w:p>
    <w:p>
      <w:r>
        <w:t>The effect of discrediting competitors can be ruled out in cases of promotional sales or reactions to a competitor's offer, which can be easily noticed by consumers, as is the case here.</w:t>
      </w:r>
    </w:p>
    <w:p>
      <w:r>
        <w:t>There is no evidence of the existence of predatory intent (the strength of the market position of the entity organizing the loss-leading sale, its systematic and ongoing nature, the lack of any objective competitive justification, and the ability to produce the expulsion of a competitor or group of competitors from the market). On the contrary, the application of occasional similar discounts seems to be a common practice among competitors in the affected market, as is the case with MYTAXI27. Furthermore, it is to be expected that those platforms requiring the download of an APP and that also operate based on pre-booking will resort to commercial strategies consisting of the promotion and information of their services with the aim of capturing potential customers rather than as a strategy for retaining existing ones.</w:t>
      </w:r>
    </w:p>
    <w:p>
      <w:r>
        <w:t>In this sense, it can be understood that the analyzed promotion is part of a usual commercial attraction strategy that rewards the potential customer with a discount or a sample of it. In fact, the promotion was limited to a single service at no cost per user.</w:t>
      </w:r>
    </w:p>
    <w:p>
      <w:r>
        <w:t>For all these reasons, it must be concluded that there are no indications that the analyzed behavior can be deemed unfair.</w:t>
      </w:r>
    </w:p>
    <w:p>
      <w:r>
        <w:t xml:space="preserve">3. On a supposed price agreement among the platforms  </w:t>
        <w:br/>
        <w:t>The complaints filed on January 22 and 25, 2019 refer to a possible agreement established between the platforms and VTC companies for price fixing, understanding that it would involve price fixing carried out through the different platforms to promote an agreement with VTC drivers contrary to competition.</w:t>
      </w:r>
    </w:p>
    <w:p>
      <w:r>
        <w:t>That is to say, the reported facts are restricted to the alleged price fixing carried out among the different VTC companies through the platforms (here, UBER and CABIFY) and not the eventual price fixing activity of each platform considered as a tool for grouping independent service providers28.</w:t>
      </w:r>
    </w:p>
    <w:p>
      <w:r>
        <w:t xml:space="preserve">27 CNMC Resolution of October 4, 2018, Expte. S/DC/0616/17 UBER.  </w:t>
        <w:br/>
        <w:t>28 The Advocate General points out in his conclusions presented on May 11, 2017 (case C-434/15) that "the use by competitors of the same algorithm to calculate prices is not illegal in itself, but could raise concerns regarding hub-and-spoke conspiracy when the power of the platform increases."</w:t>
      </w:r>
    </w:p>
    <w:p>
      <w:r>
        <w:t>Both Article 101 of the TFEU and Article 1 of the LDC prohibit agreements and collusive behaviors that have the object or effect of restricting competition. The competitive functioning of the market requires that each operator decides its behavior independently29.</w:t>
      </w:r>
    </w:p>
    <w:p>
      <w:r>
        <w:t>Intermediation platforms use an algorithm that dynamically and automatically adjusts supply to demand and do not hire drivers directly, but offer their services to the different VTC companies operating in the market.</w:t>
      </w:r>
    </w:p>
    <w:p>
      <w:r>
        <w:t>It has been established that the different platforms (in this case UBER and CABIFY) independently (and differently) determine prices.</w:t>
      </w:r>
    </w:p>
    <w:p>
      <w:r>
        <w:t>From international precedents, it can be inferred that companies operating within the framework of the so-called collaborative economy pursue their own interests and do not share their profits or losses with VTC companies in the same way that they do not do so with the different platforms with which they operate30.</w:t>
      </w:r>
    </w:p>
    <w:p>
      <w:r>
        <w:t>UBER and CABIFY do not require exclusivity from their driver-clients; they can operate freely with external end customers in addition to using the services of the platform (multihoming). Therefore, it is the various VTC companies existing in each territory that freely decide to use the services of the platform, and many of them operate simultaneously with different intermediation services.</w:t>
      </w:r>
    </w:p>
    <w:p>
      <w:r>
        <w:t>Many VTC companies operate simultaneously with different intermediation services; platforms like CABIFY offer their services to taxis; and likewise, taxi drivers operate with various intermediaries, such as different platforms and the various applications developed by radio stations. On the other hand, as mentioned, according to information made public by UBER on its website, "since November 22, 2019, the UberX formula offers the possibility of pre-booking the services of a VTC or a taxi, under the same conditions and at a fixed price for services contracted in the Community of Madrid. When pre-booking the service, the algorithm will offer the user the nearest vehicle."</w:t>
      </w:r>
    </w:p>
    <w:p>
      <w:r>
        <w:t>Additionally, it should be noted that MYTAXI does not include exclusivity clauses in the contracts signed with taxi license owners. They can operate freely with any other operator in the market.</w:t>
      </w:r>
    </w:p>
    <w:p>
      <w:r>
        <w:rPr>
          <w:b/>
        </w:rPr>
        <w:t>[Pages 16–18]</w:t>
      </w:r>
    </w:p>
    <w:p>
      <w:r>
        <w:t>For an agreement on prices to occur in the APP intermediation market, there must be interdependence among the VTC companies that begin to use a specific app massively and in a coordinated manner31. This Chamber considers that there are no indications that this is the case for the different VTC companies operating with the reported platforms in Spain, and therefore, Article 1 of the LDC cannot be considered violated.</w:t>
      </w:r>
    </w:p>
    <w:p>
      <w:r>
        <w:t xml:space="preserve">4. Regarding the actions reported in relation to the Madcool Festival  </w:t>
        <w:br/>
        <w:t>It must be analyzed whether there can be unfair conduct by UBER due to the exploitation of a preferential lane and an exclusive parking area reserved for it by virtue of its status as a sponsor of the event. The existence of the aforementioned access was not open to CABIFY or to taxis; according to the DC, it is possible that the prices paid by UBER customers increased, given the dynamic adaptation of this platform's algorithm when there are peaks of high demand.</w:t>
      </w:r>
    </w:p>
    <w:p>
      <w:r>
        <w:t>From the perspective of distortion of competition due to the impact on public interest, this Chamber considers that, given the specific nature of the offer limited to a festival and a specific day, that is, of short duration, as well as the shares of the different operators in the market, there are no indications of a violation of Article 3 of the LDC, since, moreover, it is a competitive advantage enjoyed by UBER justifiable by its differentiated status as a sponsor of the event.</w:t>
      </w:r>
    </w:p>
    <w:p>
      <w:r>
        <w:t>For all these reasons, indications of the existence of an infringement cannot be considered substantiated.</w:t>
      </w:r>
    </w:p>
    <w:p>
      <w:r>
        <w:t xml:space="preserve">RESOLVES  </w:t>
        <w:br/>
        <w:t>SOLE. Not to initiate sanctioning proceedings and to archive the actions taken by the Competition Directorate in file S/0637/18 UBER/CABIFY/UNAUTO processed in response to the multiple complaints filed against CABIFY and UBER, considering that there are no indications of infringement of Law 15/2007, of July 3, on the Defense of Competition.</w:t>
      </w:r>
    </w:p>
    <w:p>
      <w:r>
        <w:t>31 As was made evident in the case Meyer v. Uber Technologies, Inc., No. 16-2750 (2d Cir. 2017).</w:t>
      </w:r>
    </w:p>
    <w:p>
      <w:r>
        <w:t>Communicate this Resolution to the Competition Directorate of the National Commission on Markets and Competition and notify the interested parties, informing them that there is no administrative appeal against it, and that they may file a contentious-administrative appeal in the National Court within two months from the day following its notification.</w:t>
      </w:r>
    </w:p>
    <w:p>
      <w:r>
        <w:t xml:space="preserve">PARTICULAR VOTE FORMULATED BY COUNCILOR Dª MARÍA PILAR CANEDO EXPTE. S/0637/18 UNAUTO  </w:t>
        <w:br/>
        <w:t>In the exercise of the authority conferred upon me by Article 11.3 of the Internal Operating Regulations of the CNMC and with the utmost respect for the opinion of the majority of the Competition Chamber of the CNMC, I formulate this particular dissenting vote regarding the legal qualification of the facts recorded in the resolution and the legal consequences derived from it32.</w:t>
      </w:r>
    </w:p>
    <w:p>
      <w:r>
        <w:t>1. The objective of this particular vote is to express my partial disagreement with the archiving resolution and with the structure on which the file has been based. I believe that the instruction links three behaviors in a file that do not have sufficient relation to each other to constitute a single file. These are three independent behaviors in time and space, and the possible infringement would not have the same active and passive subjects. One of the behaviors concerns a discount made on a specific date; another involves a supposed price agreement between VTC platforms or between the platforms and the operators working for them; the last one concerns a supposed preferential treatment offered to an entity at a music festival.</w:t>
      </w:r>
    </w:p>
    <w:p>
      <w:r>
        <w:t>2. The first of the behaviors is, in the opinion of this Councilor, adequately instructed and resolved since there is a discount behavior in which there are no indications of anti-competitive conduct with sufficient analysis.</w:t>
      </w:r>
    </w:p>
    <w:p>
      <w:r>
        <w:t>3. The same can be said of the supposed price-fixing agreement between platforms. However, the possible price agreement among drivers within each platform is not analyzed.</w:t>
      </w:r>
    </w:p>
    <w:p>
      <w:r>
        <w:t>4. The file does not analyze, nor does it sufficiently delve into the facts on which the third behavior is based. In this regard, it is simply indicated that there is sponsorship and therefore there may be an advantage. It does not analyze who organizes the festival, the economic amount it entails, the possible public prominence, what the rules governing it are, or whether there is discrimination among operators.</w:t>
      </w:r>
    </w:p>
    <w:p>
      <w:r>
        <w:t>Moreover, the resolution states that, “given the specific nature of the offer limited to a festival and a specific day, that is, of short duration, thus...32 Internal Operating Regulations of the National Commission on Markets and Competition, CNMC, approved by the Plenary of the Council on October 4, 2013.</w:t>
      </w:r>
    </w:p>
    <w:p>
      <w:r>
        <w:rPr>
          <w:b/>
        </w:rPr>
        <w:t>[Pages 19–20]</w:t>
      </w:r>
    </w:p>
    <w:p>
      <w:r>
        <w:t>as the shares of the different operators in the market, there are no indications of a violation of Article 3 of the LDC.” This Counselor cannot accept such a statement given that the economic relevance of the festival affected by the conduct could justify the existence of conduct with relevance in competition matters, but these issues have not been subject to instruction.</w:t>
      </w:r>
    </w:p>
    <w:p>
      <w:r>
        <w:t>5. The merging of these three disconnected conducts into a single file makes the market definition generic and not tailored to each of the situations that should be analyzed.</w:t>
      </w:r>
    </w:p>
    <w:p>
      <w:r>
        <w:t>6. For all the above reasons, this counselor considers that the filing of the file does not exhaust the analysis that must be carried out, fundamentally in the case of the second and third reported conducts. From the instruction carried out, it cannot be concluded whether or not there is illicit conduct from the perspective of competition, and therefore a complete instruction of the file should be ordered.</w:t>
      </w:r>
    </w:p>
    <w:p>
      <w:r>
        <w:t xml:space="preserve">In this sense, I issue this Particular Vote.  </w:t>
        <w:br/>
        <w:t xml:space="preserve">Signed: María Pilar Canedo Arrillaga  </w:t>
        <w:br/>
        <w:t xml:space="preserve">S/0637/18 Comisión Nacional de los Mercados y la Competencia Page 19 of 20  </w:t>
        <w:br/>
        <w:t xml:space="preserve">UBER/CABIFY/UNAUTO C/ Barquillo, 5 – 28004 Madrid - C/ Bolivia, 56 – 08018 Barcelona  </w:t>
        <w:br/>
        <w:t>www.cnmc.es</w:t>
      </w:r>
    </w:p>
    <w:p>
      <w:r>
        <w:t xml:space="preserve">INDEX  </w:t>
        <w:br/>
        <w:t xml:space="preserve">I. BACKGROUND ........................................................................................... 2  </w:t>
        <w:br/>
        <w:t xml:space="preserve">II. THE PARTIES ................................................................................................. 3  </w:t>
        <w:br/>
        <w:t xml:space="preserve">1. Complainant: SPANISH TAXI FEDERATION (FEDETAXI) ...................... 3  </w:t>
        <w:br/>
        <w:t xml:space="preserve">2. Defendants ......................................................................................................... 3  </w:t>
        <w:br/>
        <w:t xml:space="preserve">A. UBER SYSTEMS SPAIN, S.L. (UBER) ..................................................................... 3  </w:t>
        <w:br/>
        <w:t xml:space="preserve">B. MAXI MOBILITY SPAIN S.L. (CABIFY) .................................................................... 4  </w:t>
        <w:br/>
        <w:t xml:space="preserve">C. UNAUTO VTC ............................................................................................................ 4  </w:t>
        <w:br/>
        <w:t xml:space="preserve">3. MYTAXI IBERIA, S.L. (MY TAXI) ........................................................................... 4  </w:t>
        <w:br/>
        <w:t xml:space="preserve">III. ANALYSIS OF THE AFFECTED MARKET ..................................................... 4  </w:t>
        <w:br/>
        <w:t xml:space="preserve">1. Regulatory framework .......................................................................................... 4  </w:t>
        <w:br/>
        <w:t xml:space="preserve">2. Product Market ...................................................................................................... 6  </w:t>
        <w:br/>
        <w:t xml:space="preserve">3. Geographic Market ............................................................................................... 9  </w:t>
        <w:br/>
        <w:t xml:space="preserve">IV. FACTS ....................................................................................................... 9  </w:t>
        <w:br/>
        <w:t xml:space="preserve">V. LEGAL GROUNDS ....................................................................................... 11  </w:t>
        <w:br/>
        <w:t xml:space="preserve">FIRST.- Competence to resolve, object and proposal of the DC................ 11  </w:t>
        <w:br/>
        <w:t xml:space="preserve">SECOND.- Assessment of the Competition Chamber............................................. 11  </w:t>
        <w:br/>
        <w:t xml:space="preserve">1. Analysis of the offer made on September 26, 2018 ............................... 11  </w:t>
        <w:br/>
        <w:t xml:space="preserve">3. On a supposed price agreement of the platforms .............................. 14  </w:t>
        <w:br/>
        <w:t xml:space="preserve">4. On the actions reported in relation to the Madcool Festival .............. 16  </w:t>
        <w:br/>
        <w:t xml:space="preserve">RESOLVES…. ................................................................................................. 16  </w:t>
        <w:br/>
        <w:t xml:space="preserve">PARTICULAR VOTE FORMULATED BY COUNSELOR Dª MARÍA PILAR  </w:t>
        <w:br/>
        <w:t xml:space="preserve">CANEDO EXPTE. S/0637/18 UNAUTO .......................................................... 18  </w:t>
        <w:br/>
        <w:t xml:space="preserve">S/0637/18 Comisión Nacional de los Mercados y la Competencia Page 20 of 20  </w:t>
        <w:br/>
        <w:t xml:space="preserve">UBER/CABIFY/UNAUTO C/ Barquillo, 5 – 28004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