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https://www.cnmc.es/expedientes/s063918</w:t>
      </w:r>
    </w:p>
    <w:p>
      <w:r>
        <w:t>Pages translated : 4</w:t>
      </w:r>
    </w:p>
    <w:p/>
    <w:p>
      <w:r>
        <w:rPr>
          <w:b/>
        </w:rPr>
        <w:t>[Pages 1–3]</w:t>
      </w:r>
    </w:p>
    <w:p>
      <w:r>
        <w:t xml:space="preserve">COLLECTION OF OILS IN THE HOSPITALITY CHAINS  </w:t>
        <w:br/>
        <w:t xml:space="preserve">S/0639/18  </w:t>
        <w:br/>
        <w:t xml:space="preserve">RESOLUTION  </w:t>
        <w:br/>
        <w:t xml:space="preserve">FILE COLLECTION OF OILS IN THE HOSPITALITY CHAINS  </w:t>
        <w:br/>
        <w:t xml:space="preserve">S/0639/18  </w:t>
        <w:br/>
        <w:t xml:space="preserve">COUNCIL. COMPETITION CHAMBER  </w:t>
        <w:br/>
        <w:t xml:space="preserve">President  </w:t>
        <w:br/>
        <w:t xml:space="preserve">Ms. Cani Fernández Vicién  </w:t>
        <w:br/>
        <w:t xml:space="preserve">Councillors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Madrid, on the 19th of the month of 2022  </w:t>
        <w:br/>
        <w:t xml:space="preserve">The Competition Chamber of the Council of the National Commission of Markets and Competition (CNMC), with the composition expressed, has issued the following resolution in this file processed as a result of information sent by the Basque Competition Authority (AVC).  </w:t>
        <w:br/>
        <w:t xml:space="preserve">I. FACTUAL BACKGROUND  </w:t>
        <w:br/>
        <w:t xml:space="preserve">(1) On March 14, 2016, the AVC received a complaint reporting the possible existence of a public contract allocation in the collection and management of used vegetable oil in the Autonomous Community of the Basque Country.  </w:t>
        <w:br/>
        <w:t xml:space="preserve">On July 14, 2016, inspections were carried out at the headquarters of different companies.  </w:t>
        <w:br/>
        <w:t xml:space="preserve">On May 16, 2017, the DC received a letter from the Director of Investigation of the AVC reporting on the complaint and the inspections carried out, indicating that the analyzed conduct does not affect an area larger than that of the Autonomous Community of Euskadi, therefore, in accordance with the provisions of Article 1 of Law 1/2002, it considered that the jurisdiction to hear this case corresponded to the AVC.  </w:t>
        <w:br/>
        <w:t xml:space="preserve">National Commission of Markets and Competition 1 of 4  </w:t>
        <w:br/>
        <w:t xml:space="preserve">C/ Alcalá, 47 – 28014 Madrid - C/ Bolivia, 56 – 08018 Barcelona  </w:t>
        <w:br/>
        <w:t>www.cnmc.es</w:t>
      </w:r>
    </w:p>
    <w:p>
      <w:r>
        <w:t xml:space="preserve">COLLECTION OF OILS IN THE HOSPITALITY CHAINS  </w:t>
        <w:br/>
        <w:t xml:space="preserve">S/0639/18  </w:t>
        <w:br/>
        <w:t xml:space="preserve">On October 19, 2017, the DC informed the AVC that the jurisdiction to hear the case would correspond to the AVC.  </w:t>
        <w:br/>
        <w:t xml:space="preserve">(2) On October 31, 2017, the DC received documentation that had been collected during the aforementioned inspections carried out by the AVC, which referred to the actions of some used oil collection companies that could constitute a market allocation contrary to Article 1 LDC and whose effects extended beyond the Autonomous Community of the Basque Country.  </w:t>
        <w:br/>
        <w:t xml:space="preserve">In order to determine whether there could be indications of infringement in the reported facts, the DC decided to conduct a confidential inquiry under number DP/0232/17. These proceedings were transformed on November 14, 2018, into a confidential inquiry with reference S/DC/639/18, and the documentation from the aforementioned preliminary proceedings was incorporated into it.  </w:t>
        <w:br/>
        <w:t xml:space="preserve">(3) On October 22, 2020, the AVC informed the CNMC that it had resolved file 174-SAN-2019 COLLECTION OF OILS CAE by means of a Resolution dated October 16, 2020, in which the existence of an infringement was declared for the establishment of a market allocation agreement for the collection and management of used vegetable oil through contracts awarded by local administrations (town halls and associations) in the Basque Country, from 2002 until September 27, 2013.  </w:t>
        <w:br/>
        <w:t xml:space="preserve">(4) On April 9, 2021, the DC issued a proposal for the non-initiation of sanctioning proceedings and the filing of the actions, considering that the facts reported to the CNMC by the AVC did not show indications of infringement of the LDC.  </w:t>
        <w:br/>
        <w:t xml:space="preserve">(5) The Competition Chamber of the CNMC Council deliberated and ruled on the matter in its meeting on July 19, 2022.  </w:t>
        <w:br/>
        <w:t xml:space="preserve">II. FACTS  </w:t>
        <w:br/>
        <w:t xml:space="preserve">(6) From the documentation provided by the AVC, it follows that hospitality establishments (hospitality chains) contract with a single company for the collection of used vegetable oil for all their branches or agencies throughout Spanish territory.  </w:t>
        <w:br/>
        <w:t xml:space="preserve">The contracted oil collection company subsequently subcontracts the execution of the used oil collection with local companies.  </w:t>
        <w:br/>
        <w:t xml:space="preserve">It is also derived from the documentation sent that there are corporate links between competing companies and with the companies for the recovery of used oil. These links would consist of the same individuals having held positions as administrators in competing collection companies.  </w:t>
        <w:br/>
        <w:t xml:space="preserve">National Commission of Markets and Competition 2 of 4  </w:t>
        <w:br/>
        <w:t xml:space="preserve">C/ Alcalá, 47 – 28014 Madrid - C/ Bolivia, 56 – 08018 Barcelona  </w:t>
        <w:br/>
        <w:t>www.cnmc.es</w:t>
      </w:r>
    </w:p>
    <w:p>
      <w:r>
        <w:t xml:space="preserve">COLLECTION OF OILS IN THE HOSPITALITY CHAINS  </w:t>
        <w:br/>
        <w:t xml:space="preserve">S/0639/18  </w:t>
        <w:br/>
        <w:t xml:space="preserve">III. LEGAL BASIS  </w:t>
        <w:br/>
        <w:t xml:space="preserve">III.1. [FIRST] Jurisdiction to resolve, subject of the resolution, and proposal of the instructing body  </w:t>
        <w:br/>
        <w:t xml:space="preserve">(7) In accordance with Article 5.1.c) of the Law establishing the CNMC, this body is responsible for applying the LDC "in matters of conduct that involve preventing, restricting, and distorting competition"1. Article 20.2 of the same law assigns the Council the function of resolving the sanctioning procedures provided for in the LDC, and according to Article 14.1.a) of the Organic Statute of the CNMC, the Competition Chamber will be aware of matters related to the application of the LDC2.  </w:t>
        <w:br/>
        <w:t xml:space="preserve">Consequently, the jurisdiction to resolve this procedure corresponds to the Competition Chamber of the CNMC Council.  </w:t>
        <w:br/>
        <w:t xml:space="preserve">(8) Article 49.1 of the LDC provides that the DC will initiate sanctioning proceedings when it observes reasonable indications of the existence of prohibited conduct in Articles 1, 2, and 3 of the same Law. Paragraph 3 of the aforementioned provision establishes that the Council, at the proposal of the DC, will agree not to initiate sanctioning proceedings and, consequently, to file the actions carried out when it considers that there are no indications of infringement.  </w:t>
        <w:br/>
        <w:t xml:space="preserve">(9) On April 9, 2021, the DC proposed to this Chamber the non-initiation of the sanctioning procedure, considering that from the documentation provided by the AVC, there are no indications of collusive practices as there are no indications of market allocation, information exchange, or allocation of sources of supply of raw materials by the recovery companies.  </w:t>
        <w:br/>
        <w:t xml:space="preserve">III.2. [SECOND] Assessment of the Competition Chamber  </w:t>
        <w:br/>
        <w:t xml:space="preserve">(10) Article 1.1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w:t>
        <w:br/>
        <w:t xml:space="preserve">a) The direct or indirect fixing of prices or other commercial or service conditions.  </w:t>
        <w:br/>
        <w:t xml:space="preserve">b) The limitation or control of production, distribution, technical development, or investments.  </w:t>
        <w:br/>
        <w:t xml:space="preserve">c) The allocation of the market or sources of supply.  </w:t>
        <w:br/>
        <w:t xml:space="preserve">1 Law 3/2013, of June 4, establishing the National Commission of Markets and Competition (LCNMC), BOE No. 134, of June 5, 2013.  </w:t>
        <w:br/>
        <w:t xml:space="preserve">2 Royal Decree 657/2013, of August 30, approving the Organic Statute of the National Commission of Markets and Competition, BOE No. 209, of August 31, 2013, pp. 63623-63648.  </w:t>
        <w:br/>
        <w:t xml:space="preserve">National Commission of Markets and Competition 3 of 4  </w:t>
        <w:br/>
        <w:t xml:space="preserve">C/ Alcalá, 47 – 28014 Madrid - C/ Bolivia, 56 – 08018 Barcelona  </w:t>
        <w:br/>
        <w:t>www.cnmc.es</w:t>
      </w:r>
    </w:p>
    <w:p>
      <w:r>
        <w:rPr>
          <w:b/>
        </w:rPr>
        <w:t>[Pages 4–4]</w:t>
      </w:r>
    </w:p>
    <w:p>
      <w:r>
        <w:t xml:space="preserve">COLLECTION OF OILS IN THE HOSPITALITY CHAINS  </w:t>
        <w:br/>
        <w:t xml:space="preserve">S/0639/18  </w:t>
        <w:br/>
        <w:t xml:space="preserve">d) The application, in commercial or service relationships, of unequal conditions for equivalent services that place some competitors at a disadvantage compared to others.  </w:t>
        <w:br/>
        <w:t xml:space="preserve">e) The subordination of the conclusion of contracts to the acceptance of supplementary services that, by their nature or according to commercial practices, are not related to the object of such contracts.”  </w:t>
        <w:br/>
        <w:t xml:space="preserve">(11) The fact that there are reciprocal contracts between different companies does not, by itself, constitute an indication of the existence of an agreement among competitors, and in the case analyzed, the actions of the companies are not devoid of economic logic.  </w:t>
        <w:br/>
        <w:t xml:space="preserve">It seems justified, for reasons of efficiency, that hospitality chains centrally contract the collection of oils in all their establishments (multi-point contracts). It also makes sense that, when executing these collections materially, the contracted company, within its power to organize its resources and manage its logistics, subcontracts local companies, especially in those places where it does not have a physical presence. Therefore, from this mode of organization, there are no indications of anti-competitive conduct.  </w:t>
        <w:br/>
        <w:t xml:space="preserve">Also considering issues of logistical collection infrastructure [vehicles, storage location (if applicable), and transport to the treatment plant], it seems reasonable that there are local companies that carry out movements within reasonable distances and that do not cover the entire national market. The fact that they are subcontracted by others avoids creating or duplicating logistical infrastructures.  </w:t>
        <w:br/>
        <w:t xml:space="preserve">(12) In short, there are no indications that serve as a basis for initiating a sanctioning procedure.  </w:t>
        <w:br/>
        <w:t xml:space="preserve">IV. RESOLVES  </w:t>
        <w:br/>
        <w:t xml:space="preserve">SOLE. Not to initiate a sanctioning procedure and to agree to archive the proceedings for the reasons pointed out in the third legal basis of this resolution.  </w:t>
        <w:br/>
        <w:t xml:space="preserve">Communicate this resolution to the Directorate of Competition.  </w:t>
        <w:br/>
        <w:t xml:space="preserve">Comisión Nacional de los Mercados y la Competencia 4 of 4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