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https://www.cnmc.es/expedientes/s064018</w:t>
      </w:r>
    </w:p>
    <w:p>
      <w:r>
        <w:t>Pages translated : 19</w:t>
      </w:r>
    </w:p>
    <w:p/>
    <w:p>
      <w:r>
        <w:rPr>
          <w:b/>
        </w:rPr>
        <w:t>[Pages 1–3]</w:t>
      </w:r>
    </w:p>
    <w:p>
      <w:r>
        <w:t xml:space="preserve">S/00640/18  </w:t>
        <w:br/>
        <w:t xml:space="preserve">CCM OPHTHALMOLOGY  </w:t>
        <w:br/>
        <w:t xml:space="preserve">AGREEMENT OF NON-INITIATION AND FILING OF THE  </w:t>
        <w:br/>
        <w:t xml:space="preserve">PROCEEDINGS  </w:t>
        <w:br/>
        <w:t xml:space="preserve">CCM OPHTHALMOLOGY  </w:t>
        <w:br/>
        <w:t xml:space="preserve">S/0640/18  </w:t>
        <w:br/>
        <w:t xml:space="preserve">COUNCIL. COMPETITION CHAMBER  </w:t>
        <w:br/>
        <w:t xml:space="preserve">President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January 10, 2024  </w:t>
        <w:br/>
        <w:t xml:space="preserve">The Competition Chamber of the Council of the National Commission of Markets  </w:t>
        <w:br/>
        <w:t xml:space="preserve">and Competition (CNMC) with the composition expressed, has issued the following  </w:t>
        <w:br/>
        <w:t xml:space="preserve">agreement in the reference file instructed by the Competition Directorate  </w:t>
        <w:br/>
        <w:t xml:space="preserve">following a complaint filed for alleged conduct prohibited by Articles 1 and 2 of Law 15/2007, of July 3, on the Defense of Competition (LDC).  </w:t>
        <w:br/>
        <w:t xml:space="preserve">National Commission of Markets and Competition 1 of 19  </w:t>
        <w:br/>
        <w:t xml:space="preserve">C/ Alcalá, 47 – 28014 Madrid - C/ Bolivia, 56 – 08018 Barcelona  </w:t>
        <w:br/>
        <w:t>www.cnmc.es</w:t>
      </w:r>
    </w:p>
    <w:p>
      <w:r>
        <w:t xml:space="preserve">S/00640/18  </w:t>
        <w:br/>
        <w:t xml:space="preserve">CCM OPHTHALMOLOGY  </w:t>
        <w:br/>
        <w:t xml:space="preserve">TABLE OF CONTENTS  </w:t>
        <w:br/>
        <w:t xml:space="preserve">1. BACKGROUND ........................................................................................ 3  </w:t>
        <w:br/>
        <w:t xml:space="preserve">2. THE PARTIES .............................................................................................. 4  </w:t>
        <w:br/>
        <w:t xml:space="preserve">2.1. Complainant: CCM OPHTHALMOLOGY, S.L. .................................................. 4  </w:t>
        <w:br/>
        <w:t xml:space="preserve">2.2. Defendant: IGUALATORIO MÉDICO-QUIRÚRGICO COLEGIAL,  </w:t>
        <w:br/>
        <w:t xml:space="preserve">SOCIETY ANONYMOUS OF INSURANCE ........................................................... 4  </w:t>
        <w:br/>
        <w:t xml:space="preserve">3. AFFECTED MARKET .............................................................................. 4  </w:t>
        <w:br/>
        <w:t xml:space="preserve">3.1. Product market .................................................................................... 4  </w:t>
        <w:br/>
        <w:t xml:space="preserve">3.1.1. Market for private healthcare insurance .................................................. 5  </w:t>
        <w:br/>
        <w:t xml:space="preserve">3.1.2. Market for the provision of healthcare services ....................................... 6  </w:t>
        <w:br/>
        <w:t xml:space="preserve">3.2. Geographic market ...................................................................................... 7  </w:t>
        <w:br/>
        <w:t xml:space="preserve">4. REPORTED FACTS .................................................................................. 8  </w:t>
        <w:br/>
        <w:t xml:space="preserve">5. LEGAL GROUNDS .................................................................................. 11  </w:t>
        <w:br/>
        <w:t xml:space="preserve">5.1. Competence to Resolve ....................................................................... 11  </w:t>
        <w:br/>
        <w:t xml:space="preserve">5.2. Object of the resolution and proposal of the instructing body ..................... 12  </w:t>
        <w:br/>
        <w:t xml:space="preserve">5.3. Assessment of the Competition Chamber .................................................. 12  </w:t>
        <w:br/>
        <w:t xml:space="preserve">5.3.1. On the non-existence of indications of collusive conduct .......................... 12  </w:t>
        <w:br/>
        <w:t xml:space="preserve">5.3.2. On the non-existence of indications of abuse of dominant position .............. 13  </w:t>
        <w:br/>
        <w:t xml:space="preserve">6. AGREES ................................................................................................... 19  </w:t>
        <w:br/>
        <w:t xml:space="preserve">INDEX OF TABLES  </w:t>
        <w:br/>
        <w:t xml:space="preserve">Table 1. Information requests issued by the Competition Directorate .................. 3  </w:t>
        <w:br/>
        <w:t xml:space="preserve">Table 2. Market shares in the market for the provision of healthcare with  </w:t>
        <w:br/>
        <w:t xml:space="preserve">inpatient care to private patients of free choice in the period 2017-2022 ................. 17  </w:t>
        <w:br/>
        <w:t xml:space="preserve">National Commission of Markets and Competition 2 of 19  </w:t>
        <w:br/>
        <w:t xml:space="preserve">C/ Alcalá, 47 – 28014 Madrid - C/ Bolivia, 56 – 08018 Barcelona  </w:t>
        <w:br/>
        <w:t>www.cnmc.es</w:t>
      </w:r>
    </w:p>
    <w:p>
      <w:r>
        <w:t xml:space="preserve">S/00640/18  </w:t>
        <w:br/>
        <w:t xml:space="preserve">CCM OPHTHALMOLOGY  </w:t>
        <w:br/>
        <w:t xml:space="preserve">1. BACKGROUND  </w:t>
        <w:br/>
        <w:t xml:space="preserve">(1) On August 2, 2018, the Competition Directorate received a complaint filed  </w:t>
        <w:br/>
        <w:t xml:space="preserve">by CCM OPHTHALMOLOGY, S.L. (CCM), against IGUALATORIO  </w:t>
        <w:br/>
        <w:t xml:space="preserve">MÉDICO-QUIRÚRGICO COLEGIAL, SOCIEDAD ANÓNIMA DE SEGUROS  </w:t>
        <w:br/>
        <w:t xml:space="preserve">(IMQ) for preventing, through an amendment to its Internal Regulations, IMQ  </w:t>
        <w:br/>
        <w:t xml:space="preserve">doctors, who were also members of CCM, from providing healthcare services to  </w:t>
        <w:br/>
        <w:t xml:space="preserve">IMQ insured individuals in centers whose corporate purpose was the same as that  </w:t>
        <w:br/>
        <w:t xml:space="preserve">of the said insurance entity (specifically, at the Santa Clotilde Hospital). According  </w:t>
        <w:br/>
        <w:t xml:space="preserve">to the complaint, this regulatory prohibition would constitute a violation of Articles 1  </w:t>
        <w:br/>
        <w:t xml:space="preserve">and 2 of the LDC1.  </w:t>
        <w:br/>
        <w:t xml:space="preserve">(2) In view of the complaint, the Competition Directorate initiated a confidential  </w:t>
        <w:br/>
        <w:t xml:space="preserve">investigation within the framework of the reference file, in accordance with the  </w:t>
        <w:br/>
        <w:t xml:space="preserve">provisions of section 2 of Article 49 of the LDC, in order to preliminarily determine  </w:t>
        <w:br/>
        <w:t xml:space="preserve">the existence of circumstances that justified the initiation of sanctioning proceedings.  </w:t>
        <w:br/>
        <w:t xml:space="preserve">(3) Within the framework of the confidential investigation, in accordance with the  </w:t>
        <w:br/>
        <w:t xml:space="preserve">provisions of Article 39.1 of the LDC, the Competition Directorate issued various  </w:t>
        <w:br/>
        <w:t xml:space="preserve">information requests that were answered on the following dates:  </w:t>
        <w:br/>
        <w:t xml:space="preserve">Table 1. Information requests issued by the Competition Directorate  </w:t>
        <w:br/>
        <w:t xml:space="preserve">Date Request Recipient Folios Date Response Folios  </w:t>
        <w:br/>
        <w:t xml:space="preserve">07/05/2019 IMQ 67-69 03/06/2019 94-491  </w:t>
        <w:br/>
        <w:t xml:space="preserve">01/08/2019 IMQ 505-508 27/08/2019 509-1094  </w:t>
        <w:br/>
        <w:t xml:space="preserve">13/07/2023 IMQ 1109-1111 24/07/2023 1153-1166  </w:t>
        <w:br/>
        <w:t xml:space="preserve">(4) On July 23, 2019, CCM sent a new letter accusing IMQ of preventing  </w:t>
        <w:br/>
        <w:t xml:space="preserve">ophthalmologists from practicing under the same competitive conditions as other  </w:t>
        <w:br/>
        <w:t xml:space="preserve">specialists (specifically, radiologists) indicating that the Board of Directors of IMQ  </w:t>
        <w:br/>
        <w:t xml:space="preserve">had made the unilateral decision to stop covering the cost of certain tests performed  </w:t>
        <w:br/>
        <w:t xml:space="preserve">by ophthalmologists within the set of tests financed by IMQ. CCM complained that  </w:t>
        <w:br/>
        <w:t xml:space="preserve">these tests were indeed paid for to other professionals (radiologists)2.  </w:t>
        <w:br/>
        <w:t xml:space="preserve">(5) On July 26, 2023, in compliance with the provisions of Article 27 of the  </w:t>
        <w:br/>
        <w:t xml:space="preserve">Regulation on the Defense of Competition, approved by Royal Decree  </w:t>
        <w:br/>
        <w:t xml:space="preserve">1 Folios 1 to 50 of the file.  </w:t>
        <w:br/>
        <w:t xml:space="preserve">2 Folios 492 to 504 of the file.  </w:t>
        <w:br/>
        <w:t xml:space="preserve">National Commission of Markets and Competition 3 of 19  </w:t>
        <w:br/>
        <w:t xml:space="preserve">C/ Alcalá, 47 – 28014 Madrid - C/ Bolivia, 56 – 08018 Barcelona  </w:t>
        <w:br/>
        <w:t>www.cnmc.es</w:t>
      </w:r>
    </w:p>
    <w:p>
      <w:r>
        <w:rPr>
          <w:b/>
        </w:rPr>
        <w:t>[Pages 4–6]</w:t>
      </w:r>
    </w:p>
    <w:p>
      <w:r>
        <w:t xml:space="preserve">S/00640/18  </w:t>
        <w:br/>
        <w:t>CCM OPHTHALMOLOGY</w:t>
      </w:r>
    </w:p>
    <w:p>
      <w:r>
        <w:t xml:space="preserve">261/2008, of February 22 (RDC), the Competition Directorate submitted to the Council a proposal for the non-initiation of sanctioning proceedings and the filing of the actions, considering that the facts reported did not show indications of a violation of the LDC3.  </w:t>
        <w:br/>
        <w:t>(6) The Competition Chamber of the CNMC deliberated and ruled on the matter in its meeting on January 10, 2024.</w:t>
      </w:r>
    </w:p>
    <w:p>
      <w:r>
        <w:t>2. THE PARTIES</w:t>
      </w:r>
    </w:p>
    <w:p>
      <w:r>
        <w:t xml:space="preserve">2.1. Complainant: CCM OPHTHALMOLOGY, S.L.  </w:t>
        <w:br/>
        <w:t>(7) CCM OPHTHALMOLOGY, S.L. (CCM), is based in Santa Cruz de Bezana (Cantabria)4. CCM is part of CCM Centro de Consultas Médicas5, which, according to its website, is the first center for specialized private medical consultations in Cantabria. Specifically, CCM offers advanced multidisciplinary ophthalmology services and treatments, has 15 years of experience, and works with the following insurance companies: CASER, MAPFRE, IMQ, and Divina Pastora seguros6.</w:t>
      </w:r>
    </w:p>
    <w:p>
      <w:r>
        <w:t xml:space="preserve">2.2. Respondent: IGUALATORIO MÉDICO-QUIRÚRGICO COLEGIAL, SOCIEDAD ANÓNIMA DE SEGUROS  </w:t>
        <w:br/>
        <w:t>(8) IGUALATORIO MÉDICO-QUIRÚRGICO COLEGIAL, SOCIEDAD ANÓNIMA DE SEGUROS (IMQ), has its registered office at Plaza del Príncipe, 4 in Santander. According to its website7, it defines itself as “the most important private healthcare company in the region [Cantabria] for over 65 years.” Additionally, IMQ includes the Clínica Mompía and the Technical Professional School in Health Sciences of the Clínica Mompía.</w:t>
      </w:r>
    </w:p>
    <w:p>
      <w:r>
        <w:t>3. AFFECTED MARKET</w:t>
      </w:r>
    </w:p>
    <w:p>
      <w:r>
        <w:t xml:space="preserve">3.1. Product market  </w:t>
        <w:br/>
        <w:t xml:space="preserve">(9) IMQ is present in the market for private healthcare insurance in the Autonomous Community of Cantabria, as well as in the market for the provision of private healthcare services in the same community, while CCM is only present in the market for the provision of private healthcare services in the same territorial scope, focusing its activity on the specialty of providing ophthalmological services.  </w:t>
        <w:br/>
        <w:t>(10) Since, according to CCM, the amendment to the Internal Regulations of IMQ would affect the provision of private healthcare services by limiting the competition that the Hospital Santa Clotilde could pose for IMQ and preventing CCM partners from conducting ophthalmology consultations at that hospital, the affected product market should be the market for the provision of healthcare services. However, considering that CCM is reporting IMQ for an alleged violation of Article 2 of the LDC, among others, it must be understood that it considers that the practice is carried out from a dominant position of IMQ in the market for healthcare insurance, which is why both are briefly analyzed.</w:t>
      </w:r>
    </w:p>
    <w:p>
      <w:r>
        <w:t xml:space="preserve">3.1.1. Market for private healthcare insurance  </w:t>
        <w:br/>
        <w:t xml:space="preserve">(11) The CNMC has differentiated in the health insurance market between (i) sickness insurance (which guarantees the payment of compensation or daily allowance in case of illness and/or hospitalization of the insured to compensate for the loss of economic income that the illness process may cause) and (ii) private healthcare insurance (which provides the insured and their beneficiaries, in case of illness or accident, medical, hospital, and surgical assistance, either in contracted centers without the insured making any outlay, or through free choice by the insured, in which case the cost of the medical services incurred is reimbursed totally or partially)8.  </w:t>
        <w:br/>
        <w:t xml:space="preserve">(12) Furthermore, within the market for private healthcare insurance, the CNMC has considered that free choice healthcare insurance (including insurance contracted by individuals and private collectives, such as large companies offering their employees additional private assistance to the mandatory insurance) constitutes a distinct market from the healthcare insurance contracted by the national civil servant mutual societies MUFACE, ISFAS, and MUGEJU.  </w:t>
        <w:br/>
        <w:t xml:space="preserve">(13) Finally, regarding its market share in Cantabria, in response to the information request of August 1, 2019, IMQ indicated that its market share in the market for private healthcare insurance in Cantabria in the free choice segment in 2018, when the conduct would have occurred, in terms of the number of insured, amounted to [CONFIDENTIAL] (own, not considering reinsured9). The market shares based on the value of the subscribed premiums would be similar, [CONFIDENTIAL] (own).  </w:t>
        <w:br/>
        <w:t xml:space="preserve">(14) In 2019, the share in relation to the number of insured was [CONFIDENTIAL]10; without making segmentations, and its share in the market for healthcare insurance in Cantabria, the only Autonomous Community in which it is active, in terms of the value of the subscribed premiums, amounted in 2019 to [CONFIDENTIAL].  </w:t>
        <w:br/>
        <w:t>(15) For the years 2020 and 202111, the shares in volume in the market for private healthcare insurance, without making segmentations, were [CONFIDENTIAL] and [CONFIDENTIAL] by number of insured, respectively, and [CONFIDENTIAL] and [CONFIDENTIAL] in terms of the value of the subscribed insurance premiums. For those same years, in the free choice segment, these shares were [CONFIDENTIAL] and [CONFIDENTIAL], respectively12.</w:t>
      </w:r>
    </w:p>
    <w:p>
      <w:r>
        <w:t xml:space="preserve">3.1.2. Market for the provision of healthcare services13  </w:t>
        <w:br/>
        <w:t xml:space="preserve">(16) The CNMC has distinguished two markets for healthcare: (i) private healthcare and (ii) public healthcare. Within the former, both the CNMC and the European Commission differentiate between the services offered to (i) private patients and (ii) public patients. From the demand side, the CNMC segments, within the services offered to private patients in  </w:t>
        <w:br/>
        <w:t xml:space="preserve">9 According to IMQ's response, it should be noted that the reinsurance agreements concluded between IMQ and other competing insurers are renewable annually, so they should not be attributed to this entity, as they do not constitute a permanent or own share, but could suffer a significant variation in a scenario of non-renewal of one or several of these agreements. Therefore, it considers that it is a volatile and dependent share, even on the will of the competitors themselves.  </w:t>
        <w:br/>
        <w:t xml:space="preserve">10 C/1163/21 AXA / IGUALATORIO CANTABRIA.  </w:t>
        <w:br/>
        <w:t xml:space="preserve">11 According to the response to the information request of July 24, 2023, in 2020 and 2021, all civil servants in Cantabria had direct insurance with IMQ or were reinsured through IMQ. Therefore, for these years, IMQ can estimate the total market for free choice healthcare insurance, since it is sufficient to eliminate those contracted with mutual societies that it has as its own or through reinsurance agreements. However, in 2022, these civil servants also began to have insurance contracted with third-party operators. As the data reported to the ICEA association (Cooperative Research between Insurance Entities and Pension Funds) do not distinguish between free choice insurance and those contracted with civil servant mutual societies, IMQ cannot calculate the total market for free choice insurance in Cantabria for the year 2022, as it can only calculate its own free choice insurance data or those from reinsurance, but not those from third-party operators.  </w:t>
        <w:br/>
        <w:t xml:space="preserve">12 Information provided on July 24, 2023, in response to the information request.  </w:t>
        <w:br/>
        <w:t>13 C/0966/18 QUIRÓN/CLÍNICA SANTA CRISTINA.</w:t>
      </w:r>
    </w:p>
    <w:p>
      <w:r>
        <w:rPr>
          <w:b/>
        </w:rPr>
        <w:t>[Pages 7–9]</w:t>
      </w:r>
    </w:p>
    <w:p>
      <w:r>
        <w:t xml:space="preserve">S/00640/18  </w:t>
        <w:br/>
        <w:t>CCM OPHTHALMOLOGY</w:t>
      </w:r>
    </w:p>
    <w:p>
      <w:r>
        <w:t xml:space="preserve">private healthcare: (i) healthcare of free choice and (ii) healthcare arranged with civil servant mutual societies14.  </w:t>
        <w:br/>
        <w:t xml:space="preserve">(17) Additionally, the CNMC15 has established a segmentation in the private healthcare market for private patients between: (i) hospitals or centers with inpatient care (within which outpatient care, i.e., without inpatient care, can also be provided) and (ii) healthcare providers without inpatient care (outpatient).  </w:t>
        <w:br/>
        <w:t xml:space="preserve">(18) The market share of the defendant in the market for private healthcare services to private patients of free choice with inpatient care was, in 2019, [CONFIDENTIAL]16.  </w:t>
        <w:br/>
        <w:t xml:space="preserve">3.2. Geographic market  </w:t>
        <w:br/>
        <w:t xml:space="preserve">(19) The decision-making practice of the CNMC has traditionally indicated that life insurance markets do not have a national dimension17. However, the CNMC has also recognized in some decisions (essentially related to medical and dental insurance) that insurance markets could have a provincial dimension due to consumer preferences "being oriented towards nearby assistance, with the least possible cost and travel time"18.  </w:t>
        <w:br/>
        <w:t>(20) The CNMC considers that the geographic market for private healthcare is provincial due to consumer preferences, which are oriented towards nearby healthcare, with the least possible cost and travel time19. However, regarding the provision of healthcare services to public patients through healthcare agreements, some precedents have considered that there could be an autonomous scope, as the Autonomous Communities are the contracting Public Administration20.</w:t>
      </w:r>
    </w:p>
    <w:p>
      <w:r>
        <w:t xml:space="preserve">4. REPORTED FACTS  </w:t>
        <w:br/>
        <w:t xml:space="preserve">(21) CCM is formed by a group of ophthalmologists who are members of this entity and carry out their activity in the private sector in the Autonomous Community of Cantabria. Some of these members are also partners of IMQ, an insurance company whose panel of doctors is generally composed of physicians who are also shareholders of the same.  </w:t>
        <w:br/>
        <w:t xml:space="preserve">(22) The Board of Directors of IMQ convened a meeting of the General Shareholders' Meeting on May 8, 2018, to discuss, among other items on the Agenda, the "examination and approval, if applicable, of the modification of the internal regulations of the company." The modification of the aforementioned Internal Regulations (RRI) affected Article 7 of the same, which, in its version prior to the modification, stated the following:  </w:t>
        <w:br/>
        <w:t xml:space="preserve">“Article 7.- All doctors are unavoidably obliged to receive patients in their own private office on equal terms with private clientele, considering it a serious offense not to do so.”21  </w:t>
        <w:br/>
        <w:t xml:space="preserve">(23) With the modification of this article, the requirement was added that the provision of services by IMQ doctors to the insured of this entity must be carried out in the company's own centers, in centers contracted with it, or in spaces that are not integrated or belong to individuals or entities whose activities correspond to the corporate purpose of IMQ, remaining as follows:  </w:t>
        <w:br/>
        <w:t xml:space="preserve">“Article 7.- All doctors are unavoidably obliged to receive patients in their own private office on equal terms with private clientele, considering it a serious offense not to do so.  </w:t>
        <w:br/>
        <w:t xml:space="preserve">When medical assistance or treatment services are provided for the insured of Igualatorio Médico-Quirúrgico Colegial, Sociedad Anónima de Seguros, the doctors of the Society must provide the aforementioned services to the insured (qualifying as a serious offense not to do so):  </w:t>
        <w:br/>
        <w:t xml:space="preserve">(i) in the company's own centers;  </w:t>
        <w:br/>
        <w:t xml:space="preserve">(ii) in centers contracted with the Society; or  </w:t>
        <w:br/>
        <w:t xml:space="preserve">(iii) in spaces (whether owned by the doctor or not) that are not physically integrated or belong, directly or indirectly, under any legal title, to individuals or entities that carry out, wholly or partially, activities integrated into the corporate purpose of the Society.”22  </w:t>
        <w:br/>
        <w:t xml:space="preserve">The justification for this modification by IMQ focuses on the need to protect the business activity of this company.  </w:t>
        <w:br/>
        <w:t xml:space="preserve">(24) Additionally, it was also agreed to modify Article 29 of the RRI in order to establish as a serious offense the failure to comply with the obligation provided in Article 7, remaining as follows:  </w:t>
        <w:br/>
        <w:t xml:space="preserve">“Article 29.- Serious offenses are  </w:t>
        <w:br/>
        <w:t xml:space="preserve">[…]  </w:t>
        <w:br/>
        <w:t xml:space="preserve">14) The failure to comply with the obligation to provide medical assistance or treatment services for the insured (i) in the company's own centers; (ii) in centers contracted with the Society; or (iii) in spaces (whether owned by the doctor or not) that are not physically integrated or belong, directly or indirectly, under any legal title, to individuals or entities that carry out, wholly or partially, activities integrated into the corporate purpose of the Society.”23  </w:t>
        <w:br/>
        <w:t xml:space="preserve">(25) In the opinion of the complainant, such modifications of the RRI of IMQ would aim to prevent the partners of CCM, who are also partners and shareholders of IMQ, from conducting ophthalmology consultations at the Hospital Santa Clotilde24 in Santander, which is owned by the Brothers of Saint John of God25.  </w:t>
        <w:br/>
        <w:t xml:space="preserve">(26) According to the complainant, the modification of the RRI of IMQ would also aim to limit the competition that the Hospital Santa Clotilde could pose for IMQ, although in their opinion, this Hospital would exercise a "truly illusory competition," since the surgical interventions of IMQ insured individuals must be carried out in any case at the Hospital de Mompía, which is owned by IMQ.  </w:t>
        <w:br/>
        <w:t xml:space="preserve">22 Document 138 of the file.  </w:t>
        <w:br/>
        <w:t xml:space="preserve">23 Document 145 of the file.  </w:t>
        <w:br/>
        <w:t xml:space="preserve">24 The complainant provides a copy of a contract for the assignment of spaces and equipment signed between the Hospital Santa Clotilde and CCM in August 2015, which is renewable annually, under which this healthcare center authorizes CCM to use the facilities of the Hospital in exchange for a certain price (documents 13 to 16 of the file).  </w:t>
        <w:br/>
        <w:t>25 The complainant himself states that one of the doctors who is a partner of IMQ and also works at CCM, and who had been providing services at the Hospital Santa Clotilde before the adoption of the agreement to modify the RRI of IMQ, will be exempt from the prohibition of providing services at the aforementioned hospital.</w:t>
      </w:r>
    </w:p>
    <w:p>
      <w:r>
        <w:rPr>
          <w:b/>
        </w:rPr>
        <w:t>[Pages 10–12]</w:t>
      </w:r>
    </w:p>
    <w:p>
      <w:r>
        <w:t xml:space="preserve">S/00640/18  </w:t>
        <w:br/>
        <w:t>CCM OPHTHALMOLOGY</w:t>
      </w:r>
    </w:p>
    <w:p>
      <w:r>
        <w:t>(27) The complainant finally recalls that IMQ was already reported and sanctioned by the Competition Defense Tribunal (TDC) in the year 200026. In that file, it was established that IMQ engaged in abusive conduct of a dominant position, consisting of obstructing the market access of new competitors by requiring thirty-one members of its medical panel to cease professional practice in a competing company.</w:t>
      </w:r>
    </w:p>
    <w:p>
      <w:r>
        <w:t xml:space="preserve">(28) IMQ has indicated27 that the modification of the RRI is justified by:  </w:t>
        <w:br/>
        <w:t xml:space="preserve">- The need to reinforce and protect the brand image of IMQ in providing services to its insured clients. It understands that providing services to its insured clients in centers that belong, directly or indirectly, under any legal title, to persons who carry out, wholly or partially, activities integrated into the corporate purpose of the company, could lead to confusion and dilution of the IMQ brand.  </w:t>
        <w:br/>
        <w:t>- The protection of the investments made by IMQ in machinery for its own centers, whose depreciation would be jeopardized if the shareholder doctors used the machinery of competing facilities instead of that acquired by the entity itself for its own centers.</w:t>
      </w:r>
    </w:p>
    <w:p>
      <w:r>
        <w:t>(29) Regarding the impact that this measure could have on the activity of IMQ's associated doctors, it states that, in order to cause them the least inconvenience possible, it was agreed that the measure would not have retroactive effect, so that doctors who already had consultations in spaces integrated into competing entities could continue attending to IMQ insured clients in those facilities.</w:t>
      </w:r>
    </w:p>
    <w:p>
      <w:r>
        <w:t xml:space="preserve">(30) On the other hand, IMQ indicates that it has not prohibited its associated doctors from providing healthcare services at the Hospital Santa Clotilde or at other competing entities, but only establishes that its insured and reinsured clients cannot be attended to in centers owned by a non-contracted competing entity. It also indicates that it has not prohibited any doctor from providing their services to other insurance entities nor is there an obligation to provide services exclusively to insured patients of IMQ28.  </w:t>
        <w:br/>
        <w:t xml:space="preserve">26 See the resolution of September 27, 2000, of file 473/99 Igualatorio Médico Quirúrgico Cantabria.  </w:t>
        <w:br/>
        <w:t xml:space="preserve">27 Pages 94 to 491 of the file.  </w:t>
        <w:br/>
        <w:t>28 On this particular matter, IMQ indicates that, between July and December 2018, the management of IMQ exchanged correspondence with three doctors who expressed their intention to establish a consultation in a center external to the Society and not contracted (specifically, the Hospital Santa Clotilde). It indicates that this same information was conveyed to them, as well as that, in the event of establishing a consultation in a space integrated into a competing entity, it would not be possible to advertise the address where that consultation is located in the IMQ medical panel.</w:t>
      </w:r>
    </w:p>
    <w:p>
      <w:r>
        <w:t>(31) Regarding the reason for the complaint received, IMQ states that the fact that it prohibits its associated doctors from attending to its insured and reinsured clients in non-contracted competing entities, such as the Hospital Santa Clotilde, does not prevent CCM from establishing itself in that space, as long as the shareholders of CCM who are also IMQ partners could attend to insured clients from other entities as well as other private patients in that space.</w:t>
      </w:r>
    </w:p>
    <w:p>
      <w:r>
        <w:t>(32) According to IMQ, a single professional from the IMQ medical panel provided medical services at the Hospital Santa Clotilde. In this case, the provision contained in Article 7, section iii) of the RRI would not have been applied to said doctor since this modification lacks retroactive effect and the referred doctor provided services to IMQ insured clients in those facilities before the entry into force of the modification of the RRI29.</w:t>
      </w:r>
    </w:p>
    <w:p>
      <w:r>
        <w:t>(33) According to the defendant, it cannot be asserted either that the measure has a generally detrimental effect on IMQ's associated doctors, who approved it in the General Meeting duly convened and constituted, and that only one doctor would have repeatedly expressed his desire to attend to IMQ insured clients in the consultation that CCM could establish in the facilities of the Hospital Santa Clotilde.</w:t>
      </w:r>
    </w:p>
    <w:p>
      <w:r>
        <w:t xml:space="preserve">5. LEGAL GROUNDS  </w:t>
        <w:br/>
        <w:t xml:space="preserve">5.1. Competence to Resolve  </w:t>
        <w:br/>
        <w:t>(34) According to Article 5.1.c) of Law 3/2013, of June 4, creating the National Commission of Markets and Competition, this body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Royal Decree 657/2013, of August 30, which approves the Organic Statute of the National Commission of Markets and Competition, "the Competition Chamber will hear matters related to the application of Law 15/2007, of July 3."</w:t>
      </w:r>
    </w:p>
    <w:p>
      <w:r>
        <w:t xml:space="preserve">5.2. Purpose of the resolution and proposal of the instructing body  </w:t>
        <w:br/>
        <w:t xml:space="preserve">(35) The Competition Chamber must resolve whether the requirements for agreeing to the non-initiation and filing of the proceedings are met in accordance with the provisions of Article 49.3 of the LDC.  </w:t>
        <w:br/>
        <w:t xml:space="preserve">(36) On July 26, 2023, the Competition Directorate submitted a proposal to the Council of the CNMC. In that document, it was proposed to file the proceedings due to the absence of indications of infringement of the LDC, all with the following literal wording:  </w:t>
        <w:br/>
        <w:t>“[A]ccording to the provisions of Article 49.3 of Law 15/2007, of July 3, on Competition Defense, it is proposed not to initiate the sanctioning procedure, as well as to file the proceedings followed against IMQ-Cantabria as a result of the complaint filed by CCM, considering that there are no rational indications of infringement of the aforementioned Law.”</w:t>
      </w:r>
    </w:p>
    <w:p>
      <w:r>
        <w:t xml:space="preserve">5.3. Assessment of the Competition Chamber  </w:t>
        <w:br/>
        <w:t>(37) This Chamber must assess, based on the confidential information instructed by the Competition Directorate, whether the reported facts consisting of preventing, through a modification of its RRI, IMQ's associated doctors, who are also CCM partners, from providing healthcare services to IMQ insured clients in centers whose corporate purpose was the same as that of IMQ (specifically, at the Hospital Santa Clotilde), constitute indications of infringement of Articles 1 and 2 of the LDC.</w:t>
      </w:r>
    </w:p>
    <w:p>
      <w:r>
        <w:t xml:space="preserve">5.3.1. On the absence of indications of collusive conduct  </w:t>
        <w:br/>
        <w:t xml:space="preserve">(38) Article 1 of the LDC prohibits collusive conduct, consisting of agreements, decisions, or collective recommendations, or concerted or consciously parallel practices, which have the object, produce, or may produce the effect of preventing, restricting, or distorting competition in all or part of the national market.  </w:t>
        <w:br/>
        <w:t xml:space="preserve">(39) To initiate a sanctioning file for infringement of Article 1 of the LDC, it is necessary that there are indications of an agreement or a concerted or consciously parallel practice in which the operators, intentionally or negligently, agree to follow a specific competitive strategy in the affected market.  </w:t>
        <w:br/>
        <w:t>(40) In this case, this chamber does not observe that there has been an agreement or parallel coordination among companies in the market that could constitute a</w:t>
      </w:r>
    </w:p>
    <w:p>
      <w:r>
        <w:rPr>
          <w:b/>
        </w:rPr>
        <w:t>[Pages 13–15]</w:t>
      </w:r>
    </w:p>
    <w:p>
      <w:r>
        <w:t xml:space="preserve">S/00640/18  </w:t>
        <w:br/>
        <w:t>CCM OPHTHALMOLOGY</w:t>
      </w:r>
    </w:p>
    <w:p>
      <w:r>
        <w:t>violation of Article 1 of the LDC. We are faced with a unilateral decision adopted within the framework of the internal operating rules of a capital company that does not fit into any of the restrictive competition practices provided for in the aforementioned article, so, in any case, the conduct must be analyzed within the framework of a possible abuse of dominant position, as will be addressed in the following section.</w:t>
      </w:r>
    </w:p>
    <w:p>
      <w:r>
        <w:t>(41) Therefore, the existence of a violation of Article 1 of the LDC is ruled out.</w:t>
      </w:r>
    </w:p>
    <w:p>
      <w:r>
        <w:t xml:space="preserve">5.3.2. On the absence of indications of abuse of dominant position  </w:t>
        <w:br/>
        <w:t>5.3.2.1. Principles</w:t>
      </w:r>
    </w:p>
    <w:p>
      <w:r>
        <w:t>(42) Article 2 of the LDC prohibits the abusive exploitation by one or more companies of their dominant position in all or part of the national market.</w:t>
      </w:r>
    </w:p>
    <w:p>
      <w:r>
        <w:t>(43) To assess a possible existence of indications of a violation of Article 2 of the LDC, it would be necessary for two conditions to be met simultaneously: i) that the entity being complained of occupies a dominant position in the relevant market, with the ability to act independently of its competitors, and ii) that its conduct can be qualified as abusive.</w:t>
      </w:r>
    </w:p>
    <w:p>
      <w:r>
        <w:t>(44) Although Article 2 of the LDC does not define the concept of dominant position, in accordance with established European jurisprudence30, the Communication of the European Commission31, as well as numerous Resolutions of the Spanish Competition Authority32, the dominant position has been defined as the economic power situation in which a company finds itself, allowing it to prevent effective competition in the relevant market, granting it the ability to behave with a considerable degree of independence from its competitors, its customers, and ultimately, consumers.</w:t>
      </w:r>
    </w:p>
    <w:p>
      <w:r>
        <w:t>(45) When determining a company's dominant position, as noted in the aforementioned Communication of the European Commission33, "market shares provide a first useful indication for the Commission regarding the structure of the market and the relative importance of the various companies active in the market." However, the European Commission has also pointed out that this is not the only criterion to consider and that the conditions of the relevant market must be examined, especially the market dynamics. Thus, the CJEU has specified: "The existence of a dominant position is, in general, the result of a combination of various factors that, considered in isolation, would not necessarily be decisive"34.</w:t>
      </w:r>
    </w:p>
    <w:p>
      <w:r>
        <w:t>(46) The fact that a company holds a dominant position is not in itself contrary to competition rules35. However, it is the responsibility of the company that holds such a dominant position, regardless of the causes that explain that position, to ensure that its behavior does not impede the development of effective and undistorted competition in the internal market36. The material scope of the special responsibility that weighs on a dominant company must be assessed in light of the specific circumstances of each case, demonstrating how and to what extent competition is weakened37.</w:t>
      </w:r>
    </w:p>
    <w:p>
      <w:r>
        <w:t>(47) The abuse of a dominant position does not necessarily have to consist of the use of the economic power conferred by a dominant position38.</w:t>
      </w:r>
    </w:p>
    <w:p>
      <w:r>
        <w:t>(48) The concept of abusive exploitation of a dominant position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by means other than those governing normal competition of products or services according to the performance of economic agents, the maintenance of the level of competition that still exists in the market or the development of that competition39.</w:t>
      </w:r>
    </w:p>
    <w:p>
      <w:r>
        <w:t>(49) The prohibition extends to behaviors by which a company occupying a dominant position eliminates competitors and thereby reinforces its position, resorting to means other than those governing merit-based competition40.</w:t>
      </w:r>
    </w:p>
    <w:p>
      <w:r>
        <w:t>5.3.2.2. Application to the case</w:t>
      </w:r>
    </w:p>
    <w:p>
      <w:r>
        <w:t>(50) Considering that IMQ's market share in the market for private healthcare insurance of free choice in Cantabria in 2018, 2019, and 2021 exceeded 50% by number of insured individuals, it could be stated a priori that</w:t>
      </w:r>
    </w:p>
    <w:p>
      <w:r>
        <w:rPr>
          <w:b/>
        </w:rPr>
        <w:t>[Pages 16–18]</w:t>
      </w:r>
    </w:p>
    <w:p>
      <w:r>
        <w:t xml:space="preserve">S/00640/18  </w:t>
        <w:br/>
        <w:t>CCM OPHTHALMOLOGY</w:t>
      </w:r>
    </w:p>
    <w:p>
      <w:r>
        <w:t>IMQ occupies a very relevant position in this market. If we add to this that, according to data provided by the company itself, in all the years considered it had reinsurance agreements with the main companies at the national level that would grant it a supplementary share of reinsured individuals close to or even exceeding 40%, in some cases, its position in the Cantabrian market for private healthcare insurance would be very prominent.</w:t>
      </w:r>
    </w:p>
    <w:p>
      <w:r>
        <w:t>(51) However, in the present case, it is not necessary to conduct a further analysis of the dominant position of the aforementioned company as no abusive conduct by IMQ is observed, as will be seen below.</w:t>
      </w:r>
    </w:p>
    <w:p>
      <w:r>
        <w:t>(52) In this regard, it should be noted, first of all, that the only thing established by Article 7 of the RRI is that IMQ insured individuals cannot be attended to in centers owned by a non-contracted competing entity.</w:t>
      </w:r>
    </w:p>
    <w:p>
      <w:r>
        <w:t>(53) Therefore, IMQ does not prohibit its associated doctors from providing healthcare services at the Hospital Santa Clotilde or at other competing entities, which is the situation analyzed and sanctioned in the precedent of the TDC previously mentioned41. It cannot be concluded that the aforementioned company has prohibited any doctor from providing their services to other insurance entities or that any obligation has been imposed to provide services exclusively to insured patients of IMQ. On the contrary, existing evidence indicates that IMQ's decision affects exclusively the regime and conditions for providing healthcare services to its own insured individuals.</w:t>
      </w:r>
    </w:p>
    <w:p>
      <w:r>
        <w:t>(54) The above can be considered a reasonable and non-abusive conduct, as it is justified by reasons of the company's image and the amortization of investments made in the equipment of its centers. In this regard, it is reasonable that a company like IMQ, which has its own facilities for providing healthcare services within its group, invests in its own facilities to ensure the desired level of services for its clients (the insured, not the associated doctors) and seeks to amortize the aforementioned investments through their use by IMQ's associated doctors, who are also shareholders of the said entity.</w:t>
      </w:r>
    </w:p>
    <w:p>
      <w:r>
        <w:t>(55) On the other hand, the fact that IMQ, through the aforementioned RRI, does not allow services to be provided to its insured individuals in non-contracted facilities of the competition does not prevent CCM (nor other doctors who are partners of IMQ) from establishing themselves at the Hospital Santa Clotilde, as long as the shareholders of CCM who are also IMQ partners can attend to both insured individuals from other entities and other private patients in their ophthalmology practice.</w:t>
      </w:r>
    </w:p>
    <w:p>
      <w:r>
        <w:t>(56) It cannot be asserted, therefore, that the modification of IMQ's RRI was intended solely and exclusively to prevent the doctors of that society, who were also partners of CCM, from providing their healthcare services to IMQ's insured individuals at the Hospital Santa Clotilde, as it is a general internal provision applicable to all shareholder doctors of the society and not only to those who are also partners of CCM. In any case, as already indicated, it is reasonable that a company like IMQ, which has its own facilities for providing healthcare services within its group, invests in its own facilities to ensure the desired level of services for its clients and seeks to amortize the aforementioned investments through their use by IMQ's associated doctors, who are also shareholders of the said entity.</w:t>
      </w:r>
    </w:p>
    <w:p>
      <w:r>
        <w:t>(57) Furthermore, the controversial measure was adopted by the Ordinary and Extraordinary General Shareholders' Meeting of IMQ with 85.83% of the capital attending the General Meeting, present or represented (in particular, 130 votes in favor, 0 votes against, and 17 abstentions), so it seems that it cannot be concluded that there are indications that the rest of IMQ's partners consider that it has a generally detrimental effect on their practice. In this regard, only two doctors from the entire medical panel of IMQ expressed their willingness to set up a practice in a center outside of IMQ and not contracted (specifically, the Hospital Santa Clotilde).</w:t>
      </w:r>
    </w:p>
    <w:p>
      <w:r>
        <w:t>(58) Therefore, there is no evidence that the measure has had retroactive effects and thus has caused harm to those doctors who had practices in spaces integrated into competing entities of IMQ prior to the approval of the aforementioned modification of the RRI, since they can continue to attend to insured individuals of IMQ in those facilities, including the only partner of CCM who had been providing his services at the Hospital Santa Clotilde.</w:t>
      </w:r>
    </w:p>
    <w:p>
      <w:r>
        <w:t>(59) Finally, regarding the isolated fact allegedly carried out by IMQ of ceasing to cover the cost of certain tests performed by ophthalmologists in the set of tests financed by the insurer, in</w:t>
      </w:r>
    </w:p>
    <w:p>
      <w:r>
        <w:rPr>
          <w:b/>
        </w:rPr>
        <w:t>[Pages 19–19]</w:t>
      </w:r>
    </w:p>
    <w:p>
      <w:r>
        <w:t xml:space="preserve">S/00640/18  </w:t>
        <w:br/>
        <w:t>CCM OPHTHALMOLOGY</w:t>
      </w:r>
    </w:p>
    <w:p>
      <w:r>
        <w:t xml:space="preserve">in contrast to those financed in another specialty as different as radiology, it is considered that they do not constitute sufficient indications of a violation of Article 2 of the LDC.  </w:t>
        <w:br/>
        <w:t xml:space="preserve">(63) In conclusion, in the opinion of this Chamber, and in accordance with the proposal made by the Competition Directorate, it is considered that there are no indications that an abusive conduct has occurred on the part of IMQ from the perspective of the LDC.  </w:t>
        <w:br/>
        <w:t>(64) Based on all of the above, this Chamber</w:t>
      </w:r>
    </w:p>
    <w:p>
      <w:r>
        <w:t xml:space="preserve">6. DECIDES  </w:t>
        <w:br/>
        <w:t xml:space="preserve">Sole. The non-initiation of a sanctioning procedure against IGUALATORIO MÉDICO-QUIRÚRGICO COLEGIAL, SOCIEDAD ANÓNIMA DE SEGUROS for the alleged commission of conduct prohibited by Articles 1 and 2 of the LDC and the filing of the proceedings, as no indications of a violation are perceived at this time.  </w:t>
        <w:br/>
        <w:t xml:space="preserve">This Agreement shall be communicated to the Competition Directorate of the National Commission of Markets and Competition and notified to the complainant and the defendant, informing them that there is no administrative appeal against it, and that they may file a contentious-administrative appeal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