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https://www.cnmc.es/expedientes/s064318</w:t>
      </w:r>
    </w:p>
    <w:p>
      <w:r>
        <w:t>Pages translated : 11</w:t>
      </w:r>
    </w:p>
    <w:p/>
    <w:p>
      <w:r>
        <w:rPr>
          <w:b/>
        </w:rPr>
        <w:t>[Pages 1–3]</w:t>
      </w:r>
    </w:p>
    <w:p>
      <w:r>
        <w:t xml:space="preserve">RESOLUTION  </w:t>
        <w:br/>
        <w:t xml:space="preserve">Exp. S/0643/18, TANATORIOS NULES  </w:t>
        <w:br/>
        <w:t xml:space="preserve">COUNCIL. 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Maria Pilar Canedo Arrillaga  </w:t>
        <w:br/>
        <w:t xml:space="preserve">Secretary of the Council  </w:t>
        <w:br/>
        <w:t xml:space="preserve">Mr. Joaquim Hortalà i Vallvé  </w:t>
        <w:br/>
        <w:t xml:space="preserve">In Madrid, on July 18, 2019  </w:t>
        <w:br/>
        <w:t xml:space="preserve">The Competition Chamber of the Council of the National Commission of Markets and Competition (CNMC), with the composition expressed, has issued the following resolution in File S/0643/18, TANATORIOS NULES, processed in response to the complaint filed by the owner of a funeral home in Nules, Castellón, against MAPFRE ESPAÑA COMPAÑÍA DE SEGUROS Y REASEGUROS, S.A. (MAPFRE) and FAMILIAR DE SEGUROS ACTIVE, S.A. (FSA), for alleged practices and behaviors contrary to Article 1 of Law 15/2007, of July 3, on the Defense of Competition (LDC).  </w:t>
        <w:br/>
        <w:t xml:space="preserve">S/0643/18 TANATORIOS NULES National Commission of Markets and Competition Page 1 of 11  </w:t>
        <w:br/>
        <w:t xml:space="preserve">C/ Barquillo, 5 – 28004 Madrid - C/ Bolivia, 56 – 08018 Barcelona  </w:t>
        <w:br/>
        <w:t>www.cnmc.es</w:t>
      </w:r>
    </w:p>
    <w:p>
      <w:r>
        <w:t xml:space="preserve">INDEX  </w:t>
        <w:br/>
        <w:t xml:space="preserve">I. FACTUAL BACKGROUND .................................................................................... 3  </w:t>
        <w:br/>
        <w:t xml:space="preserve">II. THE PARTIES ................................................................................................................. 3  </w:t>
        <w:br/>
        <w:t xml:space="preserve">1. Complainant: ................................................................................................................. 3  </w:t>
        <w:br/>
        <w:t xml:space="preserve">2. Respondents: ................................................................................................................ 4  </w:t>
        <w:br/>
        <w:t xml:space="preserve">III. AFFECTED MARKET ................................................................................................. 4  </w:t>
        <w:br/>
        <w:t xml:space="preserve">IV. REGULATORY FRAMEWORK .................................................................................... 5  </w:t>
        <w:br/>
        <w:t xml:space="preserve">V. REPORTED FACTS ....................................................................................................... 6  </w:t>
        <w:br/>
        <w:t xml:space="preserve">1. On the exclusive linkage with the municipal funeral home of NULES .... 6  </w:t>
        <w:br/>
        <w:t xml:space="preserve">2. On the market closure due to obstruction of reimbursement for funeral services provided by third parties. .................................................................................. 7  </w:t>
        <w:br/>
        <w:t xml:space="preserve">VI. LEGAL GROUNDS ....................................................................................................... 8  </w:t>
        <w:br/>
        <w:t xml:space="preserve">FIRST. - Competence to resolve. .................................................................................... 8  </w:t>
        <w:br/>
        <w:t xml:space="preserve">SECOND. - Object of the Resolution and proposal of the instructing body ............ 8  </w:t>
        <w:br/>
        <w:t xml:space="preserve">THIRD. - Assessment of the Competition Chamber .................................................... 9  </w:t>
        <w:br/>
        <w:t xml:space="preserve">HAS RESOLVED ........................................................................................................................ 10  </w:t>
        <w:br/>
        <w:t xml:space="preserve">S/0643/18 TANATORIOS NULES National Commission of Markets and Competition Page 2 of 11  </w:t>
        <w:br/>
        <w:t xml:space="preserve">C/ Barquillo, 5 – 28004 Madrid - C/ Bolivia, 56 – 08018 Barcelona  </w:t>
        <w:br/>
        <w:t>www.cnmc.es</w:t>
      </w:r>
    </w:p>
    <w:p>
      <w:r>
        <w:t xml:space="preserve">I. FACTUAL BACKGROUND  </w:t>
        <w:br/>
        <w:t xml:space="preserve">1. On June 14, 2016, a complaint was filed with the National Commission of Markets and Competition (CNMC) by the owner of a funeral home in Nules, Castellón (hereinafter, complainant) against MAPFRE and FSA for the inclusion of funeral home services from NUEVOS SERVICIOS FUNERARIOS, S.L. (NSF) in their death insurance policies in the market related to such services in the municipality of Nules, Castellón and the existence of restrictive competition practices concerning the reimbursement process for the costs of funeral services provided by operators not mentioned in the policy. (folios 2 to 31).  </w:t>
        <w:br/>
        <w:t xml:space="preserve">2. On June 22, 2016, the opening of a reserved investigation was agreed upon, and information requests were made to FSA and MAPFRE (folios 32 to 39), which were answered on July 4 and 5, respectively (folios 40 to 63 and 64 to 68). On November 15, 2016, new information requests were made to FSA and MAPFRE (folios 70 to 77), which were responded to on November 30 and December 12, respectively (folios 84 to 99 and 100 to 228).  </w:t>
        <w:br/>
        <w:t xml:space="preserve">3. On October 30, 2018, the opening of a sanctioning procedure under reference S/0643/18 was agreed upon.  </w:t>
        <w:br/>
        <w:t xml:space="preserve">4. On May 16, 2019, the Competition Directorate (hereinafter, DC), in application of the provisions of Article 49.3 of the LDC, issued a proposal for non-initiation of sanctioning proceedings and for filing the complaint (folios 263 to 273).  </w:t>
        <w:br/>
        <w:t xml:space="preserve">5. The Competition Chamber of the Council of the CNMC resolved the matter in its meeting on July 18, 2019.  </w:t>
        <w:br/>
        <w:t xml:space="preserve">II. THE PARTIES  </w:t>
        <w:br/>
        <w:t xml:space="preserve">The following operators are parties to this file:  </w:t>
        <w:br/>
        <w:t xml:space="preserve">1. Complainant:  </w:t>
        <w:br/>
        <w:t xml:space="preserve">- Mr. XXX  </w:t>
        <w:br/>
        <w:t xml:space="preserve">Owner of a funeral home in Nules (Castellón) since August 2012.  </w:t>
        <w:br/>
        <w:t xml:space="preserve">S/0643/18 TANATORIOS NULES National Commission of Markets and Competition Page 3 of 11  </w:t>
        <w:br/>
        <w:t xml:space="preserve">C/ Barquillo, 5 – 28004 Madrid - C/ Bolivia, 56 – 08018 Barcelona  </w:t>
        <w:br/>
        <w:t>www.cnmc.es</w:t>
      </w:r>
    </w:p>
    <w:p>
      <w:r>
        <w:rPr>
          <w:b/>
        </w:rPr>
        <w:t>[Pages 4–6]</w:t>
      </w:r>
    </w:p>
    <w:p>
      <w:r>
        <w:t>2. Reported Parties:</w:t>
        <w:br/>
        <w:t>- MAPFRE ESPAÑA S.A. (MAPFRE)</w:t>
        <w:br/>
        <w:t>A national company dedicated to the insurance and reinsurance sector, with a presence in 49 countries and headquartered in Madrid. The insurer claims that it does not intervene in the funeral market, limiting its activities to insurance. It was previously called MAPFRE FAMILIAR COMPAÑÍA DE SEGUROS Y REASEGUROS, S.A. before December 21, 2015. MAPFRE holds a majority stake in FUNESPAÑA, S.A. (FUNESPAÑA), which indirectly participates in NUEVOS SERVICIOS FUNERARIOS, S.L. (NSF), the concessionaire of the municipal funeral home of Nules, and directly in ALL FUNERAL SERVICES, S.A. (AFS), a company dedicated to the management and coordination of funeral services for various insurers and with a network that includes more than 1,500 collaborating companies.</w:t>
        <w:br/>
        <w:t>- FAMILIAR DE SEGUROS ACTIVE, S.A. (FSA)</w:t>
        <w:br/>
        <w:t>It is an insurance company based in Valencia active in family insurance on a national scale and specialized in death insurance. It has a strong presence in rural areas and small municipalities.</w:t>
      </w:r>
    </w:p>
    <w:p>
      <w:r>
        <w:t>III. AFFECTED MARKET</w:t>
        <w:br/>
        <w:t>The markets affected by the reported conduct are the funeral services market and the death insurance market, both vertically related, with funeral homes acting as providers of services such as funeral home to the insurance entities.</w:t>
      </w:r>
    </w:p>
    <w:p>
      <w:r>
        <w:t>A. The funeral services market</w:t>
        <w:br/>
        <w:t>As defined in national precedents, it consists of the transportation of the deceased from the home or place of death to the cemetery for the burial or cremation of the body, excluding cemetery or crematory services. Further segmentations could form narrower markets for some of the services mentioned, such as the transfer of corpses outside the municipal term or funeral home services. The evolution of recent years has led to an increase in the number of funeral homes and an increasingly frequent exploitation of this service by funeral companies, somewhat blurring the differences between the funeral and funeral home markets. According to precedents, funeral services have a local character, and the geographical scope can be considered, depending on the cases, as either the municipal area or the area of influence of a particular municipality, a region, or a comarca.</w:t>
      </w:r>
    </w:p>
    <w:p>
      <w:r>
        <w:t>B. The death insurance market</w:t>
        <w:br/>
        <w:t>It constitutes one of the 19 branches of insurance distinct from life insurance and ancillary risks, as defined in the Annex to Law 20/2015, of July 14, on the regulation, supervision, and solvency of insurance and reinsurance entities (hereinafter, Insurance Regulation Law). The Insurance Regulation Law defines death insurance as that which guarantees "the provision of funeral services in the event of death, or, alternatively, [...] to pay the legal heirs of the deceased insured the insured amount, which must not exceed the average value of funeral expenses for a death." The geographical scope of the death insurance market is national according to precedents.</w:t>
      </w:r>
    </w:p>
    <w:p>
      <w:r>
        <w:t>IV. REGULATORY FRAMEWORK</w:t>
        <w:br/>
        <w:t>Law 50/1980, of October 8, on Insurance Contracts (hereinafter, Insurance Contract Law) obliges insurers to provide the contracted funeral services or, failing that, to pay the insured amount, and to guarantee the free choice of the service provider as stipulated in the policy (Articles 106 bis and quater).</w:t>
      </w:r>
    </w:p>
    <w:p>
      <w:r>
        <w:t>V. REPORTED FACTS</w:t>
        <w:br/>
        <w:t>The complaint subject to this file has been assessed by the Competition Chamber of the CNMC based on the facts recorded by the DC in its proposal for filing and the documentation gathered in the file.</w:t>
      </w:r>
    </w:p>
    <w:p>
      <w:r>
        <w:t>1. On the exclusive linkage with the municipal funeral home of NULES</w:t>
        <w:br/>
        <w:t>(1) According to the complainant, the reported insurance companies limit the offer of funeral home services included in their death insurance policies to those provided by the municipal funeral home of Nules, which was operated under a concession regime by NSF. The alleged anti-competitive practice has supposedly been carried out since August 2012, which would have caused an estimated damage of €648,000 (folios 2 to 31).</w:t>
        <w:br/>
        <w:t>(2) The complainant indicates that their facilities are located in the urban area of Nules, 100 meters from the church where the funeral is usually held, while the municipal funeral home is 1.5 km away, which offers greater accessibility for visits to the funeral home and transportation to the subsequent funeral.</w:t>
        <w:br/>
        <w:t>(3) FSA indicates that it seeks to reach service provision agreements with funeral homes in the various municipalities of its insured portfolio and, in the case of having several in the same municipality, seeks agreements with all established ones that guarantee the quality and price conditions of the insurer (folio 40).</w:t>
        <w:br/>
        <w:t>(4) MAPFRE reports that it contracts the provision of funeral services with entities operating in that sector (folios 64 to 68). Since 2012 and until the time of the complaint, MAPFRE had entered into a service provision agreement with its subsidiary AFS (folios 105 to 149). Under this agreement, AFS provides funeral services to MAPFRE's insured throughout the national territory, using its own means or through subcontracting to third parties, without prejudice to the fact that the beneficiaries of its death policies may choose to have the funeral service provided by other means, in accordance with current regulations.</w:t>
        <w:br/>
        <w:t>(5) Both insurers state that they offer different models of death policies with different coverages. The contract between MAPFRE and AFS stipulates the services included in the funeral service, while other concepts such as the place of wake depend on the customs and practices of the location where the service is provided. MAPFRE indicates that the funeral home is a complementary service not included.</w:t>
      </w:r>
    </w:p>
    <w:p>
      <w:r>
        <w:rPr>
          <w:b/>
        </w:rPr>
        <w:t>[Pages 7–9]</w:t>
      </w:r>
    </w:p>
    <w:p>
      <w:r>
        <w:t>(6) The death insurance policy of FSA provided in the complaint expressly includes in its specific conditions the service of "VIEWING ROOM IN THE MUNICIPAL FUNERAL HOME OF NULES" (folios 2 to 31). In relation to MAPFRE, it has not been demonstrated that this entity includes any specific funeral home service provider in its policies. According to the policy of this insurer submitted with the complaint, there is no express mention of any specific funeral home. The insurer itself confirmed that it does not have any agreement with companies dedicated to the funeral home activity to provide this service, nor does it require that the service be provided through the concessionaire of the municipal funeral home of Nules.</w:t>
      </w:r>
    </w:p>
    <w:p>
      <w:r>
        <w:t>2. On the market closure due to obstruction of reimbursement for funeral services provided by third parties.</w:t>
      </w:r>
    </w:p>
    <w:p>
      <w:r>
        <w:t>(7) The complaint states that when the beneficiary of the insurance requests reimbursement for the costs of funeral home services provided by operators other than those mentioned in the policy, the respondents require a considerable volume of documentation that hinders the payment of the amounts paid, disincentivizing the hiring of services provided by third parties.</w:t>
      </w:r>
    </w:p>
    <w:p>
      <w:r>
        <w:t>(8) The complainant provides a copy of the claim against FSA dated April 20, 2015, before the Directorate General of Insurance and Pension Funds (DGSFP), from a relative of the holder of a death insurance policy subscribed with FSA. The claim refers to the lack of reimbursement for expenses, after ten months of payment for the service, at a funeral home different from that mentioned in the specific conditions of the aforementioned policy, after presenting the documentation.</w:t>
      </w:r>
    </w:p>
    <w:p>
      <w:r>
        <w:t>(9) The annexes to the complaint include the documentation requested by MAPFRE and FSA to apply for reimbursement of funeral home expenses in case they opted for a service different from that offered by the insurer. These include the death certificate, proof of expenses, a copy of the will or, failing that, a declaration of heirs and proof of the status of relatives/heirs.</w:t>
      </w:r>
    </w:p>
    <w:p>
      <w:r>
        <w:t>(10) Both insurers have reimbursement procedures of which they inform the beneficiaries. Regarding the required documentation, FSA specifies that this documentation is required when the insured has not designated a beneficiary, since otherwise only the documentation that proves the death is required (copy of the medical death certificate and the death certificate issued by the Civil Registry) (folios 84 to 99).</w:t>
      </w:r>
    </w:p>
    <w:p>
      <w:r>
        <w:t>VI. LEGAL GROUNDS</w:t>
      </w:r>
    </w:p>
    <w:p>
      <w:r>
        <w:t>FIRST. - Competence to resolve.</w:t>
      </w:r>
    </w:p>
    <w:p>
      <w:r>
        <w:t>According to Article 5.1.c) of Law 3/2013, of June 4, creating the National Commission of Markets and Competition,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w:t>
      </w:r>
    </w:p>
    <w:p>
      <w:r>
        <w:t>Furthermore, Article 14.1.a) of the Organic Statute of the CNMC, approved by Royal Decree 657/2013, of August 30, establishes that "The Competition Chamber shall hear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w:t>
      </w:r>
    </w:p>
    <w:p>
      <w:r>
        <w:t>SECOND. - Object of the Resolution and proposal of the instructing body</w:t>
      </w:r>
    </w:p>
    <w:p>
      <w:r>
        <w:t>This Chamber must assess in the present resolution whether the requirements for the application of Article 49.3 of the LDC are met, that is, the absence of indications of infringement to agree not to initiate the sanctioning procedure and to archive the actions taken so far.</w:t>
      </w:r>
    </w:p>
    <w:p>
      <w:r>
        <w:t>In its report of May 14, 2019, the DC proposed to this Chamber the non-initiation of the sanctioning procedure and the archiving of the actions, in accordance with the provisions of Article 49.3 of the LDC, as it considers that, in relation to the reported facts, there are no indications of infringement of the LDC.</w:t>
      </w:r>
    </w:p>
    <w:p>
      <w:r>
        <w:t>THIRD. - Assessment of the Competition Chamber</w:t>
      </w:r>
    </w:p>
    <w:p>
      <w:r>
        <w:t>The object of the complaint is the vertical relationship established between the reported insurers (MAPFRE and FSA) and NSF, under which the insurance companies would include, according to the complainant, in their death insurance policy the funeral and funeral home services provided by NSF, causing a market closure for the rest of the companies. However, this market closure produced by the vertical relationship has not been demonstrated.</w:t>
      </w:r>
    </w:p>
    <w:p>
      <w:r>
        <w:t>Firstly, in the case of MAPFRE, it has been confirmed that its death insurance policy does not even include an express mention of a specific funeral home for the provision of such service and, therefore, does not include NSF in its policies as a service provider.</w:t>
      </w:r>
    </w:p>
    <w:p>
      <w:r>
        <w:t>MAPFRE had a service provision agreement with its subsidiary AFS (fact (4)), however, it has been confirmed that it has a reimbursement procedure for the expenses incurred by its beneficiaries for hiring funeral home services, regardless of the company with which they have done so (facts (9) and (10)). Both the insurance policy and this procedure are consistent with guaranteeing the freedom of choice of the insured and the applicable regulation.</w:t>
      </w:r>
    </w:p>
    <w:p>
      <w:r>
        <w:t>Secondly, regarding the vertical relationship between FSA and NSF, it has been established that FSA included an express mention of the municipal funeral home of Nules, operated by NSF (fact (6)).</w:t>
      </w:r>
    </w:p>
    <w:p>
      <w:r>
        <w:rPr>
          <w:b/>
        </w:rPr>
        <w:t>[Pages 10–11]</w:t>
      </w:r>
    </w:p>
    <w:p>
      <w:r>
        <w:t>Article 106 quater of the Insurance Contract Law expressly provides for those "contracts in which a single provider is foreseen." The insurer's obligation is, in any case, to guarantee the freedom of choice of the insured, being obliged to pay the insured sum to the heirs of the deceased if the service was provided by means other than those offered by the insurer. In this case, it has been established that FSA also complies with the freedom of choice of service provider and the possibility of reimbursement (facts (9) and (10)).</w:t>
      </w:r>
    </w:p>
    <w:p>
      <w:r>
        <w:t>The fact that there may be some irregularity on the part of FSA regarding the reimbursement procedure that has led to a complaint being filed with the DGSFP does not constitute evidence of a practice contrary to competition regulations, without prejudice to the responsibilities that may arise from the aforementioned administrative complaint (fact (8)).</w:t>
      </w:r>
    </w:p>
    <w:p>
      <w:r>
        <w:t>Finally, the documentation required for reimbursement is in accordance with the provisions of the regulatory framework for the insurance contract.</w:t>
      </w:r>
    </w:p>
    <w:p>
      <w:r>
        <w:t>As a consequence of all the above, this Chamber considers that there are no indications of a violation of Article 1 by MAPFRE and FSA, and therefore considers that, in accordance with the provisions of Article 49.3 of the LDC, the initiation of sanctioning proceedings should not proceed and the actions taken as a result of the filed complaint should be archived.</w:t>
      </w:r>
    </w:p>
    <w:p>
      <w:r>
        <w:t>Therefore, in view of the cited provisions and others of general application, the Competition Chamber</w:t>
      </w:r>
    </w:p>
    <w:p>
      <w:r>
        <w:t>HAS RESOLVED</w:t>
      </w:r>
    </w:p>
    <w:p>
      <w:r>
        <w:t>SOLE.- Not to initiate sanctioning proceedings and to agree to archive the actions taken as a result of the filed complaint, considering that there are no indications of a violation of Article 1 of the LDC in this file.</w:t>
      </w:r>
    </w:p>
    <w:p>
      <w:r>
        <w:t>“In health care, dependency, and death insurance, insurance entities shall guarantee the insured the freedom to choose the service provider, within the limits and conditions established in the contract. In these cases, the insurance entity must make available to the insured, in an easily accessible manner, a list of service providers that guarantees effective freedom of choice, except in those contracts where a single provider is expressly foreseen.”</w:t>
      </w:r>
    </w:p>
    <w:p>
      <w:r>
        <w:t>Communicate this resolution to the Directorate of Competition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