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https://www.cnmc.es/expedientes/s065118</w:t>
      </w:r>
    </w:p>
    <w:p>
      <w:r>
        <w:t>Pages translated : 10</w:t>
      </w:r>
    </w:p>
    <w:p/>
    <w:p>
      <w:r>
        <w:rPr>
          <w:b/>
        </w:rPr>
        <w:t>[Pages 1–3]</w:t>
      </w:r>
    </w:p>
    <w:p>
      <w:r>
        <w:t xml:space="preserve">RESOLUTION  </w:t>
        <w:br/>
        <w:t xml:space="preserve">Exp. S/0651/18, CARRY-ON LUGGAGE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y Vallvé  </w:t>
        <w:br/>
        <w:t xml:space="preserve">In Madrid, on October 24, 2019  </w:t>
        <w:br/>
        <w:t xml:space="preserve">The Competition Chamber of the Council of the National Commission on Markets and Competition, with the composition stated, has issued the following resolution in the file S/0651/18, CARRY-ON LUGGAGE, processed following the complaint filed by the Consumers and Users in Action Association-FACUA, for alleged practices and conduct contrary to Article 3 of Law 15/2007, of July 3, on the Defense of Competition (LDC).  </w:t>
        <w:br/>
        <w:t xml:space="preserve">Index  </w:t>
        <w:br/>
        <w:t xml:space="preserve">I. STATEMENT OF FACTS ....................................................................... 2  </w:t>
        <w:br/>
        <w:t xml:space="preserve">II. THE PARTIES ................................................................................................. 2  </w:t>
        <w:br/>
        <w:t xml:space="preserve">1. FACUA (complainant) ........................................................................................... 2  </w:t>
        <w:br/>
        <w:t xml:space="preserve">2. Defendants ......................................................................................................... 3  </w:t>
        <w:br/>
        <w:t xml:space="preserve">III. FACTS ....................................................................................................... 3  </w:t>
        <w:br/>
        <w:t xml:space="preserve">IV. LEGAL BASIS .......................................................................................... 4  </w:t>
        <w:br/>
        <w:t xml:space="preserve">FIRST.- Jurisdiction to resolve, subject matter, and proposal of the DC.................. 4  </w:t>
        <w:br/>
        <w:t xml:space="preserve">SECOND.- Assessment of the Competition Chamber............................................... 4  </w:t>
        <w:br/>
        <w:t xml:space="preserve">1. On the impact on public interest due to alteration of competition ........... 6  </w:t>
        <w:br/>
        <w:t xml:space="preserve">2. On the infringement of the Unfair Competition Law ........................................ 7  </w:t>
        <w:br/>
        <w:t xml:space="preserve">HAS RESOLVED ................................................................................................ 10  </w:t>
        <w:br/>
        <w:t xml:space="preserve">S/0651/18, CARRY-ON LUGGAGE National Commission on Markets and Competition Page 1 of 10  </w:t>
        <w:br/>
        <w:t xml:space="preserve">C/ Barquillo, 5 – 28004 Madrid - C/ Bolivia, 56 – 08018 Barcelona  </w:t>
        <w:br/>
        <w:t>www.cnmc.es</w:t>
      </w:r>
    </w:p>
    <w:p>
      <w:r>
        <w:t xml:space="preserve">I. STATEMENT OF FACTS  </w:t>
        <w:br/>
        <w:t xml:space="preserve">1. On November 2, 2018, the National Commission on Markets and Competition (CNMC) received a complaint filed by the Consumers and Users in Action Association-FACUA (FACUA) against the airlines WIZZ AIR HUNGARY LTD (WIZZ AIR) and RYANAIR DAC (RYANAIR) for alleged restrictive practices of competition in relation to the announcement by both companies of the modification of their policy regarding access to the interior of the aircraft with carry-on luggage of certain dimensions (pages 3 to 6).  </w:t>
        <w:br/>
        <w:t xml:space="preserve">According to the complainant, the behavior of the two airlines would constitute a distortion of competition by unfair acts, which would infringe Article 3 of the LDC as they would have adopted a change in their commercial policy that could lead to the user receiving biased information about the ticket price, in violation of Articles 4 and 5 of Law 3/1991, of January 10, on Unfair Competition (LCD).  </w:t>
        <w:br/>
        <w:t xml:space="preserve">For the complainant, this erroneous perception could unfairly affect the price comparison that the user makes at the time of purchasing the travel ticket (page 5). FACUA claims that there would be a deception arising from the fact that, by no longer allowing boarding with the typical cabin luggage, the price initially reflected in the web search engine used will initially be lower than that of other airlines, attracting unsuspecting users to misleading offers, to the detriment of competition.  </w:t>
        <w:br/>
        <w:t xml:space="preserve">2. On May 17, 2019, the Competition Directorate (DC), in application of the provisions of Article 49.3 of the LDC, issued a proposal not to initiate a sanctioning procedure and to file the complaint (pages 9 to 20).  </w:t>
        <w:br/>
        <w:t>3. The Competition Chamber of the CNMC Council approved this resolution in its meeting on October 24, 2019.</w:t>
      </w:r>
    </w:p>
    <w:p>
      <w:r>
        <w:t xml:space="preserve">II. THE PARTIES  </w:t>
        <w:br/>
        <w:t xml:space="preserve">1. FACUA (complainant)  </w:t>
        <w:br/>
        <w:t xml:space="preserve">It is an association dedicated to the defense of consumers, non-profit. It has its headquarters in Seville.  </w:t>
        <w:br/>
        <w:t xml:space="preserve">1 See the IATA statement on the Cabin OK initiative of June 12, 2015.  </w:t>
        <w:br/>
        <w:t xml:space="preserve">S/0651/18, CARRY-ON LUGGAGE National Commission on Markets and Competition Page 2 of 10  </w:t>
        <w:br/>
        <w:t xml:space="preserve">C/ Barquillo, 5 – 28004 Madrid - C/ Bolivia, 56 – 08018 Barcelona  </w:t>
        <w:br/>
        <w:t>www.cnmc.es</w:t>
      </w:r>
    </w:p>
    <w:p>
      <w:r>
        <w:t xml:space="preserve">2. Defendants  </w:t>
        <w:br/>
        <w:t xml:space="preserve">RYANAIR is an airline headquartered in Dublin (Ireland). Founded in 1985, it is one of the largest low-cost carriers in Europe. Currently, it transports 142 million passengers a year, operates more than 2,400 daily flights from 84 bases, employs over 14,000 workers, and connects more than 200 destinations in 37 countries. It is listed on the London Stock Exchange.  </w:t>
        <w:br/>
        <w:t>WIZZ AIR is an airline headquartered in Budapest, Hungary. Founded in 2003, it currently transports 40 million passengers a year, offers more than 600 routes from 25 bases, employs over 3,000 people, and stands as the leading low-cost airline in Central and Eastern European countries. It is currently listed on the London Stock Exchange.</w:t>
      </w:r>
    </w:p>
    <w:p>
      <w:r>
        <w:t xml:space="preserve">III. FACTS  </w:t>
        <w:br/>
        <w:t xml:space="preserve">4. In August and October 2018, respectively, RYANAIR and WIZZ AIR issued press releases announcing a change in their policies regarding access to the interior of the aircraft related to the maximum dimensions of carry-on luggage that would be accepted by the airlines free of charge.  </w:t>
        <w:br/>
        <w:t xml:space="preserve">Both companies announced that starting November 1, they would only allow free access to the aircraft with smaller carry-on luggage dimensions than those previously accepted (40x20x25 cm for RYANAIR, instead of 55x40x20 cm, and for WIZZ AIR 40x30x20 cm instead of 56x45x25 cm) and that it should be placed under the front seat of the passenger.  </w:t>
        <w:br/>
        <w:t xml:space="preserve">The new carry-on luggage policy has been published on the websites of the concerned companies and its content has had a significant impact among the media and social networks.  </w:t>
        <w:br/>
        <w:t xml:space="preserve">5. In the process of purchasing tickets with these companies or other search engines, the consumer must choose according to their needs different concepts (seat, carry-on luggage, priority boarding, insurance, etc.). The additional costs generated by these concepts are known to the consumer before finalizing the process.  </w:t>
        <w:br/>
        <w:t xml:space="preserve">2 https://corporate.ryanair.com  </w:t>
        <w:br/>
        <w:t xml:space="preserve">3 https://wizzair.com  </w:t>
        <w:br/>
        <w:t xml:space="preserve">4 See press releases of August 23 (in English) and November 7, 2018 (in Spanish) published on the RYANAIR website and of October 10 and October 25, 2018 published on the WIZZ AIR website.  </w:t>
        <w:br/>
        <w:t xml:space="preserve">5 From a brief analysis of the offers of airline tickets on various websites, including those not classified as low-cost (Air Europa, Iberia, Vueling, among others), it is noted that most  </w:t>
        <w:br/>
        <w:t xml:space="preserve">S/0651/18, CARRY-ON LUGGAGE National Commission on Markets and Competition Page 3 of 10  </w:t>
        <w:br/>
        <w:t xml:space="preserve">C/ Barquillo, 5 – 28004 Madrid - C/ Bolivia, 56 – 08018 Barcelona  </w:t>
        <w:br/>
        <w:t>www.cnmc.es</w:t>
      </w:r>
    </w:p>
    <w:p>
      <w:r>
        <w:rPr>
          <w:b/>
        </w:rPr>
        <w:t>[Pages 4–6]</w:t>
      </w:r>
    </w:p>
    <w:p>
      <w:r>
        <w:t>6. RYANAIR and WIZZ AIR granted a grace period for the change in the pricing model and compensated those consumers who had prepaid for their baggage check-in.</w:t>
      </w:r>
    </w:p>
    <w:p>
      <w:r>
        <w:t>IV. LEGAL BASIS</w:t>
      </w:r>
    </w:p>
    <w:p>
      <w:r>
        <w:t>FIRST.- Jurisdiction to resolve, subject matter, and proposal of the DC</w:t>
      </w:r>
    </w:p>
    <w:p>
      <w:r>
        <w:t>The Competition Chamber of the CNMC Council is competent to resolve sanctioning procedures by applying the LDC "in matters of conduct that imply preventing, restricting, and distorting competition."</w:t>
      </w:r>
    </w:p>
    <w:p>
      <w:r>
        <w:t>In its report dated May 17, 2019, the DC proposed to this Chamber not to initiate the sanctioning procedure and to file the proceedings, in accordance with the provisions of Article 49.3 of the LDC, as it considers that, in relation to the reported facts, there are no indications of infringement of the LDC.</w:t>
      </w:r>
    </w:p>
    <w:p>
      <w:r>
        <w:t>This Chamber must assess whether it is indeed appropriate to agree to the non-initiation of the sanctioning procedure and the filing of the proceedings.</w:t>
      </w:r>
    </w:p>
    <w:p>
      <w:r>
        <w:t>SECOND.- Assessment of the Competition Chamber</w:t>
      </w:r>
    </w:p>
    <w:p>
      <w:r>
        <w:t>In order to initiate a sanctioning file for a possible infringement of the distortion of free competition by unfair acts under Article 3 of the LDC, it is necessary to meet two conditions: the existence of unfair behavior and the impact on public interest due to the distortion of free competition.</w:t>
      </w:r>
    </w:p>
    <w:p>
      <w:r>
        <w:t>These two elements are cumulative and independent of each other, so that the conduct defined in Article 3 of the LDC requires that both be present in the conduct being analyzed.</w:t>
      </w:r>
    </w:p>
    <w:p>
      <w:r>
        <w:t>Only unfair acts capable of distorting the normal functioning of free competition with an impact on public interest constitute an infringement of the LDC. In the words of the Supreme Court:</w:t>
      </w:r>
    </w:p>
    <w:p>
      <w:r>
        <w:t>"It is important to emphasize, therefore, that the eventual action of the administrative bodies responsible for preserving free competition will only be relevant if the unfair conduct of entrepreneurs, in addition to being so, severely distorts the conditions of competition in the market to the detriment of public interest."</w:t>
      </w:r>
    </w:p>
    <w:p>
      <w:r>
        <w:t>It follows that the adjudication of the LDC corresponds to the commercial courts in those cases where there is no distortion of competition in the market, which constitutes the core element of the application of Article 3 of the LDC.</w:t>
      </w:r>
    </w:p>
    <w:p>
      <w:r>
        <w:t>Furthermore, it is also not within the competence of the CNMC to determine possible breaches of the requirement for truthful, complete, and reliable information from each of the airlines or ticket sales portals, a matter that must be addressed by the consumer protection authorities of the corresponding administrations. In this regard, similar actions have been taken in other Member States of the European Union.</w:t>
      </w:r>
    </w:p>
    <w:p>
      <w:r>
        <w:t>The analysis carried out therefore focuses on the necessary elements for the application of Article 3 of the LDC.</w:t>
      </w:r>
    </w:p>
    <w:p>
      <w:r>
        <w:t>1. On the impact on public interest due to alteration of competition</w:t>
      </w:r>
    </w:p>
    <w:p>
      <w:r>
        <w:t>It must be analyzed whether there is an impact on public interest due to the alteration of free competition.</w:t>
      </w:r>
    </w:p>
    <w:p>
      <w:r>
        <w:t>For an unfair act to affect public interest, it must have the capacity to cause a serious disruption in the mechanisms that regulate the functioning of the market; that is, it must pose a threat to its very maintenance considering the nature of the entities responsible for the practice, the nature of the market in which the distortion of free competition occurs (with special attention to whether it concerns the market of an essential or basic product and, in this context, its economic and social significance), the current state of the market, or the nature of the means employed.</w:t>
      </w:r>
    </w:p>
    <w:p>
      <w:r>
        <w:t>In the case analyzed, considering the nature of the conduct and the situation of the market, there is no evidence that the conduct has distorted the relevant market to the extent of causing harm to public interest.</w:t>
      </w:r>
    </w:p>
    <w:p>
      <w:r>
        <w:t>There is also no evidence, even potentially, of the existence of a distortion of competition.</w:t>
      </w:r>
    </w:p>
    <w:p>
      <w:r>
        <w:t>There is no record that the competitive process has been affected as a result of the new pricing policy announced by the respondents. The user has the option to switch providers before paying the final price, once all information about the composition of the ticket is available, that is, the concepts included and the price of each. Therefore, there is no evidence that the user is forced to accept a price different from that resulting from completing the purchase process or that the user cannot turn to another company if they do not wish to accept the price of that ticket prior to executing the purchase.</w:t>
      </w:r>
    </w:p>
    <w:p>
      <w:r>
        <w:t>Moreover, the commercial practices of RYANAIR and WIZZ AIR have also not been able to affect the purchasing choice of passengers who purchased the ticket before the announcement of the new policy to travel after its entry into force, as the companies compensated those consumers who had prepaid for baggage check-in.</w:t>
      </w:r>
    </w:p>
    <w:p>
      <w:r>
        <w:t>It cannot therefore be concluded that there is any indication of an impact on public interest due to an impact on competition.</w:t>
      </w:r>
    </w:p>
    <w:p>
      <w:r>
        <w:rPr>
          <w:b/>
        </w:rPr>
        <w:t>[Pages 7–9]</w:t>
      </w:r>
    </w:p>
    <w:p>
      <w:r>
        <w:t>2. On the infringement of the Unfair Competition Law</w:t>
      </w:r>
    </w:p>
    <w:p>
      <w:r>
        <w:t>The file is initiated by an alleged infringement by RYANAIR and WIZZ AIR of two articles of the LCD: Article 5, which prohibits unfair competition by deceptive acts, and Article 4, which more generally prohibits unfair acts contrary to good faith.</w:t>
      </w:r>
    </w:p>
    <w:p>
      <w:r>
        <w:t>The aforementioned Article 5 of the LCD states that "Any conduct that contains false information or information that, even if true, by its content or presentation induces or may induce error in the recipients, being capable of altering their economic behavior, is considered unfair due to deception, provided that it affects any of the following aspects: a) The existence or nature of the good or service; b) The main characteristics of the good or service, such as its availability, benefits, risks, execution, composition, accessories, the procedure and date of its manufacture or supply, delivery, appropriateness, use, quantity, specifications, geographical or commercial origin, or the results that can be expected from its use, or the results and essential characteristics of the tests or controls carried out on the good or service; c) After-sales assistance to the customer and the handling of complaints; d) The scope of the commitments of the entrepreneur or professional, the reasons for the commercial conduct, and the nature of the commercial operation or contract, as well as any statement or symbol indicating that the entrepreneur or professional or the good or service is subject to sponsorship or direct or indirect approval; e) The price or its method of determination, or the existence of a specific advantage regarding the price; f) The necessity of a service or a part, replacement, or repair."</w:t>
      </w:r>
    </w:p>
    <w:p>
      <w:r>
        <w:t>The Supreme Court has specified that the prohibition of Article 5 of the LCD requires two conditions regarding the information provided:</w:t>
      </w:r>
    </w:p>
    <w:p>
      <w:r>
        <w:t>- That it is capable of inducing error in its recipients, and</w:t>
        <w:br/>
        <w:t>- That it is suitable to affect the economic behavior of its recipients.</w:t>
      </w:r>
    </w:p>
    <w:p>
      <w:r>
        <w:t>The information provided by the reported airlines is neither false nor can it be considered capable of inducing error in the recipients, distorting competition.</w:t>
      </w:r>
    </w:p>
    <w:p>
      <w:r>
        <w:t>The companies issue press releases and publish changes in their policy on their websites and social media.</w:t>
      </w:r>
    </w:p>
    <w:p>
      <w:r>
        <w:t>Therefore, it cannot be considered that there is deception for users who, when comparing the prices of airline tickets, should reasonably be aware of the policy implemented and advertised by RYANAIR and WIZZ AIR.</w:t>
      </w:r>
    </w:p>
    <w:p>
      <w:r>
        <w:t>Regarding the suitability to affect economic behavior, the Supreme Court, in the aforementioned ruling, points out that one must refer "to the parameter of the average recipient -normally informed and reasonably attentive and perceptive-, within the circle of the recipients of the information."</w:t>
      </w:r>
    </w:p>
    <w:p>
      <w:r>
        <w:t>On this basis, it can be considered that users of this type of airline, which only offer the sale of their tickets online, are users who, in general, are presumed to have some proficiency in the use of new technologies and online shopping, whether directly on the airlines' websites or through other comparison portals (skyscanner, edreams, opodo, among others) and the ability to compare offers based on the services offered.</w:t>
      </w:r>
    </w:p>
    <w:p>
      <w:r>
        <w:t>However, for less experienced users, the information provided during the purchasing process is considered sufficient to make a reasoned decision regarding the purchase in question, without the proposed change being deemed suitable to alter the economic behavior of users, so it does not seem that there is a violation of Article 5 of the LCD.</w:t>
      </w:r>
    </w:p>
    <w:p>
      <w:r>
        <w:t>Article 4 of the same regulation establishes a general clause under which "Any behavior that is objectively contrary to the requirements of good faith is deemed unfair. In relations with consumers and users, the behavior of an entrepreneur or professional contrary to professional diligence, understood as the level of competence and special care that can be expected from an entrepreneur according to honest market practices, which distorts or may significantly distort the economic behavior of the average consumer or the average member of the group targeted by the practice, will be understood as contrary to the requirements of good faith, if it is a commercial practice directed at a specific group of consumers."</w:t>
      </w:r>
    </w:p>
    <w:p>
      <w:r>
        <w:t>Article 4 of the LCD establishes a general clause for the classification of acts of unfair competition that, however, should not be understood as a programmatic provision. Two requirements must cumulatively occur for a particular behavior to be deemed unfair:</w:t>
      </w:r>
    </w:p>
    <w:p>
      <w:r>
        <w:t>- That the act is contrary to professional diligence, understood by the Supreme Court as the level of competence and special care that can be expected from an entrepreneur according to honest practices, so that the act itself is objectively contrary to the requirements of good faith.</w:t>
        <w:br/>
        <w:t>- That the act distorts or may significantly distort the economic behavior of the average consumer or the average member of the group targeted by the practice, which implies a noticeable reduction in the ability to make informed decisions regarding the acceptance of services or products by that average consumer.</w:t>
      </w:r>
    </w:p>
    <w:p>
      <w:r>
        <w:t>In accordance with the jurisprudential line of the Supreme Court, the unfair act classified in Article 4 of the LCD constitutes an autonomous type and cannot be used to sanction as unfair "conducts that should be confronted with one of the specific types contained in other provisions of the law itself," so that "this clause cannot be applied cumulatively to the norms that are specifically classified, but rather the application must be made autonomously, especially to repress conducts or aspects of conducts that have not been able to be subsumed in the cases contemplated in the specific classification." "It cannot be invoked jointly with the norms that specifically configure acts of unfair competition in order to integrate or complete elements required by the respective classification."</w:t>
      </w:r>
    </w:p>
    <w:p>
      <w:r>
        <w:t>Consequently, in the opinion of this Chamber, it is not admissible to complement the general clause of Article 4 of the LCD with the deficiencies in the concurrence of the necessary elements for the infringement of Article 5 of the LCD.</w:t>
      </w:r>
    </w:p>
    <w:p>
      <w:r>
        <w:t>In any case, there are no indications of conduct contrary to good faith and due diligence when RYANAIR and WIZZ AIR have opted to publicize and disseminate their change of policy regarding the measures for carry-on luggage considered free.</w:t>
      </w:r>
    </w:p>
    <w:p>
      <w:r>
        <w:t>There are no indications that the pricing policy underlying the new carry-on luggage policy of these companies, duly announced and explained to users, could lead them to the level of deception or the degree of professional dishonesty required by the LCD to deem it unfair, distorting competition in the market.</w:t>
      </w:r>
    </w:p>
    <w:p>
      <w:r>
        <w:t>As a result of all the above, this Chamber considers that there are no indications of infringement of Article 3 by RYANAIR and WIZZ AIR, and therefore considers that, in accordance with the provisions of Article 49.3 of the LDC, the initiation of the sanctioning procedure should not proceed and the proceedings should be filed.</w:t>
      </w:r>
    </w:p>
    <w:p>
      <w:r>
        <w:rPr>
          <w:b/>
        </w:rPr>
        <w:t>[Pages 10–10]</w:t>
      </w:r>
    </w:p>
    <w:p>
      <w:r>
        <w:t>By virtue of this, and in view of the cited provisions and other generally applicable ones, the Competition Chamber</w:t>
      </w:r>
    </w:p>
    <w:p>
      <w:r>
        <w:t>HAS RESOLVED</w:t>
      </w:r>
    </w:p>
    <w:p>
      <w:r>
        <w:t>SOLE.- Not to initiate a sanctioning procedure and to agree to file the proceedings followed as a result of the complaint filed, considering that in this case there are no indications of infringement of Article 3 of the LDC.</w:t>
      </w:r>
    </w:p>
    <w:p>
      <w:r>
        <w:t>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