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https://www.cnmc.es/expedientes/sdc050414</w:t>
      </w:r>
    </w:p>
    <w:p>
      <w:r>
        <w:t>Pages translated : 10</w:t>
      </w:r>
    </w:p>
    <w:p/>
    <w:p>
      <w:r>
        <w:rPr>
          <w:b/>
        </w:rPr>
        <w:t>[Pages 1–3]</w:t>
      </w:r>
    </w:p>
    <w:p>
      <w:r>
        <w:t xml:space="preserve">JURISPRUDENCE  </w:t>
        <w:br/>
        <w:t xml:space="preserve">Roj: SAN 4355/2022 - ECLI:ES:AN:2022:4355  </w:t>
        <w:br/>
        <w:t xml:space="preserve">Id Cendoj:28079230062022100508  </w:t>
        <w:br/>
        <w:t xml:space="preserve">Body: National Court. Contentious Chamber  </w:t>
        <w:br/>
        <w:t xml:space="preserve">Seat: Madrid  </w:t>
        <w:br/>
        <w:t xml:space="preserve">Section: 6  </w:t>
        <w:br/>
        <w:t xml:space="preserve">Date: 26/09/2022  </w:t>
        <w:br/>
        <w:t xml:space="preserve">No. of Appeal: 361/2016  </w:t>
        <w:br/>
        <w:t xml:space="preserve">No. of Resolution:  </w:t>
        <w:br/>
        <w:t xml:space="preserve">Procedure: Ordinary procedure  </w:t>
        <w:br/>
        <w:t xml:space="preserve">Rapporteur: BERTA MARIA SANTILLAN PEDROSA  </w:t>
        <w:br/>
        <w:t xml:space="preserve">Type of Resolution: Judgment  </w:t>
        <w:br/>
        <w:t xml:space="preserve">N A T I O N A L C O U R T  </w:t>
        <w:br/>
        <w:t xml:space="preserve">Contentious-Administrative Chamber  </w:t>
        <w:br/>
        <w:t xml:space="preserve">SECTION SIX  </w:t>
        <w:br/>
        <w:t xml:space="preserve">No. of Appeal: 0000361 /2016  </w:t>
        <w:br/>
        <w:t xml:space="preserve">Type of Appeal: ORDINARY PROCEDURE  </w:t>
        <w:br/>
        <w:t xml:space="preserve">General Registration No.: 4145/2016  </w:t>
        <w:br/>
        <w:t xml:space="preserve">Claimant: ARBORA &amp; AUSONIA, S.L, (Unipersonal), PROCTER &amp; GAMBLE ESPAÑA, S.A. and THE PROCTER &amp; GAMBLE COMPANY  </w:t>
        <w:br/>
        <w:t xml:space="preserve">Procurator: Mr. ARGIMIRO VÁZQUEZ GUILLEN  </w:t>
        <w:br/>
        <w:t xml:space="preserve">Defendant: NATIONAL COMMISSION OF MARKETS AND COMPETITION  </w:t>
        <w:br/>
        <w:t xml:space="preserve">Co-defendant: CATALAN HEALTH SERVICE  </w:t>
        <w:br/>
        <w:t xml:space="preserve">State Attorney  </w:t>
        <w:br/>
        <w:t xml:space="preserve">Rapporteur: Ms. BERTA SANTILLAN PEDROSA  </w:t>
        <w:br/>
        <w:t xml:space="preserve">JUDGMENT No.:  </w:t>
        <w:br/>
        <w:t xml:space="preserve">Ms. President:  </w:t>
        <w:br/>
        <w:t xml:space="preserve">Ms. BERTA SANTILLAN PEDROSA  </w:t>
        <w:br/>
        <w:t xml:space="preserve">Illustrious Judges:  </w:t>
        <w:br/>
        <w:t xml:space="preserve">Mr. FRANCISCO DE LA PEÑA ELIAS  </w:t>
        <w:br/>
        <w:t xml:space="preserve">Mr. SANTOS GANDARILLAS MARTOS  </w:t>
        <w:br/>
        <w:t xml:space="preserve">Mr. MARIA JESUS VEGAS TORRES  </w:t>
        <w:br/>
        <w:t xml:space="preserve">Mr. RAMÓN CASTILLO BADAL  </w:t>
        <w:br/>
        <w:t xml:space="preserve">Madrid, on the twenty-sixth of September two thousand twenty-two.  </w:t>
        <w:br/>
        <w:t>HAVING SEEN the present contentious-administrative appeal No. 361/2016 promoted by the Procurator Mr. Argimiro Vázquez Guillen, who acts in the name and representation of the companies ARBORA &amp; AUSONIA, S.L, (Unipersonal), PROCTER &amp; GAMBLE ESPAÑA, S.A. and THE PROCTER &amp; GAMBLE COMPANY, against the resolution of May 26, 2016, issued by the Council of the National Commission of Markets and Competition in file NUM000. The defendant Administration has been represented and defended by the State Attorney. And as a co-defendant, the Procurator Mr. Jordi Fontquerni Bas has appeared, acting in the name and representation of the entity CATALAN HEALTH SERVICE.</w:t>
      </w:r>
    </w:p>
    <w:p>
      <w:r>
        <w:t xml:space="preserve">JURISPRUDENCE  </w:t>
        <w:br/>
        <w:t xml:space="preserve">STATEMENT OF FACTS  </w:t>
        <w:br/>
        <w:t xml:space="preserve">FIRST. Once the appeal was filed and the appropriate procedures prescribed by the Law of Jurisdiction were followed, the plaintiff was summoned to formalize the complaint, which was done through a written document in which, after presenting the facts and legal grounds deemed applicable, concluded by requesting a judgment that agrees to the estimation of the appeal filed.  </w:t>
        <w:br/>
        <w:t xml:space="preserve">SECOND. The State Attorney responded to the complaint through a written document in which it was requested that a judgment be issued confirming the appealed act in all its aspects. The co-defendant entity expressed itself in the same manner in its response to the complaint.  </w:t>
        <w:br/>
        <w:t>THIRD. While the appeal was pending for scheduling for voting and judgment when it was its turn, it was set for the hearing on June 22, 2022, which took place. The rapporteur has been Ms. Berta Santillán Pedrosa, who expresses the opinion of the Chamber.</w:t>
      </w:r>
    </w:p>
    <w:p>
      <w:r>
        <w:t xml:space="preserve">LEGAL GROUNDS  </w:t>
        <w:br/>
        <w:t xml:space="preserve">FIRST. Through this process, the companies ARBORA &amp; AUSONIA, S.L, (Unipersonal), PROCTER &amp; GAMBLE ESPAÑA, S.A. and THE PROCTER &amp; GAMBLE COMPANY challenge the resolution issued on May 26, 2016, by the Council of the National Commission of Markets and Competition in file NUM000, AIO, whose dispositive part has the following content:  </w:t>
        <w:br/>
        <w:t xml:space="preserve">"FIRST. Declare that in the present file an infringement of Article 1 of Law 16/1989, of Article 1 of Law 15/2007, of July 3, on the Defense of Competition, and of Article 101 of the Treaty on the Functioning of the European Union has been proven, in the terms set out in the Fourth Legal Ground of this Resolution.  </w:t>
        <w:br/>
        <w:t xml:space="preserve">SECOND. In accordance with the responsibility attributed in the Fourth Legal Ground, declare the following entities and individuals responsible for the aforementioned infringements:  </w:t>
        <w:br/>
        <w:t xml:space="preserve">(...)  </w:t>
        <w:br/>
        <w:t xml:space="preserve">2. ARBORA &amp; AUSONIA, S.L.U, for its participation in the cartel from at least December 1996 until July 2013.  </w:t>
        <w:br/>
        <w:t xml:space="preserve">3. PROCTER &amp; GAMBLE ESPAÑA, S.A., successor of ARBORA &amp; AUSONIA, S.L.U, for the participation of ARBORA &amp; AUSONIA, S.L.U in the cartel from at least December 1996 until July 2013.  </w:t>
        <w:br/>
        <w:t xml:space="preserve">4. THE PROCTER &amp; GAMBLE COMPANY, jointly liable as the parent company of ARBORA &amp; AUSONIA, S.L.U and PROCTER &amp; GAMBLE ESPAÑA, S.A., for the participation of ARBORA &amp; AUSONIA, S.L.U in the cartel from October 2012 until July 2013.  </w:t>
        <w:br/>
        <w:t xml:space="preserve">(...)  </w:t>
        <w:br/>
        <w:t xml:space="preserve">THIRD. Impose the following fines on the responsible authors of the infringing conduct:  </w:t>
        <w:br/>
        <w:t xml:space="preserve">(...)  </w:t>
        <w:br/>
        <w:t xml:space="preserve">2. ARBORA &amp; AUSONIA, S.L.U, and its successor PROCTER &amp; GAMBLE ESPAÑA, S.A., a fine of €68,547,575. THE PROCTER &amp; GAMBLE COMPANY will be jointly liable for this amount, up to €3,444,602.  </w:t>
        <w:br/>
        <w:t xml:space="preserve">(...)  </w:t>
        <w:br/>
        <w:t xml:space="preserve">FOURTH. Declare that ARBORA &amp; AUSONIA, S.L.U., PROCTER &amp; GAMBLE ESPAÑA, S.A, and its parent THE PROCTER &amp; GAMBLE COMPANY, as well as the executive of ARBORA &amp; AUSONIA, S.L.U., Mr. Adriano, meet the requirements set forth in Article 65 of the LDC and, consequently, exempt them from the payment of the fine corresponding to their participation in the infringing conduct.  </w:t>
        <w:br/>
        <w:t xml:space="preserve">FIFTH. Urge the Competition Directorate of this National Commission of Markets and Competition to monitor and ensure the full compliance of this Resolution."  </w:t>
        <w:br/>
        <w:t xml:space="preserve">SECOND. As background to this agreement, the following should be highlighted, based on the documents that make up the administrative file:  </w:t>
        <w:br/>
        <w:t xml:space="preserve">1) On June 26, 2013, the entities ARBORA &amp; AUSONIA, S.L.U and THE PROCTER &amp; GAMBLE COMPANY submitted a request for exemption from the payment of the fine under Article 65 of the Competition Defense Law or, alternatively, subsidiarily, for a reduction of its amount under Article 66 of the same Law, which could be imposed for the commission of an infringement of Article 1 of the LDC and Article 101 of the Treaty on the Functioning of the European Union consisting of agreements for price fixing, commercial conditions, and dispensing in the Spanish market for the manufacture, distribution, and dispensing of absorbent products for severe urinary incontinence in adults (AIO); a request that was subsequently completed with new documents and resulted in the Competition Directorate granting conditional exemption to A&amp;A and its parent P&amp;G on January 27, 2014, under the terms of the aforementioned Article 65.1.a) of the Competition Defense Law.  </w:t>
        <w:br/>
        <w:t xml:space="preserve">2) During January 28, 29, and 30, 2014, the Competition Directorate carried out simultaneous inspections at the headquarters of the Spanish Pharmaceutical Entrepreneurs Federation, the National Federation of Associations of Wholesale Distributors of Pharmaceutical Specialties and Parapharmaceutical Products, the National Professional Association of Manufacturers of Medical-Sanitary Dressings, the Spanish Federation of Health Technology Companies, and at the companies SCA HYGIENE PRODUCTS, S.L and LABORATORIOS INDAS, S.A.U. Between January and June of the following year, it made information requests to various companies, with the results reflected in the file. On June 11 and 14, 2014, new inspections were carried out at the headquarters of the General Council of Official Pharmaceutical Colleges and the Andalusian Council of Official Pharmaceutical Colleges.  </w:t>
        <w:br/>
        <w:t xml:space="preserve">3) Based on the information gathered as a result of these actions, and considering that there were rational indications of conduct prohibited by the LDC, the DC agreed on September 2, 2014, to initiate sanctioning file NUM000 AIO for restrictive practices of competition prohibited in Article 1 of Law 16/1989, of July 17, on the Defense of Competition and in Article 1 of the LDC consisting of agreements on price fixing, commercial conditions, and dispensing in the market for the manufacture, marketing, and distribution of absorbent products for severe urinary incontinence in adults.  </w:t>
        <w:br/>
        <w:t xml:space="preserve">4) After the procedures that are also recorded in the administrative file, which was expanded on August 25, 2015, upon appreciating the possible existence of restrictive practices of competition prohibited by Article 101 of the TFEU and on October 7, 2015, for also targeting the individuals mentioned, on January 22, 2016, the Competition Directorate, in accordance with the provisions of Article 50.5 of Law 15/2007, of July 3, submitted its report and resolution proposal to the Council of the CNMC, also sending the file for resolution.  </w:t>
        <w:br/>
        <w:t xml:space="preserve">5) After allegations were presented, on March 3, 2016, the Competition Chamber of the CNMC agreed, in accordance with Article 37.2 c) of the LDC, to refer the Proposal Report to the European Commission, suspending the maximum deadline for resolution. And, once resumed, the Council of the CNMC issued the resolution on May 26, 2016, which is being challenged here, which sanctioned as a single and continuous infringement of Article 1 of the LDC and Law 16/1989, and Article 101 of the TFEU, constituting a cartel, consisting of agreements by the manufacturers grouped in the absorbents working group (GTAIO) of FENIN and present in the market for the marketing of AIO financed by the SNS and intended for non-hospitalized patients, for the purpose of fixing the laboratory sale price (PVL) of such AIO dispensed through the pharmacy channel. Furthermore, to achieve this objective, the participants in this cartel would have promoted the maintenance of the dispensing of AIO through the pharmaceutical channel by means of a strategy of filing administrative and contentious-administrative resources, to avoid or delay the supply of AIO to non-hospitalized patients through the institutional channel instead of the pharmacy channel.  </w:t>
        <w:br/>
        <w:t>THIRD. We find it appropriate to highlight that the contested resolution, when addressing the issue regarding the intervening parties, describes the company ARBORA &amp; AUSONIA, S.L. stating that: "... until July 2013 it was engaged in the manufacture and marketing of absorbent products in the sectors of child and family hygiene, feminine hygiene, and severe incontinence in adults. Until October 22, 2012, it was 50% controlled by P&amp;G and by the Agrolimen Group, at which point P&amp;G acquired exclusive control over A&amp;A, initiating a process of integration of both entities that culminated on July 1, 2013. The integration process has not resulted in the legal extinction of A&amp;A, although it maintains a marginal activity, as P&amp;G ESPAÑA has begun to market the products previously marketed by A&amp;A, including the products for severe incontinence of the Lindor Ausonia brand, assuming the distribution functions and activities of AIO in Spain developed by A&amp;A in the pharmacy and institutional channels, as well as its human and material resources almost entirely. Thus, since July 1, 2013, A&amp;A has been limited to managing a portfolio of industrial property rights, including those related to the AIO brands currently marketed by P&amp;G ESPAÑA. These rights are currently licensed to an entity belonging to the P&amp;G group. In 2012, A&amp;A invoiced €563 million. A&amp;A was part of FENIN from 1988 until July 1, 2013, the date of its integration into P&amp;G and of the GTAIO at least since 1997, with its representative being the Coordinator.</w:t>
      </w:r>
    </w:p>
    <w:p>
      <w:r>
        <w:rPr>
          <w:b/>
        </w:rPr>
        <w:t>[Pages 4–6]</w:t>
      </w:r>
    </w:p>
    <w:p>
      <w:r>
        <w:t>JURISPRUDENCE</w:t>
        <w:br/>
        <w:t>of said Group until April 18, 2012, Vice President of the Board of Directors of Effects and Accessories until 2012, and Vice President of FENIN from 2010 until December 2012."</w:t>
      </w:r>
    </w:p>
    <w:p>
      <w:r>
        <w:t>Regarding the entity PROCTER &amp; GAMBLE ESPAÑA, S.A., the CNMC notes in the contested resolution that:</w:t>
        <w:br/>
        <w:t>"...it is the second largest manufacturer of AlO in Spain following the acquisition in 2013 of 100% of A&amp;A. Since July 1, 2013, P&amp;G España has effectively succeeded A&amp;A, assuming its human and material resources almost entirely. The ownership of A&amp;A's production plants has been attributed to a subsidiary of the P&amp;G group, while the industrial property rights remain with A&amp;A. In 2014, P&amp;G ESPAÑA invoiced €102 million."</w:t>
      </w:r>
    </w:p>
    <w:p>
      <w:r>
        <w:t>Finally, regarding the entity THE PROCTER &amp; GAMBLE COMPANY, the CNMC states that: "P&amp;G España and A&amp;A are indirectly controlled 100% by The Procter &amp; Gamble Company, a U.S. legal entity that is the parent company of the Procter &amp; Gamble Group. According to the latest Annual Report published on its website, in 2014 it had a turnover of $83.062 billion."</w:t>
      </w:r>
    </w:p>
    <w:p>
      <w:r>
        <w:t>On the other hand, the contested resolution outlines the applicable legal regime for the distribution and marketing of absorbent products for severe urinary incontinence in adults (AIO) as health products financed by the National Health System (SNS) through the so-called reimbursement system, which determines that they are subject to greater regulation both regarding their price and the channels for their dispensing. From what is stated about this, it is worth highlighting, in relation to the margins of the AIO dispensed through the pharmacy channel, which are affected by the facts currently being judged, that Law 29/2006 assigned to the Council of Ministers the determination of the industrial price of health products that were to be included in the pharmaceutical provision of the SNS and dispensed through official prescription in national territory, and to the Ministry of Health to establish the public sale price of medicines and health products financed by aggregating the authorized industrial price, which has a maximum character, and the corresponding margins for wholesale distribution and public dispensing activities. And, the contested resolution continues, as the state regulation that was to govern the distribution and dispensing margins had not been approved, manufacturers, distributors, and pharmacists set these margins by virtue of their business autonomy.</w:t>
      </w:r>
    </w:p>
    <w:p>
      <w:r>
        <w:t>Regarding the delimitation of the affected market and, in particular, in relation to the product market, the CNMC identifies it with the marketing of absorbent products for severe urinary incontinence in adults financed by the SNS and intended for non-hospitalized patients, whose distribution and dispensing is carried out through the pharmaceutical channel.</w:t>
      </w:r>
    </w:p>
    <w:p>
      <w:r>
        <w:t>It explains the price determination system for AIO through this channel and concludes that in the absence of a development regulation of the mandate contained in Law 29/2006 regarding the establishment by the Government of the margins of health products, the marketing margins of AIO are free, meaning each company individually and following its commercial policy sets the corresponding margin. Despite this, it warns that "... the differences in VAT-inclusive public sale prices of AIO belonging to the same categories (anatomical, rectangular, elastic, daily or night) manufactured by different laboratories and included in the SNS Nomenclature are very small and, in most cases, the laboratories have set the maximum public sale price indicated by the MSSI."</w:t>
      </w:r>
    </w:p>
    <w:p>
      <w:r>
        <w:t>To the extent that the resolution also refers, as we will see, to sales through the institutional channel and to the resources filed by the sanctioned companies to hinder the marketing of AIO in that channel, it is relevant to reflect, as the Commission itself does, that in the "... institutional channel, AIO are acquired through public tenders, with the maximum prices set by the public administration convening each public tender, according to the technical and economic requirements that have been established. Thus, the final price of the tendered AIO will be determined by the winning economic offer of the tender, which will in turn be determined by the quality of the product, the characteristics of the AIO, the volume of supply, etc."</w:t>
      </w:r>
    </w:p>
    <w:p>
      <w:r>
        <w:t>As for the geographical market, it would encompass the entire national territory since the facts under investigation involve the marketing of AIO financed by the SNS and intended for non-hospitalized patients throughout the national territory, fulfilling, according to the CNMC, the criterion of affecting intra-community trade that determines the application of Article 101 of the TFEU.</w:t>
      </w:r>
    </w:p>
    <w:p>
      <w:r>
        <w:t>The contested sanctioning resolution also analyzes the market structure and, in relation to the supply, indicates that the main marketers of AIO financed by the SNS and intended for non-hospitalized patients are various multinational groups such as P&amp;G, SCA, HARTMANN, and ONTEX, which compete with the national leading operator, INDAS. Regarding the sales channel, 70-80% is distributed through the pharmaceutical channel and the rest through the institutional channel, with INDAS and A&amp;A (currently P&amp;G ESPAÑA) occupying the top two positions in the pharmacy channel, each holding a market share in value and volume of just over 30%.</w:t>
      </w:r>
    </w:p>
    <w:p>
      <w:r>
        <w:t>JURISPRUDENCE</w:t>
        <w:br/>
        <w:t>When referring to the complaint, the CNMC emphasizes the scope of the problem of urinary incontinence, which would affect 2.5 million people in our country, with the consequent economic relevance of AIO, which constitute "the largest item of total consumption of health products included in the pharmaceutical provision of the SNS intended for non-hospitalized patients, 60.37% in 2013." Thus, in 2013, the market value of AIO dispensed through the pharmacy channel was €264 million and in the institutional channel €71.9 million, placing the percentage of sales in the marketing of AIO in the pharmacy channel at 78% and in the institutional channel at 22%.</w:t>
      </w:r>
    </w:p>
    <w:p>
      <w:r>
        <w:t>From the facts that it considers proven, and that we must analyze later in response to the various allegations of the plaintiff, it deduces the responsibility of the entities involved in the conduct and infringement attributed - as we said, of Articles 1 of the LDC 1989 and of the LDC 2007, as well as Article 101 of the TFEU - which would consist of the culmination of agreements on price fixing, as well as the conditions for distribution and dispensing of AIO financed by the SNS intended for non-hospitalized patients, specifically, and according to the proposal of the DC, the sanctioned entities and individuals would have agreed "the fixing of the PVL of AIO financed by the SNS and distributed through the pharmacy channel and its maintenance until January 2014, as well as the implementation of a strategy aimed at preventing or at least delaying the supply of AIO to non-hospitalized patients through the institutional channel in substitution of the pharmaceutical channel by filing administrative and/or contentious-administrative resources against the public tenders convened by the Health Authorities for the acquisition and subsequent direct delivery of AIO to non-hospitalized patients." Conduct that would have lasted from December 1996 to January 2014 and that for the appellant has been specified as follows for ARBORA &amp; AUSONIA, S.L.U, for its participation in the cartel since at least December 1996 until July 2013. For PROCTER &amp; GAMBLE ESPAÑA, S.A., as the successor of ARBORA &amp; AUSONIA, S.L.U, for the participation of ARBORA &amp; AUSONIA, S.L.U in the cartel from at least December 1996 until July 2013. And for THE PROCTER &amp; GAMBLE COMPANY, jointly liable as the parent company of ARBORA &amp; AUSONIA, S.L.U and PROCTER &amp; GAMBLE ESPAÑA, S.A., for the participation of ARBORA &amp; AUSONIA, S.L.U in the cartel from October 2012 until July 2013.</w:t>
      </w:r>
    </w:p>
    <w:p>
      <w:r>
        <w:t>In particular, when referring to the responsibility of the entities - legal basis 4.4 - it indicates that the objective of the manufacturer members of the GTAIO, with the collaboration of FENIN, was precisely to ensure the dispensing and distribution of AIO intended for non-hospitalized patients through the pharmacy channel to the detriment of the institutional channel, thus maintaining the laboratory sale price of AIO dispensed through that channel set in 1997, which would have remained practically unchanged until now.</w:t>
      </w:r>
    </w:p>
    <w:p>
      <w:r>
        <w:t>The CNMC understands that it is proven, in light of the facts it declares proven, that the sanctioned entities knew and were aware of the unlawfulness of the conduct, expressly referring to the "... intentionally secret nature of the agreements for the affected clients, the existence of meetings, faxes, and emails and attached documents with strategic data not ordinarily shareable among rivals in the market, references to the existing agreement," from which it deduces a conscious and sought action by the participating companies, whose unlawfulness could not be unknown given their experience in the market and their capacity for personal and economic means.</w:t>
      </w:r>
    </w:p>
    <w:p>
      <w:r>
        <w:t>The contested resolution also refers to the existence of concealment, which would result from the reference, in email exchanges, to the concept of confidential or internal document, when it concerned documents linked to the sanctioned conduct, and also in the formal corrections made by FENIN's internal advisory to the texts sent among the participants in order to avoid the risk of the anti-competitive nature of such agreements being externalized.</w:t>
      </w:r>
    </w:p>
    <w:p>
      <w:r>
        <w:t>On the other hand, the contested resolution highlights, precisely, the active intervention of FENIN, which it states played an essential role in the cartel "... promoting and following up on the initiatives, projects, and agreements previously adopted by the participating companies in the GTAIO constituted within it, enabling the functional framework in which the collusion developed, facilitating and promoting it."</w:t>
      </w:r>
    </w:p>
    <w:p>
      <w:r>
        <w:t>FOURTH. In the complaint filed by the appellant entities, the annulment of the contested sanctioning resolution is requested exclusively insofar as it has declared the responsibility of PROCTER &amp; GAMBLE ESPAÑA, S.A. as it is considered the successor of the company ARBORA &amp; AUSONIA, S.L.</w:t>
      </w:r>
    </w:p>
    <w:p>
      <w:r>
        <w:t>Specifically, it considers that the resolution is null in that it has declared the entity PROCTER &amp; GAMBLE ESPAÑA, S.A. responsible for the collusive conduct carried out by the company ARBORA &amp; AUSONIA, S.L. in the period from December 1996 to July 2013 as a consequence of the business succession that took place on July 1, 2013.</w:t>
      </w:r>
    </w:p>
    <w:p>
      <w:r>
        <w:t>JURISPRUDENCE</w:t>
        <w:br/>
        <w:t>The plaintiff acknowledges that business succession is a scenario that allows for an exception to the application of the principle of personal liability, but emphasizes that, in the case of PROCTER &amp; GAMBLE ESPAÑA, S.A., the necessary requirements for assuming such liability according to the jurisprudence of the CJEU and the Supreme Court are not met. In their opinion, for the following reasons:</w:t>
      </w:r>
    </w:p>
    <w:p>
      <w:r>
        <w:t>1. The company ARBORA &amp; AUSONIA, S.L., despite the business succession, has not disappeared from the market affected by the alleged conduct as it remains both legally and economically. In this regard, it is highlighted that although PROCTER &amp; GAMBLE ESPAÑA, S.A. has acquired the assets and liabilities of ARBORA &amp; AUSONIA, S.L., ARBORA &amp; AUSONIA, S.L. continues to maintain business activity in the same market where the collusive conduct took place, dedicating itself, after the business succession, to organizing a portfolio related to industrial property rights concerning the diaper brands, while PROCTER &amp; GAMBLE ESPAÑA, S.A. has the production and marketing plants for the diapers.</w:t>
      </w:r>
    </w:p>
    <w:p>
      <w:r>
        <w:t>2. PROCTER &amp; GAMBLE ESPAÑA, S.A. has not continued with the collusive conduct carried out by ARBORA &amp; AUSONIA, S.L. since, once the parent company acquired the assets and liabilities of ARBORA &amp; AUSONIA, it put an end to the aforementioned conduct by even filing a complaint with the CNMC on June 23, 2013 regarding the cited conduct. Therefore, it concludes, there has been no continuity in the collusive decision-making as the attribution ceases in July 2013, with July 1, 2013 being the date when the resources and production plants of ARBORA &amp; AUSONIA, S.L. are acquired, and when, moreover, ARBORA &amp; AUSONIA sends a letter to the entity FENIN renouncing its membership.</w:t>
      </w:r>
    </w:p>
    <w:p>
      <w:r>
        <w:t>On the contrary, both the State Attorney and the defense of the co-defendant entity justify the responsibility of the company PROCTER &amp; GAMBLE ESPAÑA, S.A. based on the idea of the business succession of the company ARBORA &amp; AUSONIA, S.L.</w:t>
      </w:r>
    </w:p>
    <w:p>
      <w:r>
        <w:t>FIFTH. The CNMC in the contested resolution justifies the attribution made to the company PROCTER &amp; GAMBLE ESPAÑA, S.L. by stating:</w:t>
      </w:r>
    </w:p>
    <w:p>
      <w:r>
        <w:t>"5.2. On business succession</w:t>
        <w:br/>
        <w:t>Regarding the allegation of A&amp;A, P&amp;G ESPAÑA, and P&amp;G about the personal nature of the responsibility of the infringing companies, reiterated community jurisprudence admits that this principle of personal responsibility can be excepted in application of the criterion of business succession or economic continuity, by virtue of which an infringement of the competition rules can be attributed to the economic successor of the company that committed it, so that the useful effect of these rules is not compromised due to changes in the structure or ownership of the companies.</w:t>
      </w:r>
    </w:p>
    <w:p>
      <w:r>
        <w:t>As the Supreme Court also pointed out in its judgment of December 16, 2015 (appeal 1973/2014), the criterion that must prevail when determining economic responsibilities in business succession is that of the permanence of an economic and business entity or, in other words, the substantial identity between the successive companies [...]". Another criterion "[...] would lead to an unacceptable result of easily evading all responsibility of a legal entity due to its simple internal reorganization, changes in management, or changes in ownership or legal form."</w:t>
      </w:r>
    </w:p>
    <w:p>
      <w:r>
        <w:t>In this case, in response to the information request made by the DC, P&amp;G ESPAÑA indicated the marginal activity that A&amp;A had been developing after being acquired by P&amp;G, limiting itself from the date of its acquisition to managing a portfolio of industrial property rights.</w:t>
      </w:r>
    </w:p>
    <w:p>
      <w:r>
        <w:t>In fact, as P&amp;G ESPAÑA has expressly indicated, from July 1, 2013, the aforementioned company has effectively succeeded A&amp;A, with P&amp;G ESPAÑA being the one that carries out the marketing activity of AIO, having integrated both human and material resources almost entirely into P&amp;G ESPAÑA, also having attributed the ownership of the production plants and concluding the identity between A&amp;A and P&amp;G ESPAÑA from an economic point of view.</w:t>
      </w:r>
    </w:p>
    <w:p>
      <w:r>
        <w:t>Moreover, it has been confirmed that since July 1, 2013, the sales of AIO are made by P&amp;G ESPAÑA. All of this denotes the nonexistent economic activity of A&amp;A in the marketing of AIO from July 1, 2013, limiting its activity to the royalties collected for the industrial property rights it maintains.</w:t>
      </w:r>
    </w:p>
    <w:p>
      <w:r>
        <w:t>Finally, as the DC points out in its PR, after communicating on April 23, 2014, A&amp;A and P&amp;G to that instructing body that the marketing activity of AIO within the P&amp;G group was carried out by P&amp;G ESPAÑA, on May 28, 2014, A&amp;A and P&amp;G submitted a document indicating that it could be understood that the request for leniency submitted would also include P&amp;G ESPAÑA, formally requesting that, in accordance with Article 65 of the LDC, the leniency request be extended to P&amp;G España. By virtue of the aforementioned request, the...</w:t>
      </w:r>
    </w:p>
    <w:p>
      <w:r>
        <w:rPr>
          <w:b/>
        </w:rPr>
        <w:t>[Pages 7–9]</w:t>
      </w:r>
    </w:p>
    <w:p>
      <w:r>
        <w:t>JURISPRUDENCE</w:t>
      </w:r>
    </w:p>
    <w:p>
      <w:r>
        <w:t>The Competition Directorate agreed on June 2, 2014, to extend the conditional exemption granted previously on January 27, 2014, to A&amp;A and P&amp;G to P&amp;G España.</w:t>
      </w:r>
    </w:p>
    <w:p>
      <w:r>
        <w:t>SIXTH. With the focus of the debate established, it is up to this Chamber to analyze whether the company PROCTER &amp; GAMBLE ESPAÑA, S.A. as the successor of the company ARBORA &amp; AUSONIA, S.L. can be considered responsible for the collusive conduct carried out by the company it succeeds.</w:t>
      </w:r>
    </w:p>
    <w:p>
      <w:r>
        <w:t>It is undisputed that in the field of administrative sanctioning law, the principles of culpability and personal responsibility apply. However, this principle has important nuances when it comes to legal entities, as it is possible that through a restructuring, reorganization, or merger, the company that committed the infringing conduct may cease to exist, thereby attempting to evade the imposition of sanctions when its assets and liabilities are acquired by another company.</w:t>
      </w:r>
    </w:p>
    <w:p>
      <w:r>
        <w:t>In order to prevent such acts of business restructuring from resulting in an escape from responsibility, it is accepted that the aforementioned principle of personal responsibility may be excepted, requiring, consequently, responsibility from the successor company. This is justified because there is economic continuity since the successor company acquires the assets - the development of the economic activity in which the infringement was committed - as well as the liabilities that include the amount of the imposed fine. That is to say, it is based on the idea that there is an economic unit between the transferring company and the acquiring company that determines economic continuity because (i) there are structural links between them, (ii) there is identity between the transferred assets and the assets linked to the infringement that allows for continuity in decision-making, and (iii) the acquirer takes on the material and personal links of the operation and thus continues the economic activity developed by the transferor.</w:t>
      </w:r>
    </w:p>
    <w:p>
      <w:r>
        <w:t>The issue at hand is not whether a legal entity can be held liable for the infringements of another, which it can, but rather in what cases this responsibility is permitted; or, in other words, what are the modulations that the principle of personality in sanctioning matters undergoes in its application to legal entities.</w:t>
      </w:r>
    </w:p>
    <w:p>
      <w:r>
        <w:t>It is accepted, as a case that raises no doubts, the transmission of responsibility when, as a result of a transformation or merger process, the legal entity that committed the infringement ceases to exist and its economic activity is continued by the resulting company from that process. In such cases, the rationale is the safeguarding of the protected public interest, allowing for there always to be a legal entity on which to exercise the sanctioning power, provided that the successor, taking on the material and personal means of the operation, continues the economic activity. This aims to prevent the impunity of legal entities that, through mere transformation processes, which are unfeasible for natural persons, could evade their administrative and sanctioning responsibilities.</w:t>
      </w:r>
    </w:p>
    <w:p>
      <w:r>
        <w:t>In the case analyzed, the CNMC highlights that, due to the significance that we will analyze later, it relies on business succession to impose sanctioning responsibility for the same period on both the transferring company ARBORA &amp; AUSONIA, S.L. and the acquiring company PROCTER &amp; GAMBLE ESPAÑA, S.A. because it understands that there is economic continuity since both companies are part of the same business group. Specifically, in the operative part of the sanctioning resolution, the following is considered responsible:</w:t>
      </w:r>
    </w:p>
    <w:p>
      <w:r>
        <w:t>"2. ARBORA &amp; AUSONIA, S.L.U, for its participation in the cartel from at least December 1996 until July 2013.</w:t>
        <w:br/>
        <w:t>3. PROCTER &amp; GAMBLE ESPAÑA, S.A., successor of ARBORA &amp; AUSONIA, S.L.U, for the participation of ARBORA &amp; AUSONIA, S.L.U in the cartel from at least December 1996 until July 2013."</w:t>
      </w:r>
    </w:p>
    <w:p>
      <w:r>
        <w:t>However, it is also worth noting that in cases of business restructuring, objective sanctioning responsibility must be avoided, and for the principle of personal responsibility to be excepted, certain conditions must be met that have been established by the jurisprudence of both the CJEU and the Supreme Court, which we will now refer to in order to analyze whether they are present in this case.</w:t>
      </w:r>
    </w:p>
    <w:p>
      <w:r>
        <w:t>In summary, both the jurisprudence of the CJEU and the Supreme Court recognize the validity of the principle of personality of sanctions, but they also admit that the successor company may not be liable for the infringements committed by the previous one, evaluating the circumstances present in each case.</w:t>
      </w:r>
    </w:p>
    <w:p>
      <w:r>
        <w:t>Thus, in the CJEU Judgment of December 11, 2007, C-280-06, it is stated:</w:t>
      </w:r>
    </w:p>
    <w:p>
      <w:r>
        <w:t>"40. Regarding the issue of determining under what circumstances an entity that is not the author of the infringement may, however, be sanctioned for it, it should first be noted that this includes the situation in which the entity that committed the infringement has ceased to exist legally (see, in this regard, the judgment Commission/Anic Partecipazioni, previously cited, paragraph 145) or economically. On this latter aspect, it should be considered that there is a risk that a sanction imposed on a company that continues to exist legally but no longer engages in economic activities may lack a deterrent effect. (...)</w:t>
      </w:r>
    </w:p>
    <w:p>
      <w:r>
        <w:t>42. Consequently, as the Court of Justice has already stated, when an entity that has committed an infringement of competition rules undergoes a legal or organizational change, this change does not necessarily have the effect of creating a new company exempt from liability for behaviors contrary to the competition rules of the former entity if, from an economic point of view, there is identity between both entities (see, in this regard, the judgments of March 28, 1984, Compagnie royale asturienne des mines and Rheinzink/Commission, 29/83 and 30/83, Rec. p. 1679, paragraph 9, and Aalborg Portland and others/Commission, previously cited, paragraph 59).</w:t>
      </w:r>
    </w:p>
    <w:p>
      <w:r>
        <w:t>43. According to this jurisprudence, the respective legal forms of the entity that committed the infringement and its successor are irrelevant. The imposition of the sanction for the infringement on this successor cannot, therefore, be excluded merely because, as occurs in the main proceedings, it has a different legal nature and operates under different modalities than those of the entity to which it has succeeded. (...)</w:t>
      </w:r>
    </w:p>
    <w:p>
      <w:r>
        <w:t>46. Regarding the issue of determining whether a case like that of the main proceedings corresponds to the circumstances in which an economic entity may be sanctioned for the infringement committed by another entity, it should first be noted that the fact that the AAMS lacks legal personality (see paragraph 6 of this judgment) does not constitute an element that justifies imposing the sanction for the infringement committed by it on its successor. (...)</w:t>
      </w:r>
    </w:p>
    <w:p>
      <w:r>
        <w:t>48. In this regard, it should be recalled that when two entities constitute the same economic entity, the fact that the entity that committed the infringement still exists does not, in itself, prevent the entity to which it transferred its economic activities from being sanctioned (see, in this regard, the judgment Aalborg Portland and others/Commission, previously cited, paragraphs 355 to 358).</w:t>
      </w:r>
    </w:p>
    <w:p>
      <w:r>
        <w:t>49. In particular, imposing the sanction in this way is permissible when those entities have been under the control of the same person and, given the close links that unite them from an economic and organizational point of view, have essentially applied the same commercial instructions.</w:t>
      </w:r>
    </w:p>
    <w:p>
      <w:r>
        <w:t>50. In the main proceedings, it has been established that when they carried out their infringing behaviors, both the AAMS and the ETI belonged to the same public entity, namely, the Italian Ministry of Economy and Finance.</w:t>
      </w:r>
    </w:p>
    <w:p>
      <w:r>
        <w:t>51. It is for the referring court to verify whether, when they participated in the collusion regarding the selling price of cigarettes, the AAMS and the ETI were under the supervision of this public entity. If so, it would be appropriate to declare that the principle of personal responsibility does not oppose the sanction for the infringement initiated by the AAMS and continued by the ETI being imposed globally on the latter."</w:t>
      </w:r>
    </w:p>
    <w:p>
      <w:r>
        <w:t>This doctrine is also reflected in the CJEU Judgment of November 16, 2000, C-279/98, which states:</w:t>
      </w:r>
    </w:p>
    <w:p>
      <w:r>
        <w:t>"78. Indeed, it is, in principle, the responsibility of the natural or legal person who directed the affected company at the time the infringement was committed to answer for it, even if at the time the Decision declaring the existence of the infringement was adopted, the operation of the company was under the responsibility of another person.</w:t>
      </w:r>
    </w:p>
    <w:p>
      <w:r>
        <w:t>79. In the case at hand, from the contested judgment, it follows that Djupafors and Duffel independently participated in the infringement from mid-1986 until they were acquired by the appellant in March 1989 (see paragraph 18 of the contested judgment). Furthermore, these companies were not simply absorbed by the appellant, but continued their activities as subsidiaries of the latter. Consequently, they must answer for their infringing conduct prior to their acquisition by the appellant, without the latter being considered responsible for such conduct.</w:t>
      </w:r>
    </w:p>
    <w:p>
      <w:r>
        <w:t>80. Consequently, it must be noted that the Court of First Instance made a legal error by considering the appellant responsible for the infringements committed by Duffel and Djupafors prior to their acquisition and annulled, for this reason, the contested judgment."</w:t>
      </w:r>
    </w:p>
    <w:p>
      <w:r>
        <w:t>And the Supreme Court has stated that: "Therefore, admitting the responsibility of legal entities in the field of administrative sanctioning, in terms different from those derived from the requirements of criminal culpability according to the principle of societas delinquere non potest, nothing prevents the transmission of such responsibility to those who receive their assets in proportion to it and regardless of their participation in the illicit act. And also, as this Chamber has pointed out, it is consistent with the principles of punitive law that the infringer of a norm cannot evade the enforcement of responsibility merely by their will, as would happen, for example, if legal entities in the exercise of their powers could, through a process of merger, absorption, or voluntary succession, nullify certain sanctions" (STS of September 20, 1996 (appeal 3606/1991) in which STS of April 18, 1993 is cited).</w:t>
      </w:r>
    </w:p>
    <w:p>
      <w:r>
        <w:t>From the aforementioned jurisprudence, it follows, on the one hand, that among legal entities it is possible to assume responsibility for infringements committed by one of them in cases of business succession; and, on the other hand, that the principles of culpability and the personality of sanctions undergo certain modulations in those cases compared to the application of those same principles to natural persons.</w:t>
      </w:r>
    </w:p>
    <w:p>
      <w:r>
        <w:t>We can thus conclude that, in cases of business restructuring, there is no objective or automatic responsibility, but rather, among other requirements, the successor will be responsible for the infringing conduct committed by the company it succeeds, provided that the company that committed the conduct does not exist legally or economically.</w:t>
      </w:r>
    </w:p>
    <w:p>
      <w:r>
        <w:t>SEVENTH. This Chamber recognizes the exception to the principle of penalty responsibility in cases of legal entities, but insofar as this assumption of responsibility for the acts of others implies a limitation of rights due to acts performed by others, we understand that, in such cases, the motivation by the CNMC must be more rigorous, and we cannot consider the mere business succession as sufficient motivation.</w:t>
      </w:r>
    </w:p>
    <w:p>
      <w:r>
        <w:t>And, in this case, the CNMC has limited itself to demanding responsibility from the entity PROCTER &amp; GAMBLE ESPAÑA, S.A. relying solely on the fact that a business succession has occurred, but it does not explain in the sanctioning resolution why responsibility has been demanded for the same period and identical conduct from both the company ARBORA &amp; AUSONIA, S.L. and the company PROCTER &amp; GAMBLE ESPAÑA, S.A. without making any considerations regarding how that responsibility of the successor could be nuanced by the fact that the entity ARBORA &amp; AUSONIA, S.L., after the business succession, had not disappeared either legally or economically since it continued to operate as a company and, although it is true that it had not been engaged since July 1, 2013, in the production and marketing of AIO, it was still maintaining an organizational, business, and economic structure that was not, moreover, foreign to the market in which the sanctioned collusive conduct had taken place, since it subsequently engaged in the management of the intellectual property rights of the AIO marketed by companies of the same parent group.</w:t>
      </w:r>
    </w:p>
    <w:p>
      <w:r>
        <w:t>That is to say, the CNMC has justified the assumption of responsibility by PROCTER &amp; GAMBLE ESPAÑA, S.A. based solely on the idea of universal succession, which, in its opinion, implied sufficient grounds for the assumption of responsibility for the collusive conduct carried out by ARBORA &amp; AUSONIA, S.L. And it is this approach that we precisely reject as it does not imply a modulation of the principles of culpability and personality of the infringements and sanctions imposed on legal entities, but rather their full exclusion in cases of business succession for which there is no normative or jurisprudential basis as we have previously referred to.</w:t>
      </w:r>
    </w:p>
    <w:p>
      <w:r>
        <w:t>In conclusion, in light of the above, the full acceptance of the contentious-administrative appeal filed is warranted, leading us to declare the nullity of the contested resolution regarding the declaration of responsibility of the company PROCTER &amp; GAMBLE ESPAÑA, S.A.</w:t>
      </w:r>
    </w:p>
    <w:p>
      <w:r>
        <w:t>EIGHTH. And the acceptance of the appeal entails the consequent imposition of the procedural costs incurred in this instance to the defendants in accordance with the provisions of Article 139.1 of the Law regulating the Contentious-Administrative Jurisdiction.</w:t>
      </w:r>
    </w:p>
    <w:p>
      <w:r>
        <w:t>HAVING SEEN the cited articles and others of general and pertinent application,</w:t>
      </w:r>
    </w:p>
    <w:p>
      <w:r>
        <w:t>WE DECREE</w:t>
      </w:r>
    </w:p>
    <w:p>
      <w:r>
        <w:t>TO ACCEPT the contentious-administrative appeal No. 361/2016 filed by the Attorney Mr. Argimiro Vázquez Guillen, who acts in the name and representation of the companies ARBORA &amp; AUSONIA, S.L. (Unipersonal), PROCTER &amp; GAMBLE ESPAÑA, S.A. and THE PROCTER &amp; GAMBLE COMPANY, against the resolution of May 26, 2016, issued by the Council of the National Commission of Markets and Competition in file NUM000. A resolution that we annul exclusively in so far as it has declared the company PROCTER &amp; GAMBLE ESPAÑA, S.A. responsible for the collusive conduct carried out by ARBORA &amp; AUSONIA S.L.</w:t>
      </w:r>
    </w:p>
    <w:p>
      <w:r>
        <w:t>The defendants are ordered to pay the procedural costs incurred in this process.</w:t>
      </w:r>
    </w:p>
    <w:p>
      <w:r>
        <w:t>This judgment, which will be notified in the manner provided for in Article 248 of the Organic Law of the Judiciary, is subject to appeal for cassation, which must be prepared before this Chamber within 30 days.</w:t>
      </w:r>
    </w:p>
    <w:p>
      <w:r>
        <w:rPr>
          <w:b/>
        </w:rPr>
        <w:t>[Pages 10–10]</w:t>
      </w:r>
    </w:p>
    <w:p>
      <w:r>
        <w:t>JURISPRUDENCE</w:t>
      </w:r>
    </w:p>
    <w:p>
      <w:r>
        <w:t>counted from the day following its notification; in the written preparation of the appeal, compliance with the requirements established in Article 89.2 of the Law of Jurisdiction must be demonstrated, justifying the objective cassational interest presented.</w:t>
      </w:r>
    </w:p>
    <w:p>
      <w:r>
        <w:t>What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