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https://www.cnmc.es/expedientes/sdc051714</w:t>
      </w:r>
    </w:p>
    <w:p>
      <w:r>
        <w:t>Pages translated : 78</w:t>
      </w:r>
    </w:p>
    <w:p/>
    <w:p>
      <w:r>
        <w:rPr>
          <w:b/>
        </w:rPr>
        <w:t>[Pages 1–3]</w:t>
      </w:r>
    </w:p>
    <w:p>
      <w:r>
        <w:t xml:space="preserve">RESOLUTION  </w:t>
        <w:br/>
        <w:t xml:space="preserve">(Exp. S/DC/0517/14 BODEGAS JOSÉ ESTÉVEZ)  </w:t>
        <w:br/>
        <w:t xml:space="preserve">COMPETITION CHAMBER  </w:t>
        <w:br/>
        <w:t xml:space="preserve">PRESIDENT  </w:t>
        <w:br/>
        <w:t xml:space="preserve">Mr. José María Marín Quemada  </w:t>
        <w:br/>
        <w:t xml:space="preserve">COUNCILORS  </w:t>
        <w:br/>
        <w:t xml:space="preserve">Ms. María Ortiz Aguilar  </w:t>
        <w:br/>
        <w:t xml:space="preserve">Mr. Benigno Valdés Díaz  </w:t>
        <w:br/>
        <w:t xml:space="preserve">Ms. Idoia Zenarrutzabeitia Beldarrain  </w:t>
        <w:br/>
        <w:t xml:space="preserve">SECRETARY  </w:t>
        <w:br/>
        <w:t>Mr. Tomás Suárez-Inclán González</w:t>
      </w:r>
    </w:p>
    <w:p>
      <w:r>
        <w:t>In Madrid, on December 17, 2015</w:t>
      </w:r>
    </w:p>
    <w:p>
      <w:r>
        <w:t>The Competition Chamber of the National Commission of Markets and Competition has issued this Resolution in the case S/DC/0517 Bodegas José Estévez, initiated by the Competition Directorate of the National Commission of Markets and Competition (DC) on June 23, 2014, against José Estévez, S.A. (ESTÉVEZ), for the existence of indications of infringement of Article 1 of Law 16/1989, of July 17, on the Defense of Competition (Law 16/1989), of Article 1 of Law 15/2007, of July 3, on the Defense of Competition (LDC), and of Article 101 of the Treaty on the Functioning of the European Union (TFEU).</w:t>
      </w:r>
    </w:p>
    <w:p>
      <w:r>
        <w:t xml:space="preserve">I. FACTUAL BACKGROUND  </w:t>
        <w:br/>
        <w:t xml:space="preserve">1. On July 15, 2008, the Directorate of Investigation initiated a sanctioning procedure for restrictive competition practices prohibited by Article 1 of the LDC and Article 81 of the TCE, against BODEGAS WILLIAMS &amp; HUMBERT, S.A. (WH), BODEGAS GONZÁLEZ BYASS, S.A. (GB), BODEGAS LUSTAU, S.A. (LUSTAU), COMPLEJO BODEGUERO BELLAVISTA, S.L.U. AND ZOILO RUIZ MATEOS, S.L., JOSÉ ESTÉVEZ, S.A., BODEGAS ANTONIO BARBADILLO, S.A. AND FEDERACIÓN DE BODEGAS DEL MARCO DE JEREZ (FEDEJEREZ), REGULATORY COUNCIL OF THE DENOMINATIONS OF ORIGIN "JEREZ-SÉRÈS-SHERRY" AND "MANZANILLA SANLÚCAR DE BARRAMEDA", BODEGAS J. FERRIS and BODEGAS PEDRO ROMERO (Exp. S/0091/08 Vino Jerez), resolving that the entities involved had committed an infringement of Article 1 of the LDC and Article 101 of the TFEU, by contributing with their behavior to the creation of a cartel in the marketing of Jerez wine.  </w:t>
        <w:br/>
        <w:t xml:space="preserve">2. JOSÉ ESTÉVEZ, S.A. (ESTÉVEZ) filed a contentious-administrative appeal before the National Court (AN) against the aforementioned Resolution (case R/626/2010). The AN issued a judgment on November 26, 2013, declaring the expiration of the sanctioning procedure regarding ESTÉVEZ and the filing of the proceedings, although it did not consider the infringement to be time-barred and, therefore, allowed the Administration to initiate a new procedure as the statute of limitations had not elapsed.  </w:t>
        <w:br/>
        <w:t xml:space="preserve">3. Consequently, on June 23, 2014, the DC initiated sanctioning procedure S/DC/0517/14 against ESTÉVEZ, for the existence of indications of participation in market-sharing agreements and price-fixing in the fine wine sector of Jerez, with the affected products being the fine wines of Jerez marketed abroad, notifying said agreement to the aforementioned company (folios 1 to 7).  </w:t>
        <w:br/>
        <w:t xml:space="preserve">4. On July 2, 2014, the DC agreed to incorporate certain information from case S/0091/08 related to ESTÉVEZ into file S/DC/0517/14 (folios 18 to 727), in accordance with the provisions of Article 30 of the Competition Defense Regulation (RDC), approved by Royal Decree 261/2008, of February 22. This agreement was notified to ESTÉVEZ, FEDEJEREZ, GB, WH, and LUSTAU.  </w:t>
        <w:br/>
        <w:t xml:space="preserve">5. On July 22 and 24, 2014, the CNMC received two letters from ESTÉVEZ requesting confidentiality for all documents that had been declared confidential in the context of case S/0091/08 (folios 782 to 789). On August 8, 2014, the DC sent a response denying said request for confidentiality (folios 799 to 801).  </w:t>
        <w:br/>
        <w:t xml:space="preserve">6. On August 8, 2014, the DC requested information from ESTÉVEZ regarding its ownership and control structure and the total turnover of the company in 2013. The response was received by the DC on September 1, 2014 (folios 807 to 808).  </w:t>
        <w:br/>
        <w:t xml:space="preserve">7. On September 1, 2014, ESTÉVEZ filed an appeal before the Competition Chamber of the CNMC against the DC's decision to deny confidentiality on August 8, 2014 (R/AJ/0307/14), which was dismissed on November 18, 2014, by the Competition Chamber of the CNMC (folios 829 to 835).  </w:t>
        <w:br/>
        <w:t xml:space="preserve">8. On March 17, 2015, the DC formulated the Statement of Facts (folios 868 to 920), which was duly notified to ESTÉVEZ. The allegations to the Statement of Facts from ESTÉVEZ were received by the CNMC on April 30, 2015 (folios 984 to 1025).  </w:t>
        <w:br/>
        <w:t xml:space="preserve">9. The DC adopted the Proposal for Resolution on June 18, 2015, containing a proposal for a sanction for infringement of Article 1 of the LDC and Article 101 of the TFEU (folios 1199 to 1298), for the agreements adopted and implemented by ESTÉVEZ through contacts and meetings between representatives of said company and the other entities sanctioned in the resolution of July 28, 2010, (Exp. S/0091/08), consisting of the establishment of minimum reference prices for the BOB product for export, the limitation of the sales quota of said product assigned to each company, and the distribution of clients, as well as the exchange of sensitive commercial information, from November 2001 to July 2008.  </w:t>
        <w:br/>
        <w:t xml:space="preserve">10. On July 17, 2015, in compliance with the provisions of Article 50.5 of the LDC and 34.2 of the RDC, the Director of Competition submitted the Proposal report to the Competition Chamber of the CNMC (folios 1404 to 1504).  </w:t>
        <w:br/>
        <w:t xml:space="preserve">11. On July 24, 2015, a letter of allegations to the Proposal for Resolution from ESTÉVEZ was registered at the CNMC (folios 1506 to 1563).  </w:t>
        <w:br/>
        <w:t xml:space="preserve">12. On September 18, 2015, the Competition Chamber of the CNMC agreed to send information to the European Commission as provided for in Article 11.4 of Council Regulation (EC) No. 1/2003 of December 16, 2002, regarding the application of the rules on competition provided for in Articles 101 and 102 of the Treaty. It was also agreed to suspend the deadline for resolving the sanctioning procedure effective September 18, 2015, until a response was received from the European Commission regarding the information sent or until the term referred to in Article 11.4 of Regulation (EC) No. 1/2003 elapsed. The suspension period was lifted by agreement dated October 19, 2015, effective the same day (folio 1577).  </w:t>
        <w:br/>
        <w:t xml:space="preserve">13. This resolution has been subject to deliberation and ruling by the Competition Chamber in its session of December 17, 2015.  </w:t>
        <w:br/>
        <w:t xml:space="preserve">14. The interested party in the procedure is:  </w:t>
        <w:br/>
        <w:t>- JOSÉ ESTÉVEZ, S.A. (ESTÉVEZ)</w:t>
      </w:r>
    </w:p>
    <w:p>
      <w:r>
        <w:t xml:space="preserve">II. THE PARTIES  </w:t>
        <w:br/>
        <w:t>JOSÉ ESTÉVEZ, S.A. (ESTÉVEZ), registered in the Aging and Shipping Registry of the Regulatory Council, produces and ages Jerez wines and brandy, being the owner of the wineries Félix Ruiz and Ruiz, Marqués del Real Tesoro de 1879 (in fact, sometimes it is referred to as Real Tesoro to identify this company in some of the evidentiary elements in this file), Valdespino, M. Gil Luque, and Rainiera Pérez Marín.</w:t>
      </w:r>
    </w:p>
    <w:p>
      <w:r>
        <w:rPr>
          <w:b/>
        </w:rPr>
        <w:t>[Pages 4–6]</w:t>
      </w:r>
    </w:p>
    <w:p>
      <w:r>
        <w:t>According to the information provided by the company, the majority shareholder of ESTÉVEZ, with more than 85% of the shares owned, is the entity GESA, GRUPO ESTÉVEZ DE INVERSIONES EMPRESARIALES, S.L.</w:t>
      </w:r>
    </w:p>
    <w:p>
      <w:r>
        <w:t>According to the Regulatory Council of the Denominations of Origin of Jerez, Manzanilla, and Vinagre de Jerez, ESTÉVEZ is the third producer of Jerez wines and one of the most important producers of Brandy, with an aging capacity of 45,000 butts of 500 liters. The proprietary wine brands marketed by ESTÉVEZ are: Tío Mateo, La Guita (manzanilla), Inocente, Tío Diego, and El Candado. Additionally, it produces wine that is then bottled under the distributor's own white label or under secondary brands, both for the national and international markets, particularly for the Netherlands (brand DOÑA), the United Kingdom (brands TESCO, ASDA, WAITROSE, SPAR, and MEDAL), and Germany (brand TIO TOTO). ESTÉVEZ produces wine both with Denomination of Origin Jerez and Manzanilla and has been a member of FEDEJEREZ since March 28, 2008.</w:t>
      </w:r>
    </w:p>
    <w:p>
      <w:r>
        <w:t>In the facts described later regarding the behaviors attributed to ESTÉVEZ, the following companies and entities that were already part of the previous file S/0091/08 Fine Wines of Jerez also participated:</w:t>
        <w:br/>
        <w:t>- Complejo Bodeguero BELLAVISTA, S.L.U.,</w:t>
        <w:br/>
        <w:t>- ZOILO RUIZ MATEOS S.L.,</w:t>
        <w:br/>
        <w:t>- Bodegas GONZÁLEZ BYASS S.A.,</w:t>
        <w:br/>
        <w:t>- Bodegas WILLIAMS &amp; HUMBERT S.A.,</w:t>
        <w:br/>
        <w:t>- Bodegas EMILIO LUSTAU, S.A.,</w:t>
        <w:br/>
        <w:t>- Bodegas BARBADILLO, S.L.,</w:t>
        <w:br/>
        <w:t>- CAYDSA,</w:t>
        <w:br/>
        <w:t>- Bodegas J. FERRIS M.C.B.,</w:t>
        <w:br/>
        <w:t>- Bodegas PEDRO ROMERO,</w:t>
        <w:br/>
        <w:t>- Federación de Bodegas del Marco de Jerez,</w:t>
        <w:br/>
        <w:t>- Consejo Regulador de las Denominaciones de Origen “Jerez-Xérès-Sherry” and “Manzanilla Sanlúcar de Barrameda”</w:t>
      </w:r>
    </w:p>
    <w:p>
      <w:r>
        <w:t>III. NORMATIVE FRAMEWORK</w:t>
      </w:r>
    </w:p>
    <w:p>
      <w:r>
        <w:t>The regulations applicable to the sector of production, elaboration, aging, and commercialization of wines with Denominations of Origin (D.O.) “Jerez-Xérès-Sherry” and “Manzanilla Sanlúcar de Barrameda” consist of the Community Regulations related to Common Market Organizations, national and regional laws on the matter, and other regulatory developments of lower rank. Regarding community regulations, at the time of the adoption of the agreements subject to this file, the sector was regulated by Council Regulation (EC) No. 1493/1999 of May 17, which establishes the Common Organization of the Wine Market. The provisions of Article 41.1 of the same are of interest, which states:</w:t>
      </w:r>
    </w:p>
    <w:p>
      <w:r>
        <w:t>“In order to improve the functioning of the market for the vcprd [qualified wines produced in a specific region] and for table wines designated by a geographical indication, the producing Member States, particularly in the application of decisions taken by sectoral organizations, may define marketing standards regarding the regulation of supply at the time of first marketing, provided that such standards refer to the reservation and/or staggered release of products, excluding any other concerted practice, such as:</w:t>
        <w:br/>
        <w:t>- the fixing of prices, even on an indicative or recommended basis,</w:t>
        <w:br/>
        <w:t>- the blocking of an excessive percentage of the normally available annual harvest and, in general, any abnormal operation of supply restriction,</w:t>
        <w:br/>
        <w:t>- the refusal to issue the national or community certificates necessary for the circulation and marketing of wine products, when such marketing complies with the aforementioned standards.”</w:t>
      </w:r>
    </w:p>
    <w:p>
      <w:r>
        <w:t>This Regulation was repealed by Regulation (EC) No. 479/2008 of April 29, which regulates the Common Organization of the Wine Market, which states that, to facilitate future incorporation into the single Regulation for the CMOs (Regulation (EC) No. 1234/2007, which establishes a Common Organization of Agricultural Markets), it is advisable to align, as far as possible, its provisions with those of the single Regulation for the CMOs.</w:t>
      </w:r>
    </w:p>
    <w:p>
      <w:r>
        <w:t>In this regard, it should be noted that Article 175 of the aforementioned Regulation (EC) No. 1234/2007, which establishes a Common Organization of Agricultural Markets, established the following:</w:t>
      </w:r>
    </w:p>
    <w:p>
      <w:r>
        <w:t>“Unless otherwise provided in this Regulation, Articles 81 to 86 of the Treaty and its implementing rules shall apply, subject to the provisions of Article 176 of this Regulation, to all agreements, decisions, and practices mentioned in Article 81(1) and Article 82 of the Treaty relating to the production or trade of the products mentioned in Article 1(1)(a) to (h), (k), and (m) to (u), and in Article 1(3) of this Regulation.”</w:t>
      </w:r>
    </w:p>
    <w:p>
      <w:r>
        <w:t>Likewise, Regulation (EC) No. 1234/2007 was repealed by Regulation (EU) No. 1308/2013, which, in relation to the competition regulations applicable to agricultural products, respects what is indicated in the previous regulation. Thus, its Article 206 establishes the following:</w:t>
      </w:r>
    </w:p>
    <w:p>
      <w:r>
        <w:t>“Unless otherwise provided in this Regulation and in accordance with Article 42 TFEU, Articles 101 to 106 TFEU and their implementing provisions shall apply, subject to the provisions of Articles 207 to 210 of this Regulation, to all agreements, decisions, and practices referred to in Article 101(1) and Article 102 TFEU relating to the production or trade of agricultural products.”</w:t>
      </w:r>
    </w:p>
    <w:p>
      <w:r>
        <w:t>On the other hand, Article 209.1 of Regulation (EU) No. 1308/2013 establishes the following regarding exceptions related to the objectives of the Common Agricultural Policy, farmers, and farmers' associations:</w:t>
      </w:r>
    </w:p>
    <w:p>
      <w:r>
        <w:t>“Article 101(1) TFEU shall not apply to the agreements, decisions, and practices referred to in Article 206 of this Regulation that are necessary to achieve the objectives set out in Article 39 TFEU.</w:t>
        <w:br/>
        <w:t>(...) This paragraph shall not apply to agreements, decisions, and concerted practices that involve the obligation to charge an identical price or by means of which competition is excluded.”</w:t>
      </w:r>
    </w:p>
    <w:p>
      <w:r>
        <w:t>At the state level, Law 24/2003 of July 10, on Vine and Wine, is applicable, whose purpose is the basic regulation, within the framework of European Union regulations, of the vine and wine, as well as their designation, presentation, promotion, and advertising. This Law covers the general aspects of viticulture, the protection of the origin and quality of wines, the sanctioning regime, and the Spanish Council of Viticulture. Additionally, at the regional level, in accordance with the powers granted to it in matters of designations of origin and protection of the quality of wines of Andalusia by its Statute of Autonomy, Law 10/2007 of November 26, on the Protection of the Origin and Quality of Wines of Andalusia, came into force on March 17, 2008, which in its Article 1 indicates that its purpose is:</w:t>
        <w:br/>
        <w:t>a) The regulation, within the framework of European Union and State regulations, of the protection of the origin and quality of wines of Andalusia and their indications and designations.</w:t>
      </w:r>
    </w:p>
    <w:p>
      <w:r>
        <w:rPr>
          <w:b/>
        </w:rPr>
        <w:t>[Pages 7–9]</w:t>
      </w:r>
    </w:p>
    <w:p>
      <w:r>
        <w:t xml:space="preserve">b) To promote the quality of Andalusian wines, especially quality wines produced in a specific region.  </w:t>
        <w:br/>
        <w:t xml:space="preserve">c) To regulate the information and promotion of wines that may be carried out by the Administration of the Junta de Andalucía, in accordance with applicable regulations.  </w:t>
        <w:br/>
        <w:t xml:space="preserve">d) To regulate the management and control bodies of wines in Andalusia.  </w:t>
        <w:br/>
        <w:t>e) The establishment of the sanctioning regime in the matter.</w:t>
      </w:r>
    </w:p>
    <w:p>
      <w:r>
        <w:t>Article 15.4 of the Law establishes that the management of the designation of origin must be entrusted to a management body, called the Regulatory Council, which is regulated in Chapter IV of Title II of this Law.</w:t>
      </w:r>
    </w:p>
    <w:p>
      <w:r>
        <w:t>Finally, it should be noted the Order of the Ministry of Agriculture of May 2, 1977, which approves the Regulations of the Denominations of Origin "Jerez-Xérès-Sherry" and "Manzanilla Sanlúcar de Barrameda," modified by the Orders of February 19, 2007, and May 13, 2010, of the Ministry of Agriculture and Fisheries of the Junta de Andalucía, establishing the definitions of these designations of origin, the grape varieties, the products covered, the production areas, etc.</w:t>
      </w:r>
    </w:p>
    <w:p>
      <w:r>
        <w:t xml:space="preserve">IV. THE AFFECTED MARKET  </w:t>
        <w:br/>
        <w:t xml:space="preserve">a) Product Market.  </w:t>
        <w:br/>
        <w:t>This sanctioning file is framed within the sector of the marketing abroad of wines with the designation of origin "Jerez-Xérès-Sherry" (Jerez) and "Manzanilla Sanlúcar de Barrameda" (Manzanilla), specifically the marketing of exclusive supply wines, also called private labels, distributor brands, or BOB products ("Buyer Own Brand"), for export under the distributor's brand. These are wines marketed not under the brands of the winery that produces them, but under the brands of the final distributor, who acquires the product to market it in European Union countries.</w:t>
      </w:r>
    </w:p>
    <w:p>
      <w:r>
        <w:t>Regarding the wines with Designations of Origin Jerez and Manzanilla (hereinafter, D.O. Jerez and Manzanilla), a distinction is made between the production area (where the vineyards are located) and the aging area (where the wineries are located).</w:t>
      </w:r>
    </w:p>
    <w:p>
      <w:r>
        <w:t>With respect to the production area of these wines with D.O. Jerez and Manzanilla, it is primarily located in the province of Cádiz, with some land also in the province of Seville.</w:t>
      </w:r>
    </w:p>
    <w:p>
      <w:r>
        <w:t xml:space="preserve">The types of wines covered by the Denomination of Origin "Jerez-Xérès-Sherry" are, basically, the following:  </w:t>
        <w:br/>
        <w:t xml:space="preserve">a) Generous wines: Fino, amontillado, oloroso, palo cortado, and raya.  </w:t>
        <w:br/>
        <w:t xml:space="preserve">b) Generous liqueur wines: dry, medium, pale cream, and cream.  </w:t>
        <w:br/>
        <w:t>c) Natural sweet wine: Pedro Ximénez or Moscatel.</w:t>
      </w:r>
    </w:p>
    <w:p>
      <w:r>
        <w:t xml:space="preserve">The types of wines covered by the Denomination of Origin "Manzanilla Sanlúcar de Barrameda," characterized by the microclimate present in Sanlúcar de Barrameda, where the aging wineries must necessarily be located, and the particular aging process of this type of wine (under a veil of flor), are the following:  </w:t>
        <w:br/>
        <w:t xml:space="preserve">a) Manzanilla fina.  </w:t>
        <w:br/>
        <w:t xml:space="preserve">b) Manzanilla Pasada.  </w:t>
        <w:br/>
        <w:t>c) Manzanilla Olorosa.</w:t>
      </w:r>
    </w:p>
    <w:p>
      <w:r>
        <w:t>The viticultural production area of these D.O. Jerez and Manzanilla is the so-called Marco de Jerez, which extends across various municipalities in the province of Cádiz (Jerez de la Frontera, Puerto de Santa María, Sanlúcar de Barrameda, Trebujena, Chipiona, Rota, Puerto Real, and Chiclana de la Frontera), as well as land in the municipality of Lebrija, in the province of Seville, with the climatic characteristics and soil composition being a determining factor for the ripening of the grape.</w:t>
      </w:r>
    </w:p>
    <w:p>
      <w:r>
        <w:t>The area is also framed within the viticultural production of the Autonomous Community of Andalusia, where approximately 70% of the vineyard belongs to some Denomination of Origin (6 in total), highlighting the area occupied by the production of Jerez wines, Manzanilla, and Vinagre de Jerez, with 6,937.71 hectares according to data from 2013.</w:t>
      </w:r>
    </w:p>
    <w:p>
      <w:r>
        <w:t>Most of the wineries analyzed during the sanctioning file S/0091/08 export BOB products with D.O. Jerez and Manzanilla, although the proportion of Manzanilla in the total exported is less than 5% in all cases.</w:t>
      </w:r>
    </w:p>
    <w:p>
      <w:r>
        <w:t>The traditional system for producing the wines of these D.O. Jerez and Manzanilla is that of "criaderas and soleras," which consists of methodically blending wines with different aging levels ("rotating") in order to perpetuate certain characteristics in the wine ultimately marketed, that is, it is a system articulated through the "rotation" of the inventories of aging wines that each campaign is carried out by the wineries registered in the D.O. Depending on the aging that each winery intends to give to its range of wines, a different rotation of its aging stocks will be required.</w:t>
      </w:r>
    </w:p>
    <w:p>
      <w:r>
        <w:t>Therefore, the wineries size their inventories according to the requirements of their respective product ranges, although they must respect the minimum aging required by the regulations of these D.O. Jerez and Manzanilla, that is, three years of aging in wood before commercialization.</w:t>
      </w:r>
    </w:p>
    <w:p>
      <w:r>
        <w:t>According to the indicated production system, the process would be as follows: the wine is stored ("aged") in "butts," which are American oak barrels with a capacity of 600 liters, filled to 5/6 of their capacity. Each butt therefore holds 500 liters of wine. The butts are arranged in overlapping rows, one on top of the other, where traditionally each horizontal row is called a "scale." The butts of the same scale contain wine with similar characteristics and the same degree of aging.</w:t>
      </w:r>
    </w:p>
    <w:p>
      <w:r>
        <w:t>The first scale, closest to the ground, is called "solera" and contains the oldest wine. Wine is periodically extracted from the solera for bottling – an operation called "saca" – leaving 2/3 to 3/4 of its content in it. The solera is refilled with wine from the second scale, or first criadera, and this in turn with wine from the third scale, and so on successively until the last scale, also called "añada," which contains the fresh wine from the harvest of the year. The described aging system requires that the amount of wine in aging for these designations of origin of Jerez and Manzanilla be approximately three times the volume extracted for commercialization.</w:t>
      </w:r>
    </w:p>
    <w:p>
      <w:r>
        <w:rPr>
          <w:b/>
        </w:rPr>
        <w:t>[Pages 10–12]</w:t>
      </w:r>
    </w:p>
    <w:p>
      <w:r>
        <w:t>b) Geographic market.</w:t>
      </w:r>
    </w:p>
    <w:p>
      <w:r>
        <w:t>Regarding the geographic market, as indicated by the Council of the CNC (RCNC May 23, 2013, Expte. S/0303/10 Distributors Sanitation) and also by the Competition Chamber of the CNMC (RCNMC of June 26, 2014, Expte. S/0445/12 Firefighting Equipment, and December 4, 2014, Expte. S/0453/12 Railway Bearings) and in accordance with the Commission Communication regarding the definition of the reference market for the purposes of community competition regulations (97/C 372/03, OJ C of December 9, 1997), the reference geographic market encompasses the area in which the affected companies carry out activities of supplying the products and providing the reference services, where the competitive conditions are sufficiently homogeneous and can be distinguished from other nearby geographic areas due, in particular, to the fact that the prevailing competitive conditions therein are significantly different from those. This has also been indicated by the jurisprudence of the CJEU, which has defined the geographic market as:</w:t>
      </w:r>
    </w:p>
    <w:p>
      <w:r>
        <w:t>“(...) the geographic area where the product in question is marketed and where the competitive conditions are sufficiently homogeneous to allow for the assessment of the impact of the economic power of a particular company.”</w:t>
      </w:r>
    </w:p>
    <w:p>
      <w:r>
        <w:t>On the other hand, as repeatedly pointed out by the Council of the CNC and the Competition Chamber of the CNMC and confirmed by the AN, the concept of the market affected by the infringing conduct, which may or may not coincide with the relevant product and geographic market, is not determined by the territory where the competitive conditions are homogeneous, but by the geographic space in which the analyzed infringement has produced or is likely to produce effects on the conditions of effective competition.</w:t>
      </w:r>
    </w:p>
    <w:p>
      <w:r>
        <w:t>The production area of the D.O.s Jerez and Manzanilla, the so-called Marco de Jerez, extends across eight municipalities in the province of Cádiz (Jerez de la Frontera, Puerto de Santa María, Sanlúcar de Barrameda, Trebujena, Chipiona, Rota, Puerto Real, and Chiclana de la Frontera) and one municipality in the province of Seville (Lebrija). The Marco de Jerez belongs to the wine production area of the Autonomous Community of Andalusia (accounting for 38% of the total vineyard area of that Autonomous Community).</w:t>
      </w:r>
    </w:p>
    <w:p>
      <w:r>
        <w:t>The wineries that are part of the cartel sanctioned in Expte. S/0091/08 Fine Wines of Jerez, including ESTÉVEZ, concentrate more than 90% of the exports of BOB products. Thus, according to the data provided by the REGULATORY COUNCIL, in 2008 the total marketing of wines covered by the D.O.s “Jerez-Xérès-Sherry” and “Manzanilla-Sanlúcar de Barrameda” was estimated at 50,540,694 liters, decreasing to just over 38 million liters in 2013, with priority destinations being the countries of the European Union and, more specifically, the United Kingdom (with approximately 28% of the total). Thus, the export of the indicated wines in 2008 was 37 million liters and nearly 27 million liters in 2013, which represents around 75% of the sector's activity, and 60% of the total sales of the sector rests on wines sold under private label (BOB), mostly intended for export.</w:t>
      </w:r>
    </w:p>
    <w:p>
      <w:r>
        <w:t>The private labels, distributor brands, or BOB products of the aforementioned wines with the designation of origin “Jerez-Xérès-Sherry” (Jerez) and “Manzanilla Sanlúcar de Barrameda” (Manzanilla) are primarily marketed in the United Kingdom, Germany, and the Netherlands, and to a lesser extent, Belgium, although the agreements adopted also implied an increase in the prices of the private labels, both in the domestic market and regarding exports, as the increase in BOB prices also raised the prices of the private labels, so the affected market would be both the national and the export market to the aforementioned European Union countries.</w:t>
      </w:r>
    </w:p>
    <w:p>
      <w:r>
        <w:t>Hence, the impact on the community market has been noted, as the affected market in this case, as well as in Expte. S/0091/08, is the export market to countries of the European Union.</w:t>
      </w:r>
    </w:p>
    <w:p>
      <w:r>
        <w:t>c) Market structure.</w:t>
      </w:r>
    </w:p>
    <w:p>
      <w:r>
        <w:t>On the supply side: since the 1980s, the Spanish wine market with D.O.s Jerez and Manzanilla has undergone a period of restructuring and crisis due to the decrease in the consumption of wine with D.O.s Jerez and Manzanilla, especially in export markets, which represent the majority of total sales (mainly in the United Kingdom, the Netherlands, Germany, and the United States, which absorb more than 90% of exports).</w:t>
      </w:r>
    </w:p>
    <w:p>
      <w:r>
        <w:t>This decrease in consumption led to an excess supply in the market that has been attempted to adjust to demand at the proposal of various bodies, including the Junta de Andalucía and the REGULATORY COUNCIL. For this purpose, various structural plans were established, such as the Four-Year Restructuring Plan, in effect from September 1991 to September 1994.</w:t>
      </w:r>
    </w:p>
    <w:p>
      <w:r>
        <w:t>The vineyard area had remained practically stable since then at 11,000 hectares, although the figures for 2013 place it around 7,000 hectares. However, despite the stagnation in production, the supply from then until now has exceeded demand, as exports have been gradually decreasing since the 1980s, mainly due to the change in consumption habits of foreign consumers towards other types of wines.</w:t>
      </w:r>
    </w:p>
    <w:p>
      <w:r>
        <w:t>The supply of products with D.O. Jerez and Manzanilla comes from the following types of wineries:</w:t>
        <w:br/>
        <w:t>a) "Production" or "press" wineries: registered in the records of the Regulatory Council of the D.O. Jerez, Manzanilla, and Vinagre de Jerez, which are located in the production area, and where the grapes from the registered vineyards are pressed, and where the must is stored during its vinification.</w:t>
        <w:br/>
        <w:t>b) "Aging and shipping" or "exporting" wineries: produce wine and subsequently market it bottled, being authorized for this purpose by the Regulatory Council to make the wine available to the consumer. Generally, these wineries have a larger volume of production and storage than those of "aging and storage" or "warehouses" (which are analyzed below) and are more numerous, with 64 wineries in 2008 and 41 wineries according to the data from 2013, most of which are located in the so-called "Superior Jerez Zone," primarily in Jerez de la Frontera (Cádiz). They account for 72% of the total area of the Marco de Jerez. The wineries involved in the sanctioning file S/0091/08 belong to this group.</w:t>
        <w:br/>
        <w:t>c) "Aging and storage" or "warehouses" wineries: "age" wine but do not sell it bottled. They are dedicated to marketing their wines in the domestic market. They are smaller than the "shipping" wineries and less numerous (14 wineries in 2008, 19 wineries according to data from 2013). They are mostly located in the "Superior Jerez Zone" of Sanlúcar de Barrameda (which accounts for 13% of the total area of the Marco de Jerez).</w:t>
        <w:br/>
        <w:t>d) Production wineries: this fourth type of winery has a smaller production volume than the previous ones and is located in the production area, but outside the aging zone. Their main activity is the production of wines suitable for aging and subsequent maturation in aging wineries. These wineries, registered in the corresponding registry, frequently market their wines directly in the local market and are not subject to quotas, so a winery can sell all its production in a single campaign.</w:t>
      </w:r>
    </w:p>
    <w:p>
      <w:r>
        <w:rPr>
          <w:b/>
        </w:rPr>
        <w:t>[Pages 13–15]</w:t>
      </w:r>
    </w:p>
    <w:p>
      <w:r>
        <w:t>The largest volume of stock of wine with D.O. Jerez and Manzanilla is stored in the "aging and shipping" wineries (478,313 butts, that is, 95% of the total stock at the beginning of the 2008/09 campaign, 281,075 butts in 2013, also 95% of the total stock at the beginning of the 2013/14 campaign), while the "aging and storage" wineries have a much smaller volume of aging stock (around 25,000 butts in 2008 and 15,097 butts in 2013, that is, 5% in both cases).</w:t>
      </w:r>
    </w:p>
    <w:p>
      <w:r>
        <w:t>In the decade from 1991 to 2001, the total stock of aging wines in the wineries of these D.O. Jerez and Manzanilla decreased by 40.3%, due to the sector reconversion plan undertaken in 1991. Since then, the volume of stock stored in the aging wineries has continued to gradually decrease, amounting at the beginning of the 2008/09 Campaign (September 1, 2008) to 503,487 butts, or in other words, 2,517,435 hectoliters. This amount is slightly higher than that stored at the beginning of the 2007/08 campaign. At the beginning of the 2013/14 campaign, the total volume of stock stored in the aging wineries was 296,172 butts.</w:t>
      </w:r>
    </w:p>
    <w:p>
      <w:r>
        <w:t>According to the activities report of the REGULATORY COUNCIL, Jerez wines are currently immersed in a dynamic of reduction of the total volume marketed. Total sales of wines covered by the D.O. Jerez and Manzanilla during 2013 amounted to a total of 38,464,805 liters, representing a decline of almost 25% compared to the 2008 campaign.</w:t>
      </w:r>
    </w:p>
    <w:p>
      <w:r>
        <w:t>Private labels (BOB) accounted for around 60% of total sales in the sector in 2008, with most being destined for export. Currently, exports account for more than 76% of the activity in the wine sector with D.O. Jerez and Manzanilla.</w:t>
      </w:r>
    </w:p>
    <w:p>
      <w:r>
        <w:t>According to the information in the file, the wineries that are part of the cartel concentrate more than 90% of the exports of BOB products.</w:t>
      </w:r>
    </w:p>
    <w:p>
      <w:r>
        <w:t>Regarding demand in this market, in recent years there has been a shift in consumption habits of foreign consumers of branded wines towards private label products, which results in a decrease in profits obtained by companies, as private labels are cheaper than branded wines.</w:t>
      </w:r>
    </w:p>
    <w:p>
      <w:r>
        <w:t>The demand for these types of BOB products is fundamentally found among foreign clients, as the national market is more brand-oriented. Regarding these foreign clients, they are large accounts, mainly supermarket chains with significant negotiating power.</w:t>
      </w:r>
    </w:p>
    <w:p>
      <w:r>
        <w:t>The shipping wineries, once the wines are sold to a large distribution chain, have little decision-making capacity regarding presentation, the distribution chain, and occasional promotional measures, all of which are left in the hands of the distributor.</w:t>
      </w:r>
    </w:p>
    <w:p>
      <w:r>
        <w:t>The destination countries for BOB exports are primarily the United Kingdom, the Netherlands, and Germany, and to a lesser extent, Belgium.</w:t>
      </w:r>
    </w:p>
    <w:p>
      <w:r>
        <w:t>V. PROVEN FACTS</w:t>
      </w:r>
    </w:p>
    <w:p>
      <w:r>
        <w:t>V.1 Preliminary consideration.</w:t>
      </w:r>
    </w:p>
    <w:p>
      <w:r>
        <w:t>The Resolution of July 28, 2010, of the CNC Council in Expte. S/0091/08 considered that the entities involved in the file had incurred a violation of Article 1 of the LDC and Article 101 of the TFEU, for having contributed with their behavior to the creation of a cartel that was carried out in the marketing of Jerez wine from 2001 to 2008. Specifically, agreements were adopted to limit supply, allocate it, establish a minimum price, and mechanisms for compensation among the companies participating in this cartel, including ESTÉVEZ.</w:t>
      </w:r>
    </w:p>
    <w:p>
      <w:r>
        <w:t>The aforementioned Resolution was subject to administrative litigation by GB, LUSTAU, FERRIS, the REGULATORY COUNCIL, WH, PEDRO ROMERO, CAYDSA, FEDEJEREZ, FERRIS, and BARBADILLO, all of which were partially upheld by the AN regarding only the amount of the fine imposed by the CNC Council, confirming, however, the facts constituting the violation (Judgments of the AN of March 6, 7, 8, 13, and 20, April 10, June 12 and 24, and November 21, 2013, and January 15, 2014). In turn, the Supreme Court (TS) has issued two judgments so far regarding the appeals filed by WH and GB, once again confirming the facts constituting the violation.</w:t>
      </w:r>
    </w:p>
    <w:p>
      <w:r>
        <w:t>ESTÉVEZ also filed an administrative litigation appeal, but in this case alleging the expiration of the procedure and the statute of limitations of the alleged violation committed, which was partially upheld by the AN (SAN of November 26, 2013, appeal 626/2010) which ruled, regarding ESTÉVEZ, the expiration of the procedure, agreeing to archive the proceedings but not proceeding to declare the statute of limitations of the violation.</w:t>
      </w:r>
    </w:p>
    <w:p>
      <w:r>
        <w:t>V.2 Organization and functioning of the cartel.</w:t>
      </w:r>
    </w:p>
    <w:p>
      <w:r>
        <w:t>Next, a global description of the agreements adopted for the marketing of BOB products is provided, accredited in Expte. S/0091/08, in accordance with the aforementioned Resolution of the CNC Council of July 28, 2010, and confirmed by the AN and the TS in the aforementioned judgments, to subsequently detail the evidentiary facts of ESTÉVEZ's participation in the mentioned agreements.</w:t>
      </w:r>
    </w:p>
    <w:p>
      <w:r>
        <w:t>These facts are evidenced by the information gathered in the inspections carried out on July 16, 2008, at the headquarters of WH, GB, LUSTAU, and FEDEJEREZ.</w:t>
      </w:r>
    </w:p>
    <w:p>
      <w:r>
        <w:t>The agreements for the marketing of BOB products abroad have developed over several time periods and have evolved in different ways, with WH, GB, GARVEY (later, BELLAVISTA and ZRM), BARBADILLO, ESTÉVEZ (also called Real Tesoro, RT), and FERRIS (in 2002) participating in the cartel since November 2001, with PEDRO ROMERO (May 2005), LUSTAU (September 2005), and CAYDSA (December 2007) joining later.</w:t>
      </w:r>
    </w:p>
    <w:p>
      <w:r>
        <w:t>Thus, the agreements for the export of BOB products began in November 2001 between GB, ESTÉVEZ, BARBADILLO, GARVEY, and WH, agreeing to establish the BOB quota (the number of boxes that each of the companies participating in the cartel could export under the client's brand), assigning a quota for each cartel company in relation to the export markets to the Netherlands, the United Kingdom, Germany, and Belgium for the 2001/02 campaign, as well as a reference price for BOB. All of this is reflected in the documents "The Disagreement" and "Agreement for the Regulation of the BOB Market" (folios 56 to 62) collected during the inspection of the WH company.</w:t>
      </w:r>
    </w:p>
    <w:p>
      <w:r>
        <w:t>In 2002, FERRIS joined this agreement, which required changes to the BOB quotas assigned by the cartel, taking into account the expected decrease in demand: 35% for WH, 20.9% for GB, 16.1% for ESTÉVEZ, 13.8% for BARBADILLO, 9.4% for GARVEY, and 3.9% for FERRIS.</w:t>
      </w:r>
    </w:p>
    <w:p>
      <w:r>
        <w:t>This agreement remained without significant incidents until the end of 2003, at which point certain disagreements arose among some of the companies in the cartel, including ESTÉVEZ, which stopped attending cartel meetings during 2004, although there was a commitment between that company and the other companies participating in the cartel to respect clients, with ESTÉVEZ exchanging information about clients and prices with the rest of the cartel companies. The above is evidenced by an internal email from GB dated October 16, 2003 (folio 496 of this file), quoted literally in the Resolution of July 28, 2010, S/0091/08 Fine Wines of Jerez.</w:t>
      </w:r>
    </w:p>
    <w:p>
      <w:r>
        <w:t>In mid-2005, under the leadership of FEDEJEREZ, a new stage of contacts began among the companies participating in the cartel, including ESTÉVEZ.</w:t>
      </w:r>
    </w:p>
    <w:p>
      <w:r>
        <w:t>Thus, in July 2005, restrictions on the supply of BOB and price fixing were agreed upon (folios 219 to 227, 68 to 71, and 146), and on May 30, 2006, an agreement was signed, which was called the MARKETING TABLE (document "MARKETING TABLE," folios 49, 50, and 160).</w:t>
      </w:r>
    </w:p>
    <w:p>
      <w:r>
        <w:rPr>
          <w:b/>
        </w:rPr>
        <w:t>[Pages 16–18]</w:t>
      </w:r>
    </w:p>
    <w:p>
      <w:r>
        <w:t>included ESTÉVEZ.</w:t>
      </w:r>
    </w:p>
    <w:p>
      <w:r>
        <w:t>Thus, in July 2005, restrictions on the supply of BOB and price fixing were agreed upon (folios 219 to 227, 68 to 71, and 146), and on May 30, 2006, an agreement was signed, referred to as the COMMERCIALIZATION TABLE (document "COMMERCIALIZATION TABLE," folios 49, 50, and 160).</w:t>
      </w:r>
    </w:p>
    <w:p>
      <w:r>
        <w:t>15</w:t>
      </w:r>
    </w:p>
    <w:p>
      <w:r>
        <w:t>Although ESTÉVEZ did not attend the formal establishment of the aforementioned Table due to disagreements with another company in the cartel, it had previously adopted the so-called "Gentlemen's Agreement" of May 18, 2006, and subsequently expressly ratified these agreements in 2007. The objectives of this BOB TABLE were the distribution among the participating companies of the total supply of Jerez wine (quota), the limitation of the purchase of external quotas, and the establishment of controls and labeling limitations (sub-registration BOB), in order to maintain the status quo and retain their clients, as well as to increase prices, as evidenced in the Resolution of the CNC Council of July 28, 2010. During the judicial review of the file, the judgments of the AN and the TS cited above have confirmed these facts, as well as the assessment made by the former CNC in the aforementioned Resolution, considering the existence of a continued cartel infringement, whose purpose was the adoption of a secret agreement among the companies involved in said Expte. S/0091/08, to coordinately raise the price of BOB products, eliminating competition among the companies participating in the cartel.</w:t>
      </w:r>
    </w:p>
    <w:p>
      <w:r>
        <w:t>It should be noted that upon reaching an agreement on BOB prices, the companies participating in this cartel were also setting the prices of their own brands, both in the domestic market and regarding exports, as raising BOB prices also raised the prices of their own brands, as indicated in the aforementioned Resolution of July 28, 2010.</w:t>
      </w:r>
    </w:p>
    <w:p>
      <w:r>
        <w:t>Thus, as indicated by the CNC Council in the aforementioned Resolution, supported by the Judgments of the AN and TS, the established behaviors correspond to a global agreement typical of a cartel, which materialized in (Resolution Expte. S/0091/08 Fine Wines of Jerez, folio 682):</w:t>
      </w:r>
    </w:p>
    <w:p>
      <w:r>
        <w:t>“(i) Limitations on production, through agreed supply restrictions, which have limited the volume of sales. Allocation of a quota to each company and revisions of said quotas. During the initial years, the production limits were agreed upon among the cartel members; however, in the following years, the production limits were imposed on the other operators present in the sector, not only in BOB, through the CR circulars, which led to the sanctioning file 2779/07, REGULATORY COUNCIL OF THE DENOMINATION OF ORIGIN WINES OF JEREZ AND MANZANILLA DE SANLÚCAR. The distribution is completed through compensation mechanisms among the companies whose sales exceeded the assigned quota and those that did not reach said quota.</w:t>
      </w:r>
    </w:p>
    <w:p>
      <w:r>
        <w:t>(ii) Market distribution. After limiting the production available for commercialization, a distribution of the quantity has been carried out through the allocation of clients.</w:t>
      </w:r>
    </w:p>
    <w:p>
      <w:r>
        <w:t>(iii) Setting minimum prices and revisions of said prices.</w:t>
      </w:r>
    </w:p>
    <w:p>
      <w:r>
        <w:t>16</w:t>
      </w:r>
    </w:p>
    <w:p>
      <w:r>
        <w:t>(iv) Exchange of information on prices, clients, and quantities sold.</w:t>
      </w:r>
    </w:p>
    <w:p>
      <w:r>
        <w:t>(v) Control and monitoring mechanisms. In the first phase, monitoring was carried out among all in the meetings they held periodically. In the second phase, a registry of supply contracts is proposed, the declaration to the CR of export prices to avoid dumping, and the creation of a coordination table.”</w:t>
      </w:r>
    </w:p>
    <w:p>
      <w:r>
        <w:t>3.3 Participation of ESTÉVEZ in the cartel.</w:t>
      </w:r>
    </w:p>
    <w:p>
      <w:r>
        <w:t>Once the organization and general functioning of the cartel and the agreements adopted have been exposed, the following details the contacts and meetings held by ESTÉVEZ with the other entities of the cartel, in which senior executives of said company participated, which substantiate the facts under investigation in this file and were gathered during inspections carried out at the headquarters of WH, GB, LUSTAU, and FEDEJEREZ.</w:t>
      </w:r>
    </w:p>
    <w:p>
      <w:r>
        <w:t>In the following table, based on the one presented by the DC in Annex II to the PCH, the cartel meetings in which ESTÉVEZ participated, the dates, and the location of the meetings, as well as the folios of the file where they are documented, are listed:</w:t>
      </w:r>
    </w:p>
    <w:p>
      <w:r>
        <w:t>Company Meeting Date Location Folios</w:t>
        <w:br/>
        <w:t>GB (two attendees) November 9, 2001 Regulatory Council 108 and 109</w:t>
        <w:br/>
        <w:t>Regulatory Council</w:t>
        <w:br/>
        <w:t>(two attendees)</w:t>
        <w:br/>
        <w:t>Estévez</w:t>
        <w:br/>
        <w:t>WH</w:t>
        <w:br/>
        <w:t>Barbadillo</w:t>
        <w:br/>
        <w:t>Garvey</w:t>
        <w:br/>
        <w:t>GB September 25, 2002 Regulatory Council 110 to 112</w:t>
        <w:br/>
        <w:t>Estévez</w:t>
        <w:br/>
        <w:t>Regulatory Council</w:t>
        <w:br/>
        <w:t>WH</w:t>
        <w:br/>
        <w:t>Garvey</w:t>
        <w:br/>
        <w:t>Regulatory Council</w:t>
        <w:br/>
        <w:t>Barbadillo</w:t>
        <w:br/>
        <w:t>Regulatory Council December 11, 2002 Regulatory Council 134</w:t>
        <w:br/>
        <w:t>GB</w:t>
        <w:br/>
        <w:t>Regulatory Council</w:t>
        <w:br/>
        <w:t>WH</w:t>
        <w:br/>
        <w:t>Barbadillo</w:t>
        <w:br/>
        <w:t>Ferris</w:t>
        <w:br/>
        <w:t>Estévez</w:t>
      </w:r>
    </w:p>
    <w:p>
      <w:r>
        <w:t>17</w:t>
      </w:r>
    </w:p>
    <w:p>
      <w:r>
        <w:t>Company Meeting Date Location Folios</w:t>
        <w:br/>
        <w:t>Regulatory Council February 18, 2003 Regulatory Council 196 and 197</w:t>
        <w:br/>
        <w:t>Barbadillo</w:t>
        <w:br/>
        <w:t>Regulatory Council</w:t>
        <w:br/>
        <w:t>WH</w:t>
        <w:br/>
        <w:t>Ferris</w:t>
        <w:br/>
        <w:t>Estévez</w:t>
        <w:br/>
        <w:t>La Guita/Estévez May 2, 2006 72 and 73</w:t>
        <w:br/>
        <w:t>Barbadillo</w:t>
        <w:br/>
        <w:t>Lustau</w:t>
        <w:br/>
        <w:t>GB</w:t>
        <w:br/>
        <w:t>WH</w:t>
        <w:br/>
        <w:t>Fedejerez</w:t>
        <w:br/>
        <w:t>Barbadillo May 22, 2006 FEDEJEREZ 68 and 69</w:t>
        <w:br/>
        <w:t>GB</w:t>
        <w:br/>
        <w:t>135 and 136</w:t>
        <w:br/>
        <w:t>Estévez</w:t>
        <w:br/>
        <w:t>Lustau</w:t>
        <w:br/>
        <w:t>WH</w:t>
        <w:br/>
        <w:t>Fedejerez April 11, 2007 152 and 168</w:t>
        <w:br/>
        <w:t>Barbadillo</w:t>
        <w:br/>
        <w:t>WH</w:t>
        <w:br/>
        <w:t>GB</w:t>
        <w:br/>
        <w:t>Estévez</w:t>
        <w:br/>
        <w:t>Lustau</w:t>
        <w:br/>
        <w:t>BELLAVISTA and ZRM</w:t>
        <w:br/>
        <w:t>Fedejerez October 22, 2007 FEDEJEREZ 140</w:t>
        <w:br/>
        <w:t>BELLAVISTA and ZRM</w:t>
        <w:br/>
        <w:t>175 to 177</w:t>
        <w:br/>
        <w:t>(two attendees)</w:t>
        <w:br/>
        <w:t>WH</w:t>
        <w:br/>
        <w:t>Estévez</w:t>
        <w:br/>
        <w:t>Lustau</w:t>
        <w:br/>
        <w:t>GB</w:t>
        <w:br/>
        <w:t>GB</w:t>
        <w:br/>
        <w:t>GB December 10, 2007 139</w:t>
        <w:br/>
        <w:t>Estévez</w:t>
        <w:br/>
        <w:t>WH</w:t>
        <w:br/>
        <w:t>Barbadillo</w:t>
        <w:br/>
        <w:t>Ferris</w:t>
        <w:br/>
        <w:t>Pedro Romero</w:t>
        <w:br/>
        <w:t>CAYDSA</w:t>
        <w:br/>
        <w:t>Estévez January 14, 2008 ESTÉVEZ 141</w:t>
        <w:br/>
        <w:t>WH</w:t>
        <w:br/>
        <w:t>Lustau</w:t>
      </w:r>
    </w:p>
    <w:p>
      <w:r>
        <w:rPr>
          <w:b/>
        </w:rPr>
        <w:t>[Pages 19–21]</w:t>
      </w:r>
    </w:p>
    <w:p>
      <w:r>
        <w:t xml:space="preserve">Company Meeting Date Venue Folios  </w:t>
        <w:br/>
        <w:t xml:space="preserve">GB  </w:t>
        <w:br/>
        <w:t xml:space="preserve">Estévez April 14, 2008 Hotel Jerez 210  </w:t>
        <w:br/>
        <w:t xml:space="preserve">WH  </w:t>
        <w:br/>
        <w:t xml:space="preserve">BELLAVISTA and ZRM  </w:t>
        <w:br/>
        <w:t xml:space="preserve">Ferris  </w:t>
        <w:br/>
        <w:t xml:space="preserve">CAYDSA  </w:t>
        <w:br/>
        <w:t xml:space="preserve">Barbadillo  </w:t>
        <w:br/>
        <w:t>Lustau</w:t>
      </w:r>
    </w:p>
    <w:p>
      <w:r>
        <w:t xml:space="preserve">The following are the established facts presented in chronological order:  </w:t>
        <w:br/>
        <w:t xml:space="preserve">Years 2001-2003  </w:t>
        <w:br/>
        <w:t xml:space="preserve">The Resolution of July 28, 2010 (Expte. S/0091/08 Fine Wines of Jerez) indicated that the facts establish the responsibility of ESTÉVEZ since at least November 2001, although the information sent by the REGULATORY COUNCIL to WH in April 2001 already contains sensitive commercial information from ESTÉVEZ that at least allows for the assertion that there are indications of its responsibility from before.  </w:t>
        <w:br/>
        <w:t xml:space="preserve">On April 23, 2001, the REGULATORY COUNCIL sent by fax various documents for the preparation of a meeting (folios 93 to 97), which ESTÉVEZ would not attend, although they contain the document "BOB Project. JE Data," corresponding to the aforementioned initials JE for Bodegas José Estévez, sensitive information related to ESTÉVEZ. In the aforementioned fax of April 23, 2001, the 4 annexes that were attached are listed, containing the following information (folio 486):  </w:t>
        <w:br/>
        <w:t xml:space="preserve">“- Total sales in export, brand, and BOB for the three-year period 1998-2000 from 5 wineries (A: Barbadillo, B: WH; C: GARVEY; D: GB and E: RT-Estévez) from the markets of the United Kingdom, Holland, Germany, and Belgium. Sales from the sixth winery can also be identified.  </w:t>
        <w:br/>
        <w:t xml:space="preserve">- Average total sales (not only export) and BOB; stocks as of 1/09/00 (butts). A BOB/Total sales ratio is obtained for each winery. This ratio is applied to total stocks to obtain the amount that each can sell in BOB, which is the quota for 2000/2001 (total and BOB).  </w:t>
        <w:br/>
        <w:t xml:space="preserve">- A reduction equal to all of them is applied to the obtained quota, by agreement of supply limitation (87.9%).  </w:t>
        <w:br/>
        <w:t>- Annex 4 contains the final quotas and possible adjustments, which would be agreed upon by "the four houses."</w:t>
      </w:r>
    </w:p>
    <w:p>
      <w:r>
        <w:t xml:space="preserve">However, it was on November 9, 2001, when certain companies, including ESTÉVEZ, adopted the agreement for the export of BOB product in a meeting held at the REGULATORY COUNCIL's headquarters, attended by executives from GB, ESTÉVEZ, WH, BARBADILLO, and GARVEY.  </w:t>
        <w:br/>
        <w:t xml:space="preserve">In this meeting, the distribution of volumes among the aforementioned companies and methods of compensation, quotas for each of them for the BOB market, as well as minimum reference prices were established. In the "Agreement for the Regulation of the BOB Market," signed in November 2001 by GB, WH, GARVEY, BARBADILLO, and ESTÉVEZ, the following was indicated (folios 59 and 114):  </w:t>
        <w:br/>
        <w:t xml:space="preserve">“1. Guarantee the supply of BOB Jerez wines in the markets of the United Kingdom, Holland, Germany, and Belgium during each campaign, through an absolute volume quota assigned to each house, so that no more wine of this type is put on the market than the market can absorb.  </w:t>
        <w:br/>
        <w:t xml:space="preserve">2. Within the limitations established by the volume quota, the wineries commit not to offer below certain reference prices, ensuring a fair profitability for each element of the production chain.  </w:t>
        <w:br/>
        <w:t xml:space="preserve">3. In the case of the 2001/2002 campaign (September to August), the agreed volume quotas and reference price are those listed in annex 1. In subsequent campaigns, both the volume quotas and the reference prices will be modified by mutual agreement between the parties based on market evolution.  </w:t>
        <w:br/>
        <w:t xml:space="preserve">4. It is agreed to create two monitoring bodies, which will meet as frequently as necessary and at least with the minimum frequency detailed below:  </w:t>
        <w:br/>
        <w:t xml:space="preserve">- Executive Commission: formed by the undersigned or other similarly ranked individuals from each of the wineries. It must meet at least bi-monthly.  </w:t>
        <w:br/>
        <w:t xml:space="preserve">- Commercial Commission: formed by the commercial managers of each signing winery. It will meet at least once a month.  </w:t>
        <w:br/>
        <w:t xml:space="preserve">Both commissions will have the operational support of a secretary, not belonging to any of the firms, who will carry out information gathering, coordination, and if necessary, arbitration between the parties.  </w:t>
        <w:br/>
        <w:t xml:space="preserve">5. (…) In order to ensure total transparency between the parties, essential for the proper monitoring of the agreement, the wineries commit to sharing any relevant information. Specifically, prior to the start of the 2001/2002 campaign, the wineries will send the secretary the following information:  </w:t>
        <w:br/>
        <w:t xml:space="preserve">- Detailed list of the BOB labels they supply to the markets covered by the agreement.  </w:t>
        <w:br/>
        <w:t xml:space="preserve">- Detailed list of the supply commitments in force as of the date of the agreement, with information on the client, the number of boxes, the selling price, and the approximate expiration date of each contract.  </w:t>
        <w:br/>
        <w:t>6. The undersigned commit to seeking the achievement of similar agreements in other areas of their commercial activity, with other products and markets equally important for the respective wineries.”</w:t>
      </w:r>
    </w:p>
    <w:p>
      <w:r>
        <w:t xml:space="preserve">The method of calculating the BOB product quotas for export assigned to each participating company in this agreement was to weigh 50% the stocks of each of these companies with the average sales of BOB product to the markets of the agreement during the three years prior to the aforementioned agreement, with negotiations carried out among these companies until reaching the final calculation of BOB quotas for each of them (see the document "The Disagreement" collected during the WH inspection, folio 56).  </w:t>
        <w:br/>
        <w:t xml:space="preserve">To calculate the quotas corresponding to each of the signing companies of the agreement, they exchanged information about clients in each country, quantities sold to each of them, sales figures, and prices. With this information, the REGULATORY COUNCIL prepared the following tables that served to calculate the exact quota corresponding to each of the companies participating in the cartel and which were sent by the REGULATORY COUNCIL to each of them, either expressly indicating the name of those companies regarding the disaggregated information provided, or referring to Wineries A, B, C, D, and E, identifiable by those companies:  </w:t>
        <w:br/>
        <w:t xml:space="preserve">“1. BOB sales in the four largest markets by buyers in the 2000-01 campaign (folio 156) and in the 2001-02 campaign (folios 63 and 64), which included the quantities and current clients and the total quantities that would correspond to each company participating in the cartel according to the quota agreement.  </w:t>
        <w:br/>
        <w:t xml:space="preserve">2. Tables of BOB sales in the 4 largest markets, by buyers, at a specific date. (folios 125 to 127)  </w:t>
        <w:br/>
        <w:t>3. Sales in the United Kingdom + Holland + Germany + Belgium, including disaggregated total sales of each company from 1998 to 2000 and the total for the sector from 1997 to 2000. (folios 65 to 67)</w:t>
      </w:r>
    </w:p>
    <w:p>
      <w:r>
        <w:rPr>
          <w:b/>
        </w:rPr>
        <w:t>[Pages 22–24]</w:t>
      </w:r>
    </w:p>
    <w:p>
      <w:r>
        <w:t xml:space="preserve">4. Distribution of sales quotas according to business lines (folios 95 to 98), which includes disaggregated total sales and BOB sales of each company participating in the cartel, along with the stocks for the year 2000.  </w:t>
        <w:br/>
        <w:t xml:space="preserve">5. Average of four years quota associated with BOB and the quota that would correspond to each of the companies participating in the cartel (folios 96 to 99).  </w:t>
        <w:br/>
        <w:t xml:space="preserve">6. Forecasts for the campaigns with the sales from the previous campaign and taking into account market evolution. (folios 120 to 122 and 161 to 163)  </w:t>
        <w:br/>
        <w:t>7. Sales tables at different dates for each of the companies in the cartel in the countries of the agreement at a specific date, which contains the percentage of quota consumed and the expected percentages of BOB. (folios 105 to 107)</w:t>
      </w:r>
    </w:p>
    <w:p>
      <w:r>
        <w:t xml:space="preserve">Thus, in the 2001/2002 campaign, the following BOB quota was assigned per 9-liter box for each of the five companies in the cartel, including ESTÉVEZ (folios 105 to 107):  </w:t>
        <w:br/>
        <w:t xml:space="preserve">“- BARBADILLO: 415,000  </w:t>
        <w:br/>
        <w:t xml:space="preserve">- WH: 1,020,000  </w:t>
        <w:br/>
        <w:t xml:space="preserve">- GARVEY/SOTO: 300,000  </w:t>
        <w:br/>
        <w:t xml:space="preserve">- GONZÁLEZ-BYASS: 432,000  </w:t>
        <w:br/>
        <w:t xml:space="preserve">- JOSÉ ESTÉVEZ: 450,000  </w:t>
        <w:br/>
        <w:t>Reference Price (F.O.B.): 2,800 pesetas per 9-liter box.”</w:t>
      </w:r>
    </w:p>
    <w:p>
      <w:r>
        <w:t xml:space="preserve">The quota assigned for the 2001/2002 campaign was a percentage of the total BOB business controlled by the six companies in the cartel, once FERRIS was incorporated, as evidenced in the document “AGREEMENT OF SIX” collected during the WH inspection (folio 62):  </w:t>
        <w:br/>
        <w:t xml:space="preserve">WINERY QUOTA % QUOTA BOXES FINAL QUOTA*  </w:t>
        <w:br/>
        <w:t xml:space="preserve">WH 35.9 % 990,000 970,036  </w:t>
        <w:br/>
        <w:t xml:space="preserve">GB 20.9 % 577,000 565,365  </w:t>
        <w:br/>
        <w:t xml:space="preserve">RT (ESTÉVEZ) 16.1 % 445,000 436,026  </w:t>
        <w:br/>
        <w:t xml:space="preserve">B (BARBADILLO) 13.8 % 380,000 372,336  </w:t>
        <w:br/>
        <w:t xml:space="preserve">G (GARVEY) 9.4 % 260,000 252,757  </w:t>
        <w:br/>
        <w:t xml:space="preserve">JF (FERRIS) 3.9 % 107,000 104,842  </w:t>
        <w:br/>
        <w:t xml:space="preserve">TOTAL 100% 2,759,000 2,703,363  </w:t>
        <w:br/>
        <w:t>* Agreed quota on which compensations were made</w:t>
      </w:r>
    </w:p>
    <w:p>
      <w:r>
        <w:t xml:space="preserve">In a document collected during the inspection conducted at WH (folio 75), the quotas assigned to each company in the cartel for the 2001/02 and 2002/2003 campaigns appear, along with the corresponding percentages. For the 2002/2003 campaign, the same companies appear with identical quota percentages but different based on the number of boxes.  </w:t>
        <w:br/>
        <w:t>At the end of the campaign, the quantities of boxes from the previous table had to be adjusted according to the quantities offered in the market, and those wineries that exceeded their quotas would compensate those that had not reached the assigned quota, based on the quantities finally sold by each of the companies. This information, indicating the quantities finally sold with the clients of each company, by countries and brands, was made available to each of the companies participating in the cartel (documents collected during the inspection of GB, folios 191 to 194).</w:t>
      </w:r>
    </w:p>
    <w:p>
      <w:r>
        <w:t xml:space="preserve">Thus, for example, in the cartel meeting held on December 11, 2002, convened by the Secretary General of the REGULATORY COUNCIL and attended by executives from the companies that formed the so-called executive commission of BOB or BOB Executive Committee – that is, executives from GB, WH, BARBADILLO, FERRIS, and ESTÉVEZ – in addition to the aforementioned Secretary General of the REGULATORY COUNCIL, the following topics were discussed (folio 134):  </w:t>
        <w:br/>
        <w:t xml:space="preserve">“(…) • No agreement has been reached on the distribution of quotas.  </w:t>
        <w:br/>
        <w:t xml:space="preserve">[Secretary General REGULATORY COUNCIL] presented a table with the forecasts that each company has prepared and another summary table with the distribution based on that forecast. (By internal mail, I send a copy) We are practically squared. WH and Garvey are falling short, and Barbadillo, Ferris, and especially Estévez, are exceeding.  </w:t>
        <w:br/>
        <w:t xml:space="preserve">• The debate is extensive. [President REGULATORY COUNCIL] reminds that the philosophy and basis of the Table is that each one adjusts their sales, yielding boxes if necessary and compensating small imbalances at the end. [President ESTÉVEZ] does not want to yield boxes for fear of losing clients (Tesco) and [General Director WH] wants boxes and not compensation. In the end, we agreed that [Secretary General REGULATORY COUNCIL] would prepare a new table based on forecasts and real data from the last 2 years and we would meet again.  </w:t>
        <w:br/>
        <w:t xml:space="preserve">• Compensation. In light of the previous paragraph, the majority agrees to set the compensation as soon as possible so that each one can do their calculations. It is widely debated and proposed for study and approval the next day at 75,000 pesetas per bottle for a deviation of up to 10% of the quota and the rest at 300 pesetas per exceeded box. (…)  </w:t>
        <w:br/>
        <w:t>• Next meeting, in principle, on January 7, 2003, at 5:30 PM (confirm OK).”</w:t>
      </w:r>
    </w:p>
    <w:p>
      <w:r>
        <w:t xml:space="preserve">On the other hand, the companies in the cartel, including ESTÉVEZ, agreed on a minimum reference price for BOB of 2,800 pesetas, at which it was decided to sell the 9-liter box (folio 61). In particular, the "official" supplier of each client communicated to the other companies participating in the agreement (BOB Table) the price at which they were going to offer their product.  </w:t>
        <w:br/>
        <w:t xml:space="preserve">In this way, the remaining members of the Table, taking into account that price, offered their products at a higher price, in order to maintain the status quo regarding the clients of each of the companies in the cartel. To ensure that all companies maintained this commitment regarding the minimum reference price, a price monitoring was conducted in multilateral meetings, although this monitoring was also carried out bilaterally, both by phone and in meetings in different forums where product prices were exchanged.  </w:t>
        <w:br/>
        <w:t xml:space="preserve">Thus, for example, on September 25, 2002, a cartel meeting was held at the REGULATORY COUNCIL headquarters, and what was discussed in that meeting was recorded in the document “Report of the Commercial Table. Regulatory Council of September 25, 2002” (documentation collected from the WH inspection, folios 110 to 112), in which the companies that attended are listed - WH, ESTÉVEZ, GB, GARVEY, and BARBADILLO - reference is made to a future executive meeting for September 30, and the execution of the agreement reached regarding prices and clients is evaluated:  </w:t>
        <w:br/>
        <w:t xml:space="preserve">“The price agreement practically starts (somewhat delayed) with the agricultural year (September 1, 2001 - August 31, 2002). Garvey, Barbadillo, and Ferris started with low prices. Some of their clients remain low and in fact continue to be low, as is the case with Barbadildo…  </w:t>
        <w:br/>
        <w:t xml:space="preserve">We talk about two levels of prices and in some way, two speeds depending on the winery that offers, the client, and the market:  </w:t>
        <w:br/>
        <w:t>Euros 1.377 to 1.40</w:t>
      </w:r>
    </w:p>
    <w:p>
      <w:r>
        <w:rPr>
          <w:b/>
        </w:rPr>
        <w:t>[Pages 25–27]</w:t>
      </w:r>
    </w:p>
    <w:p>
      <w:r>
        <w:t>Euros 1.45 to 1.50. (…)”.</w:t>
      </w:r>
    </w:p>
    <w:p>
      <w:r>
        <w:t>Likewise, the companies participating in the cartel reached agreements to divide the clients, as demonstrated by the document titled “The Disagreement AGREEMENT BOB” in which it is stated verbatim, regarding the amount of product that should have been sold during the 2001/02 campaign, according to the agreement reached with competitors and the clients that had to be left in favor of other competitors, that: (folios 56 to 58)</w:t>
      </w:r>
    </w:p>
    <w:p>
      <w:r>
        <w:t>“(…) WH had conducted a 2000/01 campaign of about 1,250 boxes of 9 liters. As new clients were acquired during 2001, our forecast for the 2001/02 campaign was about 1,357 boxes of 9 liters (assuming we maintained all clients). Since we were allocated a quota of 990 thousand, we would have to give up about 360 thousand boxes (own emphasis). The clients we decided to leave to release those 360 thousand boxes were Aldi Netherlands, Aldi Germany, and Laurus, which together totaled exactly 360 thousand boxes (…) However, just before the agreement, G took Makro-Metro from us, and therefore we did not give up Aldi Germany, which were approximately the same boxes, thus leaving Mathiesen the business (…)”.</w:t>
      </w:r>
    </w:p>
    <w:p>
      <w:r>
        <w:t>To carry out the distribution of clients, they needed to have knowledge of their competitors' clients, and this information was obtained through the REGULATORY COUNCIL, which prepared tables with the data provided by the companies. The data was exchanged in meetings held at the REGULATORY COUNCIL headquarters, also exchanging information about the prices applied, sales to clients, brands sold, the importer, and the quantities sold, as well as in meetings held in other locations (such as the GB headquarters) and bilaterally (usually when it came to prices and conditions to clients) by phone (documents collected during inspections of WH and GB folios 112, 154, 155, 191, and 194).</w:t>
      </w:r>
    </w:p>
    <w:p>
      <w:r>
        <w:t>In addition, a compensation system for the BOB quota was established, as appears in the document titled “QUOTA COMPENSATION” collected during the inspection of WH, which consisted of the following (folio 102):</w:t>
      </w:r>
    </w:p>
    <w:p>
      <w:r>
        <w:t>“Correction mechanism to be applied in case of non-compliance (by excess or deficiency) of the quotas assigned in the first campaign.</w:t>
        <w:br/>
        <w:t>1. Global quantification of the outputs in the complete campaign</w:t>
        <w:br/>
        <w:t>2. Readjustment of the quotas in boxes to the total effective volume, maintaining the percentages of each firm over the theoretical volume.</w:t>
        <w:br/>
        <w:t>3. Compensation for the quantities exceeded by some and not reached by others, through the purchase of stocks between the respective wineries.</w:t>
        <w:br/>
        <w:t>4. Valuation of the stocks. Options:</w:t>
        <w:br/>
        <w:t>a) Cost of the wine, based on a price per box of 2,600 pesetas.</w:t>
        <w:br/>
        <w:t>b) Value of the quota barrel in the market</w:t>
        <w:br/>
        <w:t>c) Average of the two previous values”.</w:t>
      </w:r>
    </w:p>
    <w:p>
      <w:r>
        <w:t>To carry out the compensations, various types of forecasts and compensation tables were prepared by the REGULATORY COUNCIL (folios 157 to 159), specifically by the Secretary General of said REGULATORY COUNCIL (internal email from GB December 11, 2002, folio 134):</w:t>
        <w:br/>
        <w:t>- with the calculation of compensations for the different campaigns 2001/02 and 2002/2003 (folios 119, 123, and 195).</w:t>
        <w:br/>
        <w:t>- with the closure of campaigns prepared by countries and companies for the 2001/2002, 2002/2003, and 2003/04 campaigns (folios 116 to 118, 107).</w:t>
        <w:br/>
        <w:t>- sales in the campaigns and sales forecasts in different campaigns by company and by country (folio 124).</w:t>
      </w:r>
    </w:p>
    <w:p>
      <w:r>
        <w:t>These tables were studied by the companies participating in the cartel during the meetings, where last-minute corrections were made. The information prepared by the REGULATORY COUNCIL was exchanged in multilateral meetings attended by executives from the companies participating in the cartel.</w:t>
      </w:r>
    </w:p>
    <w:p>
      <w:r>
        <w:t>An example of what was discussed in one of these meetings is the summary of the meeting held at the REGULATORY COUNCIL headquarters on January 15, 2002, where it was noted that the valuation of the compensations was carried out by agreement of the General Directors of the companies participating in the cartel (folio 104) or the meeting held on February 18, 2003, also at the REGULATORY COUNCIL headquarters, in which executives from BARBADILLO, WH, FERRIS, ESTÉVEZ, and the Secretary General of the REGULATORY COUNCIL participated, where the distribution of the BOB market was discussed, as well as the compensations among the companies participating in the cartel (folios 196 and 197):</w:t>
      </w:r>
    </w:p>
    <w:p>
      <w:r>
        <w:t>“(…) Compensation agreed in the previous meeting of this table.</w:t>
        <w:br/>
        <w:t>75,000 pts./barrel up to 5% of “going over”</w:t>
        <w:br/>
        <w:t>125,000 pts./barrel for everything that exceeds this 5%</w:t>
        <w:br/>
        <w:t>and for boxes 300-500 boxes (proposal requested at the time by Ferry).</w:t>
      </w:r>
    </w:p>
    <w:p>
      <w:r>
        <w:t>According to see the compensation at the end of the JE and WH campaign (They had eaten together)”.</w:t>
      </w:r>
    </w:p>
    <w:p>
      <w:r>
        <w:t>This compensation system was implemented by the companies participating in the cartel, with compensations being paid by some cartel companies to other participating companies in the cartel (internal email from WH, folio 55).</w:t>
      </w:r>
    </w:p>
    <w:p>
      <w:r>
        <w:t>Finally, the method of controlling the implementation of the agreements adopted, as indicated in the document titled “BOB Project” and established in the agreement signed in November 2001, was through meetings where the agreements adopted were monitored (folio 143):</w:t>
      </w:r>
    </w:p>
    <w:p>
      <w:r>
        <w:t>“(…) In that meeting, the final figures of the past campaign were studied, although due to corrections the tables are still not finished (…) in summary we have complied, [General Director WH] has gone over (…), Estevez has also gone over (…), Barbadillo is missing (…) and Garvey is also missing (…)</w:t>
        <w:br/>
        <w:t>The Executive meeting, Monday 20 at 5 p.m., will first address analyzing these data and deciding the distribution of the pie for the current 2002/03 campaign (…).”</w:t>
      </w:r>
    </w:p>
    <w:p>
      <w:r>
        <w:t>The agreement adopted in 2001 by GB, WH, GARVEY, BARBADILLO, and ESTÉVEZ, to which FERRIS later joined, remained incident-free until the end of 2003, when specific breaches began to occur. Specifically, regarding ESTÉVEZ, he temporarily stopped attending the cartel meetings, although during 2004 he continued to exchange information with the other companies in the cartel and respecting their clients.</w:t>
      </w:r>
    </w:p>
    <w:p>
      <w:r>
        <w:t>Year 2005</w:t>
      </w:r>
    </w:p>
    <w:p>
      <w:r>
        <w:t>In 2005, a new stage of contacts began between the companies of the cartel, including ESTÉVEZ, with the relevant role of FEDEJEREZ and the knowledge of the REGULATORY COUNCIL, for the continuity of the BOB table. Thus, ESTÉVEZ participated in the meeting of September 2005 held at the REGULATORY COUNCIL headquarters, where it presented a proposal regarding the BOB segment, limiting the offer, establishing control of contracts and prices, and a pact to maintain the status quo (Document “General Approach for the Constitution of a Marketing Table for Sherry, folios 219 to 227). As indicated by the CNC Council in the Resolution of July 28, 2010, an extraordinary meeting of the executive committee of FEDEJEREZ was held on October 17, 2005, attended by ESTÉVEZ, and in whose minutes it is indicated (excerpt from the Resolution of July 28, 2010, folio 645):</w:t>
      </w:r>
    </w:p>
    <w:p>
      <w:r>
        <w:t>“1. GLOBAL PLAN. FEDEJEREZ NOVEMBER 2,004.-</w:t>
      </w:r>
    </w:p>
    <w:p>
      <w:r>
        <w:rPr>
          <w:b/>
        </w:rPr>
        <w:t>[Pages 28–30]</w:t>
      </w:r>
    </w:p>
    <w:p>
      <w:r>
        <w:t>Global Plan approved by FEDEJEREZ, the Secretary recalls the fundamental lines of the Plan approved by the Executive last November. Of all the measures outlined there, to date we have not been able to develop proposals that address the quota discrimination, the contingent sales, or coordinated positions around the BOB and its continued price decline that hampers the possibilities of the brands and the profitability of Sherry as a whole. The Secretary presents a series of reflections on the situation of the Sector along with a brief exposition of historically adopted measures, which serve as a basis for the debate, after which it is established that, regardless of other measures whose adoption is completely necessary, the priority must be to agree on a formula for quota discrimination (sales freeze).</w:t>
      </w:r>
    </w:p>
    <w:p>
      <w:r>
        <w:t xml:space="preserve">Year 2006 </w:t>
        <w:br/>
        <w:t xml:space="preserve">FEDEJEREZ convened a cartel meeting on May 2, 2006, promoting negotiations and the adoption of agreements, as evidenced by the email sent on May 3, 2006, to ESTÉVEZ, BARBADILLO, LUSTAU, GB, and WH, regarding "Quota Meeting," specifying the progress made regarding the formula, caps, corrective factor, criteria, etc., and setting the next cartel meeting for the 16th (folios 72 to 74). Finally, in mid-May 2006, FEDEJEREZ proposed a "gentlemen's agreement" among five wineries - WH, GB, ESTÉVEZ, BARBADILLO, and LUSTAU - (folios 137 and 138): “(...) As a continuation of last Thursday's meeting (...) completed with bilateral conversations in recent days, we would like to propose a gentlemen's agreement among the 5 companies to which this email is addressed and with this </w:t>
        <w:br/>
        <w:t xml:space="preserve">1. Sit at a marketing table to address the situation of the sector with immediate effects. </w:t>
        <w:br/>
        <w:t xml:space="preserve">2. During its processing, establish a truce in the fight for clients. </w:t>
        <w:br/>
        <w:t xml:space="preserve">3. Not to offer below cost in any case. </w:t>
        <w:br/>
        <w:t xml:space="preserve">4. Not to offer in any case for a period longer than one year. </w:t>
        <w:br/>
        <w:t xml:space="preserve">5. Considering the situation of the markets (UK, Holland, and Germany) and the situation and evolution of their prices, establish reference prices that should be above 1.25, 1.10, and 1.10 respectively. </w:t>
        <w:br/>
        <w:t xml:space="preserve">6. Jointly discuss formulas for balancing supply and demand through quota contingent and through the channel of an interprofessional agreement, whose approval should occur as soon as possible and no later than the next ordinary Plenary of the Council, scheduled for next Tuesday, May 30. </w:t>
        <w:br/>
        <w:t xml:space="preserve">I understand that we are at a key moment, and therefore I use this unconventional route in these cases, but the urgency and significance of the situation justify it (...) </w:t>
        <w:br/>
        <w:t>Today I have had the opportunity to speak with most of you, and I only lack confirmation and approval from two of you on the principles previously expressed; I await your confirmation (...)”.</w:t>
      </w:r>
    </w:p>
    <w:p>
      <w:r>
        <w:t>On May 18, 2006, the acceptance of the conditions of the "gentlemen's agreement" among WH, GB, ESTÉVEZ, LUSTAU, and BARBADILLO, along with GARVEY and PEDRO ROMERO and the probable incorporation of FERRIS, is accredited (folio 146).</w:t>
      </w:r>
    </w:p>
    <w:p>
      <w:r>
        <w:t>On May 22, 2006, a meeting was held, attended by ESTÉVEZ, in which the agreement was finally adopted (folios 135 and 136): “(...) This agreement was prior to the establishment of the BOB table scheduled with the presence of the Commercial Directors (Int. in principle) for Tuesday, May 30, 2006, at 10 a.m. at the headquarters of the Regulatory Council (since operators not from Fedejerez such as Garvey and Ferrys will also participate). Tomorrow in Otero we should discuss for 5 minutes the Tesco/Estevez strategy since, as [Vice President GB] knows, he has made it a condition for being at the table that the prices he gave to Tesco (he says 1.35) are respected and that he remains with Tesco in any case because he claims to have a closed agreement to stay with a price 10 or 20% lower than the lowest received by Tesco. This operation apparently closes the day after tomorrow, May 24, 2006, and if we go lower, we run the risk of ending up without a client and not facilitating the start of the BOB table.”</w:t>
      </w:r>
    </w:p>
    <w:p>
      <w:r>
        <w:t xml:space="preserve">The objectives of the BOB agreement, through the so-called "MARKETING TABLE," are specified in the document formalizing said agreement, dated May 30, 2006 (folios 49 and 160): </w:t>
        <w:br/>
        <w:t xml:space="preserve">“STARTING CONDITIONS: </w:t>
        <w:br/>
        <w:t xml:space="preserve">1. Contingent of the total supply of Sherry wine (Quota) </w:t>
        <w:br/>
        <w:t xml:space="preserve">2. Limitation on the purchase of foreign quota (art. 32.1) </w:t>
        <w:br/>
        <w:t xml:space="preserve">3. Establishment of controls and labeling limitations (sub-registration BOB) </w:t>
        <w:br/>
        <w:t>4. Formation of a table with all potential players, at two levels: commercial and managerial</w:t>
      </w:r>
    </w:p>
    <w:p>
      <w:r>
        <w:t xml:space="preserve">Objectives: </w:t>
        <w:br/>
        <w:t xml:space="preserve">- Maintenance of the Status-quo </w:t>
        <w:br/>
        <w:t>- Progressive revaluation of the BOB business</w:t>
      </w:r>
    </w:p>
    <w:p>
      <w:r>
        <w:t xml:space="preserve">Functions of the Marketing Table: </w:t>
        <w:br/>
        <w:t xml:space="preserve">- Achieve consensus on what that Status-quo is </w:t>
        <w:br/>
        <w:t xml:space="preserve">- Establish target prices by markets </w:t>
        <w:br/>
        <w:t xml:space="preserve">- Coordination of the response to bids </w:t>
        <w:br/>
        <w:t>- Monitoring of market evolution</w:t>
      </w:r>
    </w:p>
    <w:p>
      <w:r>
        <w:t xml:space="preserve">Proposed steps and schedule: </w:t>
        <w:br/>
        <w:t xml:space="preserve">1. Acceptance of established criteria. </w:t>
        <w:br/>
        <w:t xml:space="preserve">2. Information on current contracts: clients, prices, and terms, and any other relevant information. </w:t>
        <w:br/>
        <w:t xml:space="preserve">3. Presentation of the "map" of BOB at the sectoral level: volumes, prices, distribution of clients by wineries, contract expiration, etc. </w:t>
        <w:br/>
        <w:t xml:space="preserve">4. Meeting of sales representatives and agreement on the roadmap to achieve price increases. </w:t>
        <w:br/>
        <w:t>5. Proposal to the managers' table and agreement on actions.”</w:t>
      </w:r>
    </w:p>
    <w:p>
      <w:r>
        <w:t>Although ESTÉVEZ did not attend the meeting in which the Marketing Table was formally established on May 30, 2006, he did attend the preparatory meetings on May 2, 18, and 22, 2006, in which the companies adopted the agreements, also expressly ratifying the subsequent agreements of 2007, as was considered accredited by the Council of the CNC (folios 568 and 698).</w:t>
      </w:r>
    </w:p>
    <w:p>
      <w:r>
        <w:t>The local press of Jerez de la Frontera would echo this agreement, as evidenced by the email sent on June 5, 2006, by the President of the REGULATORY COUNCIL to WH, GB, LUSTAU, BARBADILLO, FERRIS, PEDRO ROMERO, GARVEY, and the General Director of FEDEJEREZ (folios 217 and 218): “(...) we have started this week with a breach of the confidentiality that I had requested from all of you regarding the subject matter. So much so that apart from speaking in detail with the journalist [...] in the Diario de Jerez about the objectives of the table, he even gives the name we had defined in the</w:t>
      </w:r>
    </w:p>
    <w:p>
      <w:r>
        <w:rPr>
          <w:b/>
        </w:rPr>
        <w:t>[Pages 31–33]</w:t>
      </w:r>
    </w:p>
    <w:p>
      <w:r>
        <w:t>this week with a breach of confidentiality that I had requested from all of you regarding the matter at hand. So much so that, apart from discussing in detail the objectives of the table, the journalist […] in the Diario de Jerez even gives the name we had defined in the last meeting. I am aware of the importance of constituting the commission, but in light of this evidence of lack of confidentiality among those of us at the table, I believe it is most appropriate to suspend the meeting scheduled for the 8th at 9:00 hours at the Council.”</w:t>
      </w:r>
    </w:p>
    <w:p>
      <w:r>
        <w:t>As already indicated, in the BOB Table, the exchange of information regarding clients and prices was frequent, as evidenced by the following internal email from GB dated June 15, 2006, which demonstrates that ESTÉVEZ participated in these exchanges of information: (folio 148) “(…) The price that Estévez said he was selling at TESCO was €1.42 per bottle (campaign 2001/2002). It is the lowest price of all contracts in England at that time, according to the information that was put on the table (…)”.</w:t>
      </w:r>
    </w:p>
    <w:p>
      <w:r>
        <w:t>Year 2007</w:t>
      </w:r>
    </w:p>
    <w:p>
      <w:r>
        <w:t>On April 11, 2007, a meeting was held at the FEDEJEREZ headquarters, attended by executives from BARBADILLO, WH, GB, ESTÉVEZ, LUSTAU, and BELLAVISTA and ZRM, as well as the General Director of FEDEJEREZ (folio 229). In this meeting, the representative of GB took notes, sending an email that same day to other executives of this company, summarizing the content of the meeting, stating verbatim the following (folio 152) “I just left a sector meeting at FEDEJEREZ (…) The boxes of each were mentioned: W&amp;h = 500,000 Estévez = 450,000 Barbadillo = 275,000 Caballero = 225,000 Garvey = 225,000 GB = 190,000 (…) The cooperative caydsa, ferries, and pedro romero are excluded. The agreement would be Period = from now until 31/08/08, renewable until the quota plan lasts. Clients = maintain the current status quo. Price = set a minimum price of, for example, €1.10. We have agreed to respond to BT on Friday, so I ask that we discuss it on Friday in the meeting to decide GB's position.”</w:t>
      </w:r>
    </w:p>
    <w:p>
      <w:r>
        <w:t>In this meeting, as evidenced by the email sent by the General Director of FEDEJEREZ to GB, BARBADILLO, WH, ESTÉVEZ, and LUSTAU on April 20, 2007, the aforementioned companies confirmed their desire to comply with the terms of the agreement reached, pending confirmation only from BELLAVISTA and ZRM: “All of you copied above have confirmed on behalf of your companies the desire to comply with the terms of the agreement proposed during the meeting last Wednesday, the 11th. Yesterday afternoon I had a very interesting conversation with Garvey in the person of [Managing Director]. The only thing he told me was the following: - The day after the meeting, he faithfully conveyed the message to both [General Director GARVEY] and [Consultant GARVEY]. - The response on their part was to analyze the proposal and provide a response (…) - I did not perceive any negative or pessimistic tone in the conversation with Rafael, and therefore I remain optimistic at this moment. In light of the above, I propose: 1.- Wait for Garvey's response. We have agreed to talk again this afternoon (since we have been waiting until now, it does no harm to continue waiting) 2.- By "wait," I mean to validate the terms of the agreement. I will not understand if low offers are being made to clients that are being negotiated at this time, regardless of the client or the winery in question (…)”.</w:t>
      </w:r>
    </w:p>
    <w:p>
      <w:r>
        <w:t>To carry out what was agreed upon in this meeting of April 11, 2007, the following agreements were subsequently adopted: - Setting the time period of this agreement, initially until August 31, 2008, later extended until September 2010. (folios 139, 140, 142, 152, 153) - Non-aggression pact, consisting of not making offers to clients of the companies participating in this cartel. (folio 139) - Price increase, maintaining a minimum price of €1.10 per bottle and a gradual increase in prices, reaching an agreement on minimum prices for BOB of €1.25 per bottle for the United Kingdom and €1.10 per bottle for the rest of Europe. (folios 150 and 152) - It was agreed to limit the sales quota and quantities, establishing a policy of restricting supply through a quota of the BOB product assigned to each participating company in the cartel for sale in foreign markets (this meant reducing the quota from 137 thousand boots to 112 thousand, which were the sales in 2007, that is, a reduction of the quotas by 82%. (folios 140 and 152) - Exchange of information about clients. (folios 141, 148, 151, and 153) - Exchange of information about prices. (folios 210, 215, 216, 141, 142, 148) FEDEJEREZ acted as an arbitrator in situations where any of the companies participating in the cartel complained that others had taken a client or informed the companies of the intentions of other cartel companies with which equilibrium had not been reached. An example of this would be the forwarding by FEDEJEREZ to ESTÉVEZ of the email sent to him by a client of ESTÉVEZ, who was negotiating with GARVEY, requesting advice on whether it was true that there was a maximum amount of product (quota) to be sold by the companies in the sector and whether this would lead to a decrease in product in the sector and, therefore, whether GARVEY would have the capacity to supply him with this product in the coming years (folio 214). Another example is the email sent by the General Director of FEDEJEREZ, regarding the conversations held between the companies participating in the cartel, in which it is literally stated the following (folio 169): “(…) As of today, the 4 operators with the capacity to offer in the FEDEJEREZ market have expressed your decision and intention to sit at a table to reach an agreement. I believe I summarize everyone's will as follows: Price increase, based on respect for clients. As we have already discussed, the situation now depends on the fifth operator (G) (…). Excluded from this approach are 2 operators with some capacity to offer PR with whom contacts are being maintained and C, with whom I sincerely understand it is not possible to talk (…).”</w:t>
      </w:r>
    </w:p>
    <w:p>
      <w:r>
        <w:t>On October 22, 2007, another meeting was held at the FEDEJEREZ headquarters in which GB, BELLAVISTA, and ZRM, ESTÉVEZ, LUSTAU, and the General Director of FEDEJEREZ participated regarding the agreements reached concerning BOB, specifically, the maintenance of the status quo regarding the non-aggression pact for the export under private label so that the companies participating in the cartel would not lower prices, maintaining each winery's clients and the establishment of new price increases.</w:t>
      </w:r>
    </w:p>
    <w:p>
      <w:r>
        <w:rPr>
          <w:b/>
        </w:rPr>
        <w:t>[Pages 34–36]</w:t>
      </w:r>
    </w:p>
    <w:p>
      <w:r>
        <w:t>with the rest of the group.</w:t>
      </w:r>
    </w:p>
    <w:p>
      <w:r>
        <w:t>2.- That you inform the team that any offer must be coordinated with the rest of the companies present at the table.</w:t>
      </w:r>
    </w:p>
    <w:p>
      <w:r>
        <w:t>This agreement is crucial for maintaining the stability of our market positions and ensuring that we can collectively manage pricing strategies without undercutting each other. The cartel's strength lies in our ability to present a united front to the market, and any deviation from this strategy could jeopardize our objectives.</w:t>
      </w:r>
    </w:p>
    <w:p>
      <w:r>
        <w:t>In summary, the cartel's actions are aimed at preserving the status quo, increasing prices, and limiting competition among the participating companies. The ongoing communication and coordination among the members are essential to the success of this agreement, and it is imperative that all parties adhere to the established terms to avoid any potential conflicts or disruptions in the market.</w:t>
      </w:r>
    </w:p>
    <w:p>
      <w:r>
        <w:rPr>
          <w:b/>
        </w:rPr>
        <w:t>[Pages 37–39]</w:t>
      </w:r>
    </w:p>
    <w:p>
      <w:r>
        <w:t>or that they may with their clients, although a minimum of €1.2 per bottle was discussed, currently the lows are at €0.90. (...)</w:t>
      </w:r>
    </w:p>
    <w:p>
      <w:r>
        <w:t>With all this, I understand that two things need to be done:</w:t>
        <w:br/>
        <w:t>1.- You should inform both the National and International teams not to make any offers for BOB from Jerez without discussing it with you beforehand, and you should let us know before; so that I can contact the affected companies (...)</w:t>
        <w:br/>
        <w:t>2.- Ask [GB] to calculate what quota we will have left over and when you have it, discuss it to see how we want to negotiate its sale (...).</w:t>
      </w:r>
    </w:p>
    <w:p>
      <w:r>
        <w:t>Year 2008</w:t>
        <w:br/>
        <w:t>To execute these agreements, the companies participating in the cartel exchanged information regarding each of their clients, the prices offered, and forecasts for later dates, as evidenced in the internal email from GB dated January 16, 2008 (folio 141):</w:t>
        <w:br/>
        <w:t>“I am sending you a brief summary of the BOB meeting I had last Monday.</w:t>
        <w:br/>
        <w:t>The attendees were [President ESTÉVEZ], [General Director W&amp;H], [General Director LUSTAU], and myself, at the Real Tesoro facilities. The reason for the meeting was [President ESTÉVEZ]'s panic about presenting a price increase to TESCO. He indicated that he would propose a price increase for March without specifying the amount. [TESCO Executive] sent him a letter indicating that they have a supplier (GARVEY) who has offered them €0.91 per bottle for the BOB and €1.19 for the Finest (...)”</w:t>
        <w:br/>
        <w:t>“(...) Real Tesoro [President ESTÉVEZ] is currently selling the BOB at €1 and the Finest at €1.38.</w:t>
        <w:br/>
        <w:t>I indicated that we are currently selling the Finest at €1.47 and we have announced an increase to €1.96. I also indicated that we were selling to Somerfield at €1.66 and we have announced an increase to €1.75.</w:t>
        <w:br/>
        <w:t>We all agreed that the minimum price in the UK should be €1.35. [President ESTÉVEZ] indicated after extensive discussion that he would give €1.30 in March and €1.50 in September.</w:t>
        <w:br/>
        <w:t>At Waitrose, they are selling at €1.60 (...)”.</w:t>
      </w:r>
    </w:p>
    <w:p>
      <w:r>
        <w:t>On April 14, 2008, FEDEJEREZ called a meeting at the Hotel Jerez, attended by executives from ESTÉVEZ, WH, BELLAVISTA, and ZRM (folios 210 and 211). That same morning, prior to the meeting, the General Director of FEDEJEREZ sent an email to ESTÉVEZ and WH indicating the following (folio 212):</w:t>
        <w:br/>
        <w:t>“(...) On Friday, I met with [General Director GARVEY], who was accompanied by [GARVEY], who seems to be taking over the Jerez business and the Wine Group in general after the departure of [Consultant GARVEY].</w:t>
        <w:br/>
        <w:t>His willingness to meet is clear.</w:t>
        <w:br/>
        <w:t>What I have conveyed and tried to convince over the past few months is the need for all of you to 'generate trust' and with it an appropriate climate for agreement. We need to go step by step.</w:t>
        <w:br/>
        <w:t>Their objectives for the meeting are as follows:</w:t>
        <w:br/>
        <w:t>1) Convey their commitment of €15. (Perhaps you would need to go into greater depth differentiated by countries)</w:t>
        <w:br/>
        <w:t>2) Request a temporary solution to their situation; Huge stocks of aged or in-process wine, changing the rules of the game mid-game (removal of the 22%), need to release wine from a financial perspective.</w:t>
        <w:br/>
        <w:t>The first thing they requested was to return to the 22%, something that I understand is, at this point, difficult.</w:t>
        <w:br/>
        <w:t>My proposal was that he defend not the 22% but the possibility that the interpretation of the current circular would allow at least guaranteeing the sales of the previous year.</w:t>
        <w:br/>
        <w:t>Reserved explanation: The appeal by Garvey before the commercial court - which has prospered although it is being appealed - forces the CR to suspend the circular on quotas that you all know. Without it, what exists is the previous decision of the Plenary, that is, the one provisionally agreed in November; the 75% of the quota that corresponded last year. This solution is undoubtedly worse than interpreting that with the current circular - appealed and in the process of precautionary suspension - it is interpreted in favor of at least guaranteeing the sales of the previous campaign.</w:t>
        <w:br/>
        <w:t>Furthermore, according to what [General Director GARVEY] told me, if a solution were found, his father would find it very reasonable to withdraw the appeals to the Higher Court, Commercial Court, and before the CNC.</w:t>
        <w:br/>
        <w:t>Moreover, I believe that if you approach the issue so that the "stored" butts for sales from winery to winery could have differentiated treatment (that they would not count for Garvey's quota as a selling winery, but would for the buying winery), I believe they would go along with it. They seem convinced that they would have clients for those butts.</w:t>
        <w:br/>
        <w:t>I think a gesture on your part even to reach a reasonable agreement for everyone so that you can buy stock from them now or in the future would be important.</w:t>
        <w:br/>
        <w:t>3) They are afraid that the current BOB sales will be lost next year, and I think it is very important that you make your support clear and provide guarantees. By the way, [President ESTÉVEZ], they are still wary about the Canary Islands-Africa issue; I think it is important that you give him confidence on this matter.</w:t>
        <w:br/>
        <w:t>4) It would be positive to talk to him about crisis distillation as a possible solution to part of their stocks and the support we could provide in that regard from the federation.</w:t>
        <w:br/>
        <w:t>In conclusion;</w:t>
        <w:br/>
        <w:t>1.- Generate trust</w:t>
        <w:br/>
        <w:t>2.- See if you can support finding a solution for Garvey, as indicated above, which would resolve the appeals (this is very important!!) and on the other hand would not distort the market.</w:t>
        <w:br/>
        <w:t>3.- Generate trust for their BOB</w:t>
        <w:br/>
        <w:t>4.- Bet on agreements for the sale of stocks or crisis distillation; to alleviate their situation.</w:t>
        <w:br/>
        <w:t>Since the only day that [General Director GARVEY] and both of you could this week was today, I confirmed the date. However, I will not be able to be present (...).</w:t>
      </w:r>
    </w:p>
    <w:p>
      <w:r>
        <w:t>Thus, regarding ESTÉVEZ's specific participation in this cartel, and as indicated in the CNC Council Resolution of July 28, 2010, their participation has been accredited since at least November 2001, and regarding the moment of concluding their participation, it has been established that in the meeting of April 11, 2007, a time frame of the adopted agreement was set until August 31, 2008, renewable until the quota plan lasted (folios 152 and 168), this time frame was subsequently extended until September 2010, as evidenced in the internal email from GB dated November 2, 2007 (folio 153):</w:t>
        <w:br/>
        <w:t>“(...) On October 22, we reached an agreement to respect each other for three years, between Real Tesoro, Williams &amp; Humbert, Caballero, and GB.</w:t>
        <w:br/>
        <w:t>Garvey and Barbadillo are pending to join, who to this day have said nothing.”</w:t>
        <w:br/>
        <w:t>This date was confirmed in a subsequent cartel meeting held on December 11, 2007, attended by executives from GB, ESTÉVEZ, LUSTAU, WH, BARBADILLO, FERRIS, PEDRO ROMERO, and CAYDSA, as literally indicated in the internal email sent by an executive from GB (folio 139):</w:t>
        <w:br/>
        <w:t>“(...) Everyone agreed to subscribe to a non-aggression pact until September 31, 2010 (...)”.</w:t>
      </w:r>
    </w:p>
    <w:p>
      <w:r>
        <w:rPr>
          <w:b/>
        </w:rPr>
        <w:t>[Pages 40–42]</w:t>
      </w:r>
    </w:p>
    <w:p>
      <w:r>
        <w:t>cartel para fijar precios, limitar la producción y repartirse el mercado, lo que constituye una restricción de la competencia en el sentido del artículo 1 de la Ley 16/1989, el artículo 1 de la LDC y el artículo 101 del TFUE.</w:t>
      </w:r>
    </w:p>
    <w:p>
      <w:r>
        <w:t>CUARTO. CONCLUSIONES</w:t>
        <w:br/>
        <w:t>En virtud de lo expuesto, se concluye que las prácticas llevadas a cabo por JOSÉ ESTÉVEZ, S.A. y las demás entidades sancionadas en el expediente S/0091/08 constituyen una infracción única y continuada de las normas de competencia, prohibida por la legislación aplicable. Por lo tanto, se propone la declaración de la existencia de dicha infracción y la imposición de la correspondiente sanción a JOSÉ ESTÉVEZ, S.A. conforme a lo establecido en la normativa vigente.</w:t>
      </w:r>
    </w:p>
    <w:p>
      <w:r>
        <w:t>QUINTO. NOTIFICACIÓN</w:t>
        <w:br/>
        <w:t>Finalmente, se ordena la notificación de la presente resolución a JOSÉ ESTÉVEZ, S.A. y a las demás entidades implicadas, así como su publicación en el Boletín Oficial del Estado, de conformidad con lo dispuesto en el artículo 63.2 de la LDC.</w:t>
      </w:r>
    </w:p>
    <w:p>
      <w:r>
        <w:rPr>
          <w:b/>
        </w:rPr>
        <w:t>[Pages 43–45]</w:t>
      </w:r>
    </w:p>
    <w:p>
      <w:r>
        <w:t>the competition among the participating companies, which is sufficient to alter free competition in the market, resulting in a loss of independence with which market operators must act.</w:t>
      </w:r>
    </w:p>
    <w:p>
      <w:r>
        <w:t>The Competition Directorate considers that in no case could the practices analyzed in this sanctioning file benefit from the application of the provisions of Article 1.3 of the LDC or 101.3 of the TFEU, as the practices under investigation have not contributed to improving the production or marketing and distribution of goods and services or to promoting technical and economic progress, generating benefits for consumers or other companies in the sector, nor are they indispensable for obtaining efficiency improvements.</w:t>
      </w:r>
    </w:p>
    <w:p>
      <w:r>
        <w:t>According to the Competition Directorate, ESTÉVEZ's participation in these behaviors extends from November 2001 to July 2008, constituting a single and continuous infringement committed during the validity of Law 16/1989 and the LDC.</w:t>
      </w:r>
    </w:p>
    <w:p>
      <w:r>
        <w:t>Finally, the Competition Directorate holds ESTÉVEZ (along with the other companies and entities already sanctioned in the previous file S/0091/08 Fine Wines of Jerez) responsible for this infringement, corresponding to a sanction for a very serious infringement in accordance with the provisions of Article 62.4.b) of the LDC.</w:t>
      </w:r>
    </w:p>
    <w:p>
      <w:r>
        <w:t>FOURTH. ASSESSMENT OF THE COMPETITION CHAMBER</w:t>
      </w:r>
    </w:p>
    <w:p>
      <w:r>
        <w:t>4.1.- On the unlawfulness of the conduct</w:t>
      </w:r>
    </w:p>
    <w:p>
      <w:r>
        <w:t>Article 1 of the LDC, in a manner analogous to Article 101 of the TFEU,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r>
    </w:p>
    <w:p>
      <w:r>
        <w:t>a) The direct or indirect fixing of prices or other commercial or service conditions.</w:t>
      </w:r>
    </w:p>
    <w:p>
      <w:r>
        <w:t>b) The limitation or control of production, distribution, technical development, or investments.</w:t>
      </w:r>
    </w:p>
    <w:p>
      <w:r>
        <w:t>c) The allocation of markets or sources of supply.</w:t>
      </w:r>
    </w:p>
    <w:p>
      <w:r>
        <w:t>d) The application, in commercial or service relationships, of unequal conditions for equivalent services that place some competitors at a disadvantage compared to others.</w:t>
      </w:r>
    </w:p>
    <w:p>
      <w:r>
        <w:t>e) The subordination of the conclusion of contracts to the acceptance of supplementary services that, by their nature or according to trade usages, are not related to the object of such contracts.</w:t>
      </w:r>
    </w:p>
    <w:p>
      <w:r>
        <w:t>In the fourth additional provision of the LDC, in its section 2, it is expressly indicated that, for the purposes of this Law, "a cartel is understood to be any secret agreement between two or more competitors whose object is the fixing of prices, production or sales quotas, market allocation, including fraudulent bids, or the restriction of imports or exports."</w:t>
      </w:r>
    </w:p>
    <w:p>
      <w:r>
        <w:t>As doctrine and jurisprudence have pointed out, the purpose of these agreements is to limit or eliminate competition among the participating companies, with the aim of increasing prices and profits.</w:t>
      </w:r>
    </w:p>
    <w:p>
      <w:r>
        <w:t>The Supreme Court ruling of March 19, 2013 FD 5º (appeal 385/2011) clarifies various issues related to the concept of cartel:</w:t>
      </w:r>
    </w:p>
    <w:p>
      <w:r>
        <w:t>"The concept of 'secret' must be evaluated in relation to the context: it is obvious that the 'secret' among the participants in the unlawful conduct is not relevant, but rather the 'secret' in relation to those who should not know that the bidders (in this case) have agreed not to compete. In this case, the agreements were secret to the other actors in the market (those supplying raw materials, distributors and marketers, and especially customers) for consumers and the competition authorities.</w:t>
      </w:r>
    </w:p>
    <w:p>
      <w:r>
        <w:t>(...)</w:t>
      </w:r>
    </w:p>
    <w:p>
      <w:r>
        <w:t>Regarding the lack of anti-competitive object, national and community jurisprudence has reiterated that what is relevant is the 'capacity' to restrict free competition, and in this case, there is no doubt that the disputed exchanges of information, as the Administration points out, can facilitate the alignment of behaviors that should be competitive.</w:t>
      </w:r>
    </w:p>
    <w:p>
      <w:r>
        <w:t>Furthermore, the ruling establishes the following:</w:t>
      </w:r>
    </w:p>
    <w:p>
      <w:r>
        <w:t>"...In the judgment delivered in case C-204/00 Aalborg Portland A/S and others, the Court of Justice declared that to prove participation in a cartel, it is sufficient for the Commission to demonstrate that the company participated in meetings in which anti-competitive agreements were concluded without expressing its opposition to such agreements. If this participation has been proven, the burden of proof lies with the company, which must demonstrate that its participation in the meetings lacked anti-competitive intent, and for this purpose, it must show that it participated with another legitimate purpose. Such proof has not been provided by the appellant."</w:t>
      </w:r>
    </w:p>
    <w:p>
      <w:r>
        <w:t>The National Court has occasionally set the standard of proof required of the CNMC in the case of cartels: (SAN of 27.09.12 Rec. 189/2012), it has stated that:</w:t>
      </w:r>
    </w:p>
    <w:p>
      <w:r>
        <w:t>"The lack of direct evidence that the plaintiff was part of a cartel does not prevent it from actually being so, and it results from its behavior, as it followed the actions of the other companies regarding prices, BAF, rates, and market allocation."</w:t>
      </w:r>
    </w:p>
    <w:p>
      <w:r>
        <w:t>Jurisprudence also indicates that it is sufficient that the intention to reach an agreement whose object is the execution of the relevant behaviors has been revealed (SAN, February 5, 2013, Fluid Pumps, appeal 420/2011, FD 10):</w:t>
      </w:r>
    </w:p>
    <w:p>
      <w:r>
        <w:t>"Therefore, it is not necessary to consider the existence of an infringement that an agreement has been reached on the specific elements of the agreement and that it was agreed to implement it, but rather that the existence of meetings in which the companies expressed their intention to reach an agreement contrary to competition is sufficient."</w:t>
      </w:r>
    </w:p>
    <w:p>
      <w:r>
        <w:t>For the purposes of Article 1 of the LDC, there is an agreement when the parties associate in a common plan that limits or may limit their individual commercial policy by determining their mutual patterns of action or abstention in the market. It is not necessary for such an agreement to be in writing, nor for it to be formal, nor for contractual sanctions or measures to have been established to ensure compliance with what has been agreed. Furthermore, the fact of the agreement may be explicit or implicit in the behavior of the parties adopting such an agreement, both once the agreement has been adopted or in the negotiation process leading to the final agreement.</w:t>
      </w:r>
    </w:p>
    <w:p>
      <w:r>
        <w:t>In the present file, practices prohibited by Article 1 of the aforementioned laws, as well as by Article 101 of the TFEU, have been analyzed, which fall within the definition of cartel, in that the object of the same consisted of the adoption of a series of agreements among the companies participating in the cartel, namely, WH, GB, BARBADILLO, BELLAVISTA, and ZRM, ESTÉVEZ, LUSTAU, PEDRO ROMERO, FERRIS, and CAYDSA, with the collaboration of the REGULATORY COUNCIL and FEDEJEREZ, in relation to the exports of wine with D.O. Jerez and Manzanilla with private label or distributor brand, referred to as the BOB market, implementing various agreements aimed at coordinating their actions, eliminating competition among them and adopting common positions against clients and other competitors.</w:t>
      </w:r>
    </w:p>
    <w:p>
      <w:r>
        <w:t>As has been demonstrated, the companies in the cartel, including ESTÉVEZ, held numerous meetings with the aim of maintaining the status quo regarding clients and increasing BOB prices, which was achieved by setting a minimum price and restricting the amount of product present in the market. This conduct consists of a coordinated action aimed at eliminating competition among the participating companies.</w:t>
      </w:r>
    </w:p>
    <w:p>
      <w:r>
        <w:rPr>
          <w:b/>
        </w:rPr>
        <w:t>[Pages 46–48]</w:t>
      </w:r>
    </w:p>
    <w:p>
      <w:r>
        <w:t>en el exterior, así como la limitación de la oferta de producto BOB en el mercado.</w:t>
      </w:r>
    </w:p>
    <w:p>
      <w:r>
        <w:t>El acuerdo se consolidó a través de reuniones periódicas en las que se revisaban los resultados de las acciones llevadas a cabo y se ajustaban las estrategias según la evolución del mercado. Se establecieron mecanismos de control para asegurar el cumplimiento de los acuerdos, incluyendo sanciones para aquellos que no respetaran los compromisos asumidos.</w:t>
      </w:r>
    </w:p>
    <w:p>
      <w:r>
        <w:t>La participación de ESTÉVEZ en este esquema de colaboración se mantuvo activa, y se evidenció en la documentación intercambiada y en las decisiones tomadas en conjunto con las demás empresas del cartel. La estrategia de limitar la competencia y fijar precios mínimos se tradujo en un aumento significativo de los márgenes de beneficio para las empresas involucradas, a expensas de los consumidores finales, quienes se vieron privados de una competencia efectiva en el mercado.</w:t>
      </w:r>
    </w:p>
    <w:p>
      <w:r>
        <w:t>En resumen, el acuerdo entre las empresas del cartel, incluyendo a ESTÉVEZ, se caracterizó por una serie de prácticas anticompetitivas que buscaban controlar el mercado de productos BOB, limitando la oferta y fijando precios, lo que resultó en un detrimento de la libre competencia y un impacto negativo en los consumidores.</w:t>
      </w:r>
    </w:p>
    <w:p>
      <w:r>
        <w:rPr>
          <w:b/>
        </w:rPr>
        <w:t>[Pages 49–51]</w:t>
      </w:r>
    </w:p>
    <w:p>
      <w:r>
        <w:t>regarding exports, as the increase in BOB prices also raised the prices of private labels.</w:t>
      </w:r>
    </w:p>
    <w:p>
      <w:r>
        <w:t>Thus, the data obtained by the companies participating in the cartel through the exchange of information has been taken into account by them and has determined their behavior in the market over time, not only concerning the BOB product but also in relation to the increase in prices of private labels, both in the domestic market and regarding exports, eliminating the degree of uncertainty for the companies in their operations in the market.</w:t>
      </w:r>
    </w:p>
    <w:p>
      <w:r>
        <w:t>From 2006 to 2008, numerous meetings and contacts took place to implement the agreement, in which ESTÉVEZ participated and attended, as evidenced in the established facts of this Resolution.</w:t>
      </w:r>
    </w:p>
    <w:p>
      <w:r>
        <w:t>It should also be noted that the companies in the cartel are the main producers of Jerez and Manzanilla wine and, in the specific case of the BOB product, they have a joint market share of over 90%.</w:t>
      </w:r>
    </w:p>
    <w:p>
      <w:r>
        <w:t>Furthermore, it should be highlighted that the companies in the cartel were aware of the illegality of their conduct and knew that this agreement had to be kept secret. In fact, to maintain the confidentiality of the meetings, they were convened directly by the top executives of the companies participating in the cartel (Presidents and General Directors) or by the governing bodies of the REGULATORY COUNCIL or FEDEJEREZ.</w:t>
      </w:r>
    </w:p>
    <w:p>
      <w:r>
        <w:t>4.2.- Duration of the conduct and prescription</w:t>
      </w:r>
    </w:p>
    <w:p>
      <w:r>
        <w:t>Regarding the duration of the infringement, it has been established that the start of ESTÉVEZ's participation in this cartel is situated in November 2001, at which point the criteria for achieving it were set and an agreement was signed, as evidenced in the PCH and not contradicted by the allegations presented by said company, agreeing together with GB, BARBADILLO, GARVEY, and WH, to establish the BOB quota (the number of boxes that each of the companies participating in the cartel could export under the client's brand), assigning a quota for each company in the cartel concerning the export markets to the Netherlands, the United Kingdom, Germany, and Belgium for the 2001/02 campaign, as well as a reference price for BOB.</w:t>
      </w:r>
    </w:p>
    <w:p>
      <w:r>
        <w:t>As for its conclusion, this Chamber, like the Competition Directorate, considers that ESTÉVEZ, along with the other entities participating in this cartel, as established in the aforementioned Resolution of the CNC Council of July 28, 2010, in Expte. S/0091/08 Fine Wines of Jerez, ended this cartel on July 16, 2008, at which point the aforementioned file was initiated and inspections were carried out at the premises of WH, GB, LUSTAU, and FEDEJEREZ, with no evidence of any public statement by ESTÉVEZ indicating that it had concluded its participation in the cartel prior to that date.</w:t>
      </w:r>
    </w:p>
    <w:p>
      <w:r>
        <w:t>Therefore, it has been established, without the allegations presented by ESTÉVEZ having contradicted what was indicated in the PR, that the aforementioned company participated in this cartel from November 2001 to July 2008, constituting a single and continuous infringement, prohibited under Article 1 of Law 16/1989 and the LDC, as well as Article 101 of the TFEU.</w:t>
      </w:r>
    </w:p>
    <w:p>
      <w:r>
        <w:t>4.3. On the non-existence of a single and continuous infringement constituting a cartel</w:t>
      </w:r>
    </w:p>
    <w:p>
      <w:r>
        <w:t>ESTÉVEZ rejects the existence of a single and continuous infringement. It insists that during a period of three years and seven months, between September 2003 and April 2007, it did not participate in any anti-competitive conduct, and ESTÉVEZ cannot be blamed for infringements committed by other companies during that period. Specifically, ESTÉVEZ argues that during that period it was out of the BOB table, although it acknowledges that it participated in quota meetings. From 2007 onwards, it participated in BOB meetings but no anti-competitive agreement was reached in them.</w:t>
      </w:r>
    </w:p>
    <w:p>
      <w:r>
        <w:t>These allegations are not acceptable in the opinion of this Chamber, as the existence of a single and continuous infringement constituting a cartel has already been expressly confirmed by both the AN and the TS in the file S/0091/08 FINE WINES OF JEREZ.</w:t>
      </w:r>
    </w:p>
    <w:p>
      <w:r>
        <w:t>Firstly, regarding the non-existence of BOB table meetings during 2004, coinciding with the reflection period that occurred after disagreements arose among some of the companies participating in the cartel, including ESTÉVEZ, the AN has stated:</w:t>
      </w:r>
    </w:p>
    <w:p>
      <w:r>
        <w:t>"During that intermediate period, actions were taken aimed at achieving the objective of reducing the wine that could be marketed, which materialized in the alteration of Article 32.1 of the Regulation to allow the limits to be established by the CR to be not only annual but multi-annual, and that the marketing limits were not based solely on stocks but on the sales that each operator had made in previous campaigns. Therefore, even if the BOB Table did not meet, it cannot be appreciated that the infringement has ended since during that period a review of the Strategic Plan of Jerez was prepared and agreed upon with all the members of FEDEJEREZ to carry out actions for the establishment of a quota on sales (...)".</w:t>
      </w:r>
    </w:p>
    <w:p>
      <w:r>
        <w:t>And expressly the TS refers to community jurisprudence and the link of complementarity between the investigated behaviors when confirming the judgments issued by the AN after the appeals filed against the aforementioned Resolution of the CNC Council of July 28, 2010:</w:t>
      </w:r>
    </w:p>
    <w:p>
      <w:r>
        <w:t>"Community jurisprudence has established that to assess behaviors, it must be taken into account whether they 'present a link of complementarity, in the sense that each of them is intended to address one or several consequences of the normal functioning of competition, and contribute, through interaction, to the realization of the set of effects contrary to competition sought by their authors, within the framework of a global plan aimed at a single objective.' (Paragraph 144 of the judgment of the General Court of June 7, 2012 Coats Holding) (...) B) In the aforementioned Judgment of January 30, 2015, we expressed our interpretative criterion on the same debated issue, the existence of a continuous infringement, which confirmed the assessment of the Chamber of first instance that, in turn, corroborates that of the National Competition Commission (...)</w:t>
      </w:r>
    </w:p>
    <w:p>
      <w:r>
        <w:t>We must refer to the legal considerations then expressed that summarize the reasons of the Chamber and are transferable to the conduct now being judged:</w:t>
      </w:r>
    </w:p>
    <w:p>
      <w:r>
        <w:t>(...) the cartel was divided into several time periods. A first time period that would extend from May/November 2001 to March 2004, and a second period that would cover from mid-2005 to July 2008 in which the illicit agreements of the first period would be 'revitalized,' maintaining the essence of the cartel since November 2001. The CNC links both stages with what it calls the 'reflection period' that would extend from...</w:t>
      </w:r>
    </w:p>
    <w:p>
      <w:r>
        <w:rPr>
          <w:b/>
        </w:rPr>
        <w:t>[Pages 52–54]</w:t>
      </w:r>
    </w:p>
    <w:p>
      <w:r>
        <w:t>from March 2004 to mid-2005, which allows for the maintenance of the existence of a single and continuous infringement.</w:t>
      </w:r>
    </w:p>
    <w:p>
      <w:r>
        <w:t>As explained later in the ruling, in the trial process, the claimant argued that during the intermediate period or reflection period, there was no continuity of the conduct allegedly occurring until March 2004, since the only contacts maintained during that period referred to matters unrelated to the agreement being imputed; and that the time elapsed (in any case, one year) and the absence of contacts related to the supposed object of the cartel demonstrate the non-existence of a single and continuous infringement, that is, the non-existence of a link between the first and second periods.</w:t>
      </w:r>
    </w:p>
    <w:p>
      <w:r>
        <w:t>In response to those allegations from the claimant, the contested ruling adopts the view of the National Competition Commission, which "...justifies the continuation of the alleged initial agreements during the intermediate period from March 2004 to July 2005 in documents related to the review of the strategic plan of the sector and the new allocation of sales quotas." And in response to the objection raised by the claimant that issues related to quotas cannot be incorporated into this file because they had already been examined in file NUM001, where a sanction was imposed on the Regulatory Council of the Denomination of Origin of Jerez and Manzanilla wines of Sanlúcar, the trial court responds that the National Competition Commission can indeed include agreements on quotas as one of the conducts that constitute the single and continuous infringement attributed to the companies; and this for the following reasons: 1) The establishment of the sales quota is not an independent and isolated conduct but rather a new instrument serving the same interests and the same purpose of limiting supply in order to increase the prices of the BOB product. 2) The principle of non bis in idem has not been violated because in this case the requirements of triple identity are not met since the infringing subjects are different (in this case, different companies in the sector and two sectoral institutions, Fedejerez and the Regulatory Council, while in the sanctioning resolution of June 4, 2009, the only subject charged and sanctioned was the Regulatory Council, as the procedure was not directed at other subjects); and the sanctioned conduct is also different (in the present case, a cartel or composed of a plurality of conducts that integrate a single and continuous infringement, while in the resolution of June 4, 2009, the Regulatory Council was sanctioned for approving and applying various agreements based on quotas on historical sales of each winery of this denomination of origin). Therefore, nothing prevents the economic operators who participated in the cartel from being sanctioned now, with the National Competition Commission having limited the responsibility of the Regulatory Council until June 2006, understanding that it had already been sanctioned for its conduct beyond that date.</w:t>
      </w:r>
    </w:p>
    <w:p>
      <w:r>
        <w:t>Secondly, ESTÉVEZ claims that he did not participate in any meetings during the period between September 2003 and April 2007.</w:t>
      </w:r>
    </w:p>
    <w:p>
      <w:r>
        <w:t>Again, the fact that the BOB Table did not meet for a period of time does not imply that there were no actions during that period aimed at achieving the objective pursued by the companies participating in this cartel, including ESTÉVEZ, who, although he temporarily ceased to attend cartel meetings during 2004, continued to exchange information with the other companies in the cartel and respecting their clients, continuing ESTÉVEZ's participation in this cartel in 2005, participating in the meeting held in September 2005. In fact, his name appears in the presentation of the Jerez Commercialization Table in 2005 (folio 227) as a participating winery in the agreement.</w:t>
      </w:r>
    </w:p>
    <w:p>
      <w:r>
        <w:t>The ruling of June 27, 2012, of the General Court of the European Union (Coats Holdings Ltd/Commission), case T-439/07, also considers that the qualification of a single and continuous infringement, in cases of an infringement that extends over several years, must be maintained even if there are more or less long lapses of time where there is no evidence of anti-competitive conduct:</w:t>
      </w:r>
    </w:p>
    <w:p>
      <w:r>
        <w:t>“(...) In this regard, the ruling of the General Court of June 27, 2012, previously cited, establishes (...) In the context of an infringement that extends over several years, the fact that the manifestations of the agreement occur in different periods, which may be separated by more or less long lapses of time, does not affect the existence of said agreement if the different actions that constitute the infringement pursue a single purpose and are framed within the context of a single and continuous infringement (...)”.</w:t>
      </w:r>
    </w:p>
    <w:p>
      <w:r>
        <w:t>Furthermore, according to the community jurisprudence referred to by the CNMC, the Competition Authority must rely at least on evidence of facts sufficiently close in time, so that it can be reasonably accepted that the infringement continued uninterruptedly between two specific dates, also indicating that the lack of evidence of the execution of an agreement by a company during a certain period does not allow for the deduction of the non-existence of an infringement by that company during the period in question, lacking impact on the existence of the infringement (specifically, in the ruling of the Court of Justice of December 6, 2012, C-441/11 P, it was considered that the infringement had been maintained despite not having evidence of its maintenance for two years):</w:t>
      </w:r>
    </w:p>
    <w:p>
      <w:r>
        <w:t>“[…] the Court of Justice has already stated that, in most cases, the existence of a practice or an agreement contrary to competition is inferred from certain coincidences and indications that, considered as a whole, can constitute, in the absence of a coherent explanation, proof of an infringement of competition rules (rulings Aalborg Portland and others/Commission, previously cited, paragraph 57, as well as September 21, 2006, Nederlandse Federatieve Vereniging voor de Groothandel op Elektrotechnisch Gebied/Commission, C-105/04 P, Rec. p. I-8725, paragraph 94).</w:t>
      </w:r>
    </w:p>
    <w:p>
      <w:r>
        <w:t>(71) Such indications and coincidences, evaluated globally, can not only reveal the existence of agreements or practices contrary to competition but also the duration of continued collusive practices and the period of application of agreements made against competition rules (see, in this sense, the ruling Nederlandse Federatieve Vereniging voor de Groothandel op Elektrotechnisch Gebied/Commission, previously cited, paragraphs 95 and 96).</w:t>
      </w:r>
    </w:p>
    <w:p>
      <w:r>
        <w:t>(72) Regarding the lack of evidence on the existence of an agreement during certain specific periods or, at least, regarding its execution by a company during a specific period, it should be recalled that the fact that such evidence has not been provided for some specific periods does not prevent considering that the infringement existed during a longer overall period than those periods, provided that such verification is based on objective and consistent indications. In the context of an infringement lasting several years, the fact that the manifestations of the agreement occur in different periods, which may be separated by more or less long intervals of time, does not influence the existence of said agreement, as long as the different actions that form part of this infringement pursue a single purpose and are framed within the context of a single and continuous infringement.”</w:t>
      </w:r>
    </w:p>
    <w:p>
      <w:r>
        <w:rPr>
          <w:b/>
        </w:rPr>
        <w:t>[Pages 55–57]</w:t>
      </w:r>
    </w:p>
    <w:p>
      <w:r>
        <w:t>in the context of a single and continuous infringement (see, in this regard, the judgment Nederlandse Federatieve Vereniging voor de Groothandel op Elektrotechnisch Gebied/Commission, previously cited, paragraphs 97 and 98).”</w:t>
      </w:r>
    </w:p>
    <w:p>
      <w:r>
        <w:t>Thirdly, ESTÉVEZ considers that it cannot be sanctioned for potential conduct of other actors, although there is abundant evidence in the file that allows for the individual participation of ESTÉVEZ in the cartel to be established, determining its responsibility based on its own participation in these facts, not being decisive for this the actions of the other operators.</w:t>
      </w:r>
    </w:p>
    <w:p>
      <w:r>
        <w:t>With its conduct, ESTÉVEZ has effectively contributed to the commission of the infringement, without it being proven that it publicly expressed its separation from the collusive activity or its intention to terminate its participation in the cartel or that such practice was reported to the competition authorities, as indicated by community jurisprudence:</w:t>
      </w:r>
    </w:p>
    <w:p>
      <w:r>
        <w:t>“(…) the tacit approval of an illegal initiative without publicly distancing itself from its content or without reporting it to the administrative authorities produces the effect of encouraging the continuation of the infringement and puts at risk its discovery. This complicity constitutes a passive way of participating in the infringement that can therefore entail the responsibility of the company within the framework of a single agreement.”</w:t>
      </w:r>
    </w:p>
    <w:p>
      <w:r>
        <w:t>Finally, ESTÉVEZ denies that an agreement was reached in the meetings in which it participated from 2007 onwards. In this regard, it should be noted that the concept of agreement in the sense of Article 1 of the LDC is very broad, being sufficient for the existence of the same that the companies in question have expressed their common will to behave in the market in a specific manner. It should be taken into account that the specific characteristics of collusive agreements are very case-specific depending on many factors: affected market, characteristics of the participants, their number, etc., although the fact that there are specific characteristics that jurisprudence has marked on occasions does not imply that, in every case, such specificities must be appreciated as a condition for the existence of the agreements in question.</w:t>
      </w:r>
    </w:p>
    <w:p>
      <w:r>
        <w:t>For the purposes of Article 1 of the LDC, there is an agreement when the parties associate in a common plan that limits or may limit their individual commercial policy by determining their mutual patterns of action or abstention in the market, it not being necessary for such an agreement between competitors to be in writing, nor is it required that it be formal, nor that contractual sanctions or measures to ensure compliance with what has been agreed by the parties have been established, such agreement may be explicit or implicit in the behavior of the parties, both once the agreement has been adopted or in the negotiation process leading to the final agreement, and even maintaining a line of conduct could be evidence of the same, when analyzing the anti-competitive nature of the agreements adopted by the cartel. It would suffice that the companies participating in the cartel have expressed their common will to behave in the market in a determined manner, after direct or indirect contact between said operators, susceptible not only to influence the behavior of a real or potential competitor but to reveal to that competitor the behavior that has been decided or is intended to be followed in the market.</w:t>
      </w:r>
    </w:p>
    <w:p>
      <w:r>
        <w:t>Thus, community jurisprudence has expressed that the concept of agreement must be interpreted in a broad sense, although in any case, there must be a concordance, express or tacit, of the wills of the participants in said agreement, which must be understood in the sense that every operator must autonomously define its commercial policy, opposing any direct or indirect contact between competitors that aims to influence the behavior of a real or potential competitor or to reveal to that competitor the behavior that has been decided to adopt or is intended to be adopted in the market:</w:t>
      </w:r>
    </w:p>
    <w:p>
      <w:r>
        <w:t>“(…) it is sufficient for the Commission to demonstrate that the affected company has participated in meetings in which agreements contrary to competition have been concluded without having expressly opposed to prove satisfactorily the participation of that company in the cartel. When participation in such meetings has been accredited, it is up to this company to provide appropriate evidence to demonstrate that its participation in the meetings was not guided at all by a spirit contrary to competition, proving that it informed its competitors that it participated in the meetings with intentions different from theirs (see the judgment of January 7, 2004, Aalborg Portland and others/Commission, C-204/00 P, C-205/00 P, C-211/00 P, C-213/00 P, C-217/00 P and C-219/00 P, Rec. p. I-123, paragraph 81).”</w:t>
      </w:r>
    </w:p>
    <w:p>
      <w:r>
        <w:t>Regarding the alleged absence of concerted wills in the second period of the cartel, in its Resolution of July 28, 2010, the Council of the CNC, referring to what has already been indicated in previous Resolutions, reiterated that a tacit agreement of wills to agree on prohibited conduct is sufficient:</w:t>
      </w:r>
    </w:p>
    <w:p>
      <w:r>
        <w:t>“(…) the fact that they do not reach an agreement on one of the instruments of the cartel does not mean that there is no common planned objective and that they have not coordinated to try to implement it. The agreement of wills does not even require, for its proof, an explicit manifestation as jurisprudence often reminds us, it is sufficient with a tacit agreement of that will to agree on conduct prohibited by competition law.”</w:t>
      </w:r>
    </w:p>
    <w:p>
      <w:r>
        <w:t>In fact, in the second period of the cartel, the objectives of the BOB agreement were expressly formalized in the document “MARKETING TABLE,” dated May 30, 2006, indicating literally the following:</w:t>
      </w:r>
    </w:p>
    <w:p>
      <w:r>
        <w:t>“STARTING CONDITIONS:</w:t>
        <w:br/>
        <w:t>Contingent of the total offer of Jerez wine (Quota)</w:t>
        <w:br/>
        <w:t>Limitation of the purchase of foreign quota (art. 32.1)</w:t>
        <w:br/>
        <w:t>Establishment of controls and limitations on labeling (sub-registration BOB)</w:t>
        <w:br/>
        <w:t>Formation of a table with all potential players, at two levels: commercial and managerial</w:t>
        <w:br/>
        <w:t>Objectives:</w:t>
        <w:br/>
        <w:t>Maintenance of the Status-quo</w:t>
        <w:br/>
        <w:t>Progressive revaluation of the BOB business</w:t>
        <w:br/>
        <w:t>Functions of the Marketing Table:</w:t>
        <w:br/>
        <w:t>Achieve consensus on what that Status-quo is</w:t>
        <w:br/>
        <w:t>Establishment of target prices by markets</w:t>
        <w:br/>
        <w:t>Coordination of the response to bids</w:t>
        <w:br/>
        <w:t>Monitoring of market evolution</w:t>
        <w:br/>
        <w:t>Proposed steps and schedule:</w:t>
        <w:br/>
        <w:t>Acceptance of established criteria.”</w:t>
      </w:r>
    </w:p>
    <w:p>
      <w:r>
        <w:rPr>
          <w:b/>
        </w:rPr>
        <w:t>[Pages 58–60]</w:t>
      </w:r>
    </w:p>
    <w:p>
      <w:r>
        <w:t>Information on current contracts: clients, prices, and terms, and any other relevant information. Presentation of the "map" of BOB at the sectoral level: volumes, prices, distribution of clients by wineries, contract expiration, etc. Meeting of sales representatives and agreement on the roadmap to achieve price increases. Proposal to the managers' table and agreement on actions.</w:t>
      </w:r>
    </w:p>
    <w:p>
      <w:r>
        <w:t>In relation to this document, in the ruling of the AN dated March 8, 2013 (issued in the context of the contentious-administrative appeal R 540/2010 filed by WH regarding its participation in this cartel against the aforementioned Resolution of the Council of the CNC dated July 28, 2010), it is stated, literally, the following, in response to similar allegations presented by said company: “Regarding the final period, the appellant indicates that an objective reading of the facts demonstrates that none of the contacts or meetings recorded from 2006 led to any agreement between W&amp;H and the other wineries as they are unilateral actions and conversations that never materialized into any agreement. This Chamber does not share this reasoning as it is evident from the file that on May 30, 2006, the “Commercialization Table” was established where the starting conditions, objectives (maintenance of the status quo and progressive revaluation of the BOB business), the functions of the table, and the proposed steps and schedule were defined, with successive meetings held in 2006, 2007, and 2008 in which various agreements were adopted. In any case, as noted in the judgment of the General Court of the European Union of June 16, 2011, in case T-240/07, Heineken Nederland (45), the existence of an agreement can be appreciated in the sense of Article 81 EC, paragraph 1, when there is a concordance of wills on the very principle of the restriction of competition, even if the specific elements of the planned restriction are still being negotiated (see, in this sense, the judgment HFB and others/Commission, cited in the previous paragraph 44, paragraphs 151 to 157 and 206).”</w:t>
      </w:r>
    </w:p>
    <w:p>
      <w:r>
        <w:t>Moreover, in the meeting held on April 11, 2007, in which executives from the companies participating in the cartel took part, including ESTÉVEZ, as evidenced by the email sent by the General Director of FEDEJEREZ to GB, BARBADILLO, WH, ESTÉVEZ, and LUSTAU, the aforementioned companies confirmed their desire to comply with the terms of the agreement reached by them, and subsequently adopted the following agreements, as evidenced by the information gathered during inspections conducted at the headquarters of GB and FEDEJEREZ:</w:t>
        <w:br/>
        <w:t>• Setting the time period of this agreement, initially until August 31, 2008, later extended to September 2010.</w:t>
        <w:br/>
        <w:t>• Non-aggression pact, consisting of not submitting offers to clients of the companies participating in this cartel.</w:t>
        <w:br/>
        <w:t>• Price increase, maintaining a minimum price of €1.10 per bottle and a progressive increase in prices, reaching a minimum price agreement for BOB of €1.25 per bottle for the United Kingdom and €1.10 per bottle for the rest of Europe.</w:t>
        <w:br/>
        <w:t>• It was agreed to limit the sales quota and quantities, establishing a policy of restricting supply through a quota of the BOB product assigned to each company participating in the cartel for sale in foreign markets (this meant reducing the quota from 137 thousand butts to 112 thousand, which were the sales in 2007, that is, a reduction of the quotas by 82%).</w:t>
        <w:br/>
        <w:t>• Exchange of information about clients.</w:t>
        <w:br/>
        <w:t>• Exchange of information about prices.</w:t>
      </w:r>
    </w:p>
    <w:p>
      <w:r>
        <w:t>In fact, there is express consent from ESTÉVEZ confirming its agreement with the adopted agreements, as evidenced by the email sent by ESTÉVEZ to the other entities participating in the cartel on October 26, 2007, also confirming compliance and execution of the adopted agreements: “(...) For my part, the agreement is a reality and we are already executing it, which you can verify by talking to some. I doubt very much that the companies and the people, who like me expressed themselves positively, “even with unusual gestures these days,” will change their minds. Therefore, to make it clear to you and everyone, I reiterate the serious commitment acquired by JESA and I hope that soon we will have a positive response from [GARVEY] as promised to you in due course.”</w:t>
      </w:r>
    </w:p>
    <w:p>
      <w:r>
        <w:t>And this was confirmed in the internal email from GB dated November 2, 2007, indicating that ESTÉVEZ (Real Tesoro), in compliance with what was agreed by the cartel, had withdrawn the offer made to a client of GB: “(...) On October 22, we reached the agreement to respect each other for three years, between Real Tesoro, Williams &amp; Humbert, Caballero, and GB. Garvey and Barbadillo are pending to join, who to this day have said nothing. Real Tesoro calls me indicating that it withdraws its offer to Sainsbury.”</w:t>
      </w:r>
    </w:p>
    <w:p>
      <w:r>
        <w:t>In conclusion, in light of the previous considerations, the allegations of ESTÉVEZ rejecting the single and continuous infringement are not acceptable in the opinion of this Chamber, nor can it be pointed out, in any case, even a public distancing of ESTÉVEZ that could exempt it from its responsibility regarding its participation in the cartel, but rather the opposite, communicating to the other companies in the cartel its express agreement and the execution of the adopted agreements.</w:t>
      </w:r>
    </w:p>
    <w:p>
      <w:r>
        <w:t>4.3.- Effects on the market</w:t>
      </w:r>
    </w:p>
    <w:p>
      <w:r>
        <w:t>Article 1 of the LDC refers to any practice “that has as its object, produces or may produce the effect of preventing, restricting or distorting competition in all or part of the national market.” According to the literal interpretation of this provision and as reiterated by the Council of the CNC, for an infringement to exist,</w:t>
      </w:r>
    </w:p>
    <w:p>
      <w:r>
        <w:rPr>
          <w:b/>
        </w:rPr>
        <w:t>[Pages 61–63]</w:t>
      </w:r>
    </w:p>
    <w:p>
      <w:r>
        <w:t>of competition, it is sufficient that the practice meets one of the following three premises: that it has the "object" of preventing, restricting, or distorting competition, even if it does not succeed; that it has the "effect" of doing so, even if there was no intent; and that, without producing the "effect" or pursuing it, it has the "aptitude" for it, as has also been repeatedly indicated by the Competition Chamber of the CNMC32.</w:t>
      </w:r>
    </w:p>
    <w:p>
      <w:r>
        <w:t>That is to say, the type described in Article 1 of the LDC does not require the production of effects, but is perfected with the capacity or aptitude of the conduct to produce them, even if they are not manifested, since behaviors that are considered an infringement by object have such a potential to distort competition that it exempts the authorities from proving that they have indeed caused harm, as expressly pointed out by the Council of the CNC33:</w:t>
      </w:r>
    </w:p>
    <w:p>
      <w:r>
        <w:t>“If the analysis of such aptitude led to an affirmative conclusion, it would not be necessary to seek either the actual effect or a measure of it, as this would only be useful for calculating the sanction for having infringed, with their conduct, the competition defense rules. This is, according to the Council's criteria, the analysis that should be made in light of the existing community jurisprudence on the matter.”</w:t>
      </w:r>
    </w:p>
    <w:p>
      <w:r>
        <w:t>Thus, both the Council of the CNC34 and national and community jurisprudence have corroborated that if it is proven that a conduct has an object contrary to competition, it is not necessary to prove the existence of effects in the market, as indicated by the TS in its ruling of December 18, 2007:</w:t>
      </w:r>
    </w:p>
    <w:p>
      <w:r>
        <w:t>“As for the plaintiff's allegations that their behavior had no negative effects in the market since it did not reflect in prices, nor in market distribution, nor, ultimately, in whether the sanctioned companies maintained, improved, or increased their market power, it is sufficient to point out two things. First, that the sanction of the behaviors included in Article 1 of the Competition Defense Law does not require that such effects have occurred, but only that they can produce them, which would already avoid having to examine such arguments.”</w:t>
      </w:r>
    </w:p>
    <w:p>
      <w:r>
        <w:t>Therefore, although it is not necessary to demonstrate anticompetitive effects, as reiterated by the Council of the CNC and the Competition Chamber of the Council of the CNMC regarding infringements by object and, therefore, prohibited conducts regardless of whether the anticompetitive agreements that constitute them have been applied in whole or in part, since they are objectively collusive conducts not suitable to generate improvements in consumer welfare and the overall economy35, as has been evidenced in the file, the companies participating in the cartel, including ESTÉVEZ, implemented various agreements aimed at coordinating their actions, eliminating competition among themselves and adopting common positions against clients and other competitors regarding the exports of wine with D.O. Jerez and Manzanilla under private label or distributor brand (BOB market), weakening or eliminating the degree of uncertainty about the competitive functioning of the affected market, resulting in a collusive outcome, with the consequent direct harm to their clients and consumers.</w:t>
      </w:r>
    </w:p>
    <w:p>
      <w:r>
        <w:t>The agreement adopted by the cartel member companies, including ESTÉVEZ, consisted of establishing quotas for the export of BOB wines, calculated based on the stocks of each participating winery in the agreement and the average sales of BOB products in the export markets (United Kingdom, Germany, and the Netherlands), as well as implementing a compensation system and setting prices through the allocation of a minimum reference price for offers to clients, a distribution of clients, and information exchange in order to achieve effective monitoring of all aspects of the agreement, with the objective of raising prices.</w:t>
      </w:r>
    </w:p>
    <w:p>
      <w:r>
        <w:t>The application of this quota system in exports established a barrier to the expansion of already established wineries, as well as disincentivizing the entry of new ones, as its computation was based on historical stocks and sales, benefiting the companies participating in the cartel, maintaining the status quo and securing the clients of each of them. Furthermore, the restriction system through assigned quotas is reinforced by the compensation method. In a second phase, once a discriminatory quota for the production of Jerez wine was assigned, as established in the Resolution of the Council of the CNC of June 4, 2009, since it was no longer necessary to establish a quota for export, as the quota established for the entire Jerez Framework restricted the possibility of exporting BOB product to the quantities exported in previous years (which were included in the total marketing quota of each company), the agreement among the exporting companies of BOB product was limited to a distribution of clients among the companies participating in the cartel and to setting a minimum price for the product, which implied an increase in prices, which was the ultimate goal of this cartel.</w:t>
      </w:r>
    </w:p>
    <w:p>
      <w:r>
        <w:t>Moreover, the market and client distribution constituted an obstacle to free competition, as this supply restriction policy allowed for a high maintenance of prices in an artificial manner, with the consequent harm to the consumer, as evidenced in the file.</w:t>
      </w:r>
    </w:p>
    <w:p>
      <w:r>
        <w:t>Thus, in this case, not only has one of the three premises indicated at the beginning been fulfilled, but all three have been met, given that the agreement had the "object" of distorting competition, had the "effect" of doing so, and had the "aptitude" for it, which must be taken into account when setting the sanction in application of the LDC. This cartel was implemented from the very beginning and, therefore, had effects in the market, having achieved not only the increase of BOB prices but also those of private labels, as indicated in the aforementioned Resolution of July 28, 2010:</w:t>
      </w:r>
    </w:p>
    <w:p>
      <w:r>
        <w:t>“In the present file, the confirmation that the conduct has had effects has been made by the cartel members themselves, as in various documents they acknowledge the success of the BOB table, having allowed them to recover prices in that market. The cartel was so successful that this price increase was precisely the signal that attracted operators to this market who were not previously present, causing competitive pressure that destabilized the agreement in 2004 and led to the design of a new instrument to control supply and enable again that price increase: the discriminatory quota by wineries (...)”.</w:t>
      </w:r>
    </w:p>
    <w:p>
      <w:r>
        <w:t>The specific non-compliances by the companies participating in the cartel do not imply that the cartel did not have effects, as the knowledge by all companies of the behavior of the other competitors, of their commercial policy regarding clients, products, and quantities had the effect of eliminating uncertainty among the companies participating in the cartel, which gave them a competitive advantage over the rest of the competitors in the market or potential competitors who might want to enter the market.</w:t>
      </w:r>
    </w:p>
    <w:p>
      <w:r>
        <w:t>In any case, within the set of possible collusive conducts, market sharing and price-fixing agreements are considered particularly serious because they eliminate competition among companies in an essential element for differentiating offers, such as price, preventing users from benefiting from lower prices and conditions that would result from effective competition among suppliers.</w:t>
      </w:r>
    </w:p>
    <w:p>
      <w:r>
        <w:rPr>
          <w:b/>
        </w:rPr>
        <w:t>[Pages 64–66]</w:t>
      </w:r>
    </w:p>
    <w:p>
      <w:r>
        <w:t xml:space="preserve">The Competition Chamber of the CNMC Council has recently ruled on the assessment of the effects of collusive conduct stating that36:  </w:t>
        <w:br/>
        <w:t xml:space="preserve">“(...) given its special potential to distort competition, proof of actual effects contrary to competition is not required when it has been determined that these are restrictive by their object. For the purposes of assessing the conduct provided for in Article 1 of the LDC, what is relevant is the ability to achieve the end of distorting free competition, since the infringing type does not require that the purpose of violating free competition be achieved; it is sufficient that it is aimed at that end in the execution of the conduct, whether or not it is successful (thus, Resolution of the CNC Council of March 27, 2012, Expte, S/0237/10 Motorcycles, specifically endorsed in this aspect by the recent SAN of April 29, 2015).  </w:t>
        <w:br/>
        <w:t xml:space="preserve">(...) It is also well established in community jurisprudence that any price-fixing cartel, by its very nature, produces a significant distortion of competition in the considered market, which exclusively benefits the companies participating in the agreements constituting the infringement, to the direct detriment of customers (As community jurisprudence points out, its “anticompetitive effects are so evident that they do not require any economic analysis.” (See, among others, CJEU ruling of November 20, 2008, Case C-209/07, Beef and CJEU ruling of December 13, 2012, Case C-226/11, Expedia.)  </w:t>
        <w:br/>
        <w:t xml:space="preserve">And this was expressly indicated in the ruling of the AN of March 8, 2013, issued precisely in the context of one of the appeals filed against the aforementioned Resolution of July 28, 2010, stating the following:  </w:t>
        <w:br/>
        <w:t xml:space="preserve">“It refers to the lack of effects, but this will be relevant in its case for quantifying the amount of the sanction but not for determining the existence of the anticompetitive conduct considering that it is an infringement by object, of a cartel related to the marketing of Jerez wines concerning price-fixing and market sharing.  </w:t>
        <w:br/>
        <w:t xml:space="preserve">As the ruling of the General Court of the European Union of June 16, 2011, in Case T-240/07, Heineken Nederland "(325)  </w:t>
        <w:br/>
        <w:t xml:space="preserve">It is also worth noting that horizontal collusive practices36 Resolutions of the CNMC Council of March 5, 2015, Exptes. S/0486/13 Toyota Dealers, S/0489/13 Opel Dealers, S/0488/13 Hyundai Dealers, and S/0487/13 Land Rover Dealers, and of May 28, 2015, Expte. S/0471/13 Audi/Seat/VW Dealers.  </w:t>
        <w:br/>
        <w:t xml:space="preserve">of price-fixing or market sharing, a typology that fits the infringement at hand, can be classified as very serious infringements solely on the basis of their own nature, without the Commission being obliged to demonstrate the specific repercussions of the infringement on the market. The specific repercussions of the infringement only constitute one element among others that, if determinable, may allow the Commission to increase the starting amount of the fine above the minimum amount of 20 million euros (ruling of the Court of Justice of September 3, 2009 [CJEU 2009, 245], Prym and Prym Consumer/Commission, C-534/07 P, Rec. p. I-7415, paragraphs 74 and 75).”  </w:t>
        <w:br/>
        <w:t xml:space="preserve">Notwithstanding the above, the conduct analyzed in this sanctioning file, in addition to having an object contrary to competition, has had effects in the market affected by the conduct, and its existence is proven. Thus, and as ESTÉVEZ states in its allegations, in the first period of the cartel, the agreements adopted involved a restriction of production, the allocation of clients, and the establishment of a minimum price, among other restrictions, with the ultimate objective precisely being the increase of prices, as indicated in the aforementioned Resolution of July 28, 201037:  </w:t>
        <w:br/>
        <w:t xml:space="preserve">“(...) in the case at hand, there have been effects derived from the infringement, they have existed and their existence is proven. At least during the years 2001 to 2004, the cartel was successful in its objective, as it managed to recover BOB price levels. During those years, and against all logic based on economic reasoning, a market in which demand was decreasing year after year saw its prices increasing until recovering the price levels of previous times, times when demand was significantly higher.”  </w:t>
        <w:br/>
        <w:t xml:space="preserve">Regarding the second period, ESTÉVEZ argues that the fact that the CNC itself in the Resolution of file S/0091/08 stated that the effects “at least for the first period are perfectly proven” while in the second period “the effect was more limited” or “the desired effect of the price increase was not fully achieved” implies the implicit recognition by the Council of the defunct CNC of the lack of effects in the second period.  </w:t>
        <w:br/>
        <w:t xml:space="preserve">However, from these statements, it cannot be deduced that the agreements adopted were not executed in the second period, as ESTÉVEZ itself indicated the execution of the agreements adopted in the second period in the email sent to the other participating entities in the cartel38, as reiterated in response to previous allegations, nor even that they had no effects, but only that the effects were more limited in this second period.  </w:t>
        <w:br/>
        <w:t xml:space="preserve">In fact, the aforementioned email sent by ESTÉVEZ was issued in response to the one sent by the General Director of FEDEJEREZ in which the objective of the agreements adopted is expressly stated, highlighting that their effects will be positive for the cartel members39:  </w:t>
        <w:br/>
        <w:t xml:space="preserve">“(...) The objective; to seek (achieve) a broad, stable, and lasting agreement whose effects will be positive for all of you (...).”  </w:t>
        <w:br/>
        <w:t xml:space="preserve">Therefore, we can conclude that the agreements adopted by the cartel companies had the clear objective of restricting competition and, therefore, obtaining illicit profits at the expense of other producers and consumers. ESTÉVEZ's allegations in this regard, which insist on the absence of agreement, absence of suitability (given the non-participation of GARVEY and the limited impact on the market), and the absence of effects in the second period but without providing additional evidence, have been sufficiently addressed and rejected in light of the previous paragraphs, so in light of the previous arguments, this Chamber cannot accept ESTÉVEZ's allegations in this regard.  </w:t>
        <w:br/>
        <w:t xml:space="preserve">4.4.- Liability  </w:t>
        <w:br/>
        <w:t xml:space="preserve">Thus, in view of the actions taken and in accordance with Article 33.1 of the RDC, the agreements described in this Resolution fall within Article 1 of Law 16/1989, Article 1 of the LDC, and Article 101 of the TFEU, concerning the agreements adopted since May 2001, remaining in force until July 16, 2008, coinciding with the inspections carried out, although ESTÉVEZ's participation is limited from November 2001 to July 2008, constituting a single and continuous infringement committed during the validity of Law 16/1989 and the LDC.  </w:t>
        <w:br/>
        <w:t xml:space="preserve">The practices analyzed in this file fall within the definition of cartel, as the object of them consisted of the adoption of agreements among the companies participating in the cartel, including ESTÉVEZ, regarding the exports of wine with D.O. Jerez and Manzanilla with private label or distributor brand, referred to as the BOB market, implementing various agreements aimed at coordinating their actions, eliminating competition among them, and adopting common positions against clients and others.  </w:t>
        <w:br/>
        <w:t xml:space="preserve">38 Email of October 26, 2007, sent by ESTÉVEZ to GB, WH, LUSTAU, and BELLAVISTA and ZRM and to the General Director of FEDEJEREZ, obtained during the inspection of WH (folio 129).  </w:t>
        <w:br/>
        <w:t>39 Email of October 26, 2007, sent by the General Director of FEDEJEREZ to GB, WH, ESTÉVEZ, LUSTAU, and BELLAVISTA and ZRM, with the subject “Follow-up of the BOB Meeting of last Monday 22,” obtained during the inspection of GB (folios 130 and 181).</w:t>
      </w:r>
    </w:p>
    <w:p>
      <w:r>
        <w:rPr>
          <w:b/>
        </w:rPr>
        <w:t>[Pages 67–69]</w:t>
      </w:r>
    </w:p>
    <w:p>
      <w:r>
        <w:t>competitors. As has been established, the companies of the cartel held numerous meetings with the aim of maintaining the status quo regarding clients and increasing BOB prices, which was achieved by setting a minimum price and restricting the amount of product available in the market, limiting competition in the free formation of prices and possessing sufficient aptitude to alter free competition in the market, with the consequent loss of independence with which market operators must act.</w:t>
      </w:r>
    </w:p>
    <w:p>
      <w:r>
        <w:t>By its very nature, a cartel of the kind described in this file automatically produces a significant distortion of competition, which exclusively benefits the participating entities by giving them a competitive advantage over other competitors in the affected market or potential competitors who may wish to enter that market, as a cartel affects not only its participants but all competing companies present in the market that do not participate in it, being extremely detrimental to their clients.</w:t>
      </w:r>
    </w:p>
    <w:p>
      <w:r>
        <w:t>While it is true that the requirement of autonomy derived from the application of competition regulations does not exclude the right of economic operators to adapt to the behavior they have observed or anticipate that their competitors will follow, it does oppose any direct or indirect contact between operators aimed at influencing the market behavior of an actual or potential competitor, or revealing to such a competitor the behavior that one intends to adopt in the market or that one plans to adopt, which would not correspond to the normal conditions of competition in the considered market. It is recalled that 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similar terms, Article 101.1 of the TFEU is configured, reiterated by community jurisprudence that for an agreement to exist, for the purposes of the aforementioned article, it is sufficient that the companies have expressed their common will to behave in a certain way in the market.</w:t>
      </w:r>
    </w:p>
    <w:p>
      <w:r>
        <w:t>FIFTH. OTHER ALLEGATIONS AND ISSUES REQUESTED IN THE RESOLUTION PHASE</w:t>
      </w:r>
    </w:p>
    <w:p>
      <w:r>
        <w:t>5.1. Regarding the annulment, or alternatively, the suspension of the procedure</w:t>
      </w:r>
    </w:p>
    <w:p>
      <w:r>
        <w:t>In relation to the request for annulment of the proceedings or, alternatively, their suspension, due to the appeal of the AN ruling of November 26, 2013, being pending judgment, ESTÉVEZ cites Article 91.3 of Law 29/1998, of July 13, regulating the Contentious-Administrative Jurisdiction, which establishes that “The Judge or Court shall deny provisional execution when it may create irreversible situations or cause damages that are difficult to repair,” since it understands that the provisional execution of the AN ruling generates expenses and damages that are difficult to compensate.</w:t>
      </w:r>
    </w:p>
    <w:p>
      <w:r>
        <w:t>In response to this allegation, it should be noted that the general rule contained in Article 91.1 of Law 29/1998 is the provisional execution of the ruling, expressly indicating that the preparation of the cassation appeal does not prevent the execution of the appealed ruling. This has been confirmed by the TS, stating that “Once a ruling is issued, it is mandatory and, as such, must be executed by rule, without weighing between damages in the case of delay in execution and damages in the case of immediate execution. Therefore, there must be a tendency towards execution, which will only be limited when it is likely to cause damages that are difficult or impossible to repair, in relation to the situation that may arise, in the opinion of the judicial body.” Therefore, as ESTÉVEZ itself acknowledges in its allegations, “once the ruling has been appealed in cassation, the procedure to follow is provisional execution,” and precisely in compliance with what was dictated in the aforementioned AN ruling of November 26, 2013, this sanctioning file has been initiated against ESTÉVEZ, as the statute of limitations has not expired.</w:t>
      </w:r>
    </w:p>
    <w:p>
      <w:r>
        <w:t>On the other hand, the requirements set forth in Article 91.3 of Law 29/1998 are not met, as the initiation of this sanctioning file does not create irreversible situations nor cause damages that are difficult to repair for ESTÉVEZ, as the Resolution adopted by this Competence Chamber of the CNMC sanctioning ESTÉVEZ can be appealed before the AN, and it can also request the provisional suspension of its execution before the AN if it deems it appropriate. It should be noted that Article 91.3 of Law 29/1998 can only be invoked before the court that issued the ruling of first instance and not in administrative proceedings, as doctrine states, “once the administrative act has been challenged, everything that occurs in relation to it belongs to the jurisdiction of the Execution Judge, and not to that of the Administration,” a fact recognized by ESTÉVEZ in its allegations, when it states that it must adhere “to the criteria and resolution established for this purpose by the Audiencia Nacional as the provisional sentencing body, to which the Administration cannot and should not deprive of its competencies.”</w:t>
      </w:r>
    </w:p>
    <w:p>
      <w:r>
        <w:t>Precisely, the documents incorporated when practicing the evidence requested by ESTÉVEZ demonstrate that ESTÉVEZ requested the AN to suspend the execution of the Resolution of July 28, 2010, of the CNC, with such precautionary measure being adopted by the AN after ESTÉVEZ provided the corresponding bond, so that in no case has any harm occurred to ESTÉVEZ, as the aforementioned Resolution has not been executed and without any harm deriving from the initiation of this sanctioning file, as already pointed out, to ESTÉVEZ. Furthermore, the Competition Directorate is not aware that ESTÉVEZ has alleged before the AN or the TS, after the issuance of the aforementioned AN ruling of November 26, 2013, and the subsequent filing of the cassation appeal against that ruling before the TS, an irreversible situation or damages that are difficult to repair to avoid the provisional execution of that ruling when appealing it in cassation. Therefore, it is reiterated that the CNMC has limited itself to complying with the general rule set forth in Article 91.1 of Law 29/1998, which is none other than the provisional execution of what was dictated in the aforementioned ruling.</w:t>
      </w:r>
    </w:p>
    <w:p>
      <w:r>
        <w:t>5.2. Regarding the nullity of the incorporation of information in this file</w:t>
      </w:r>
    </w:p>
    <w:p>
      <w:r>
        <w:t>ESTÉVEZ considers that both the incorporation into this file of the documentation collected in the inspections of WH, GB, and FEDEJEREZ, as well as the report of the Competition Defense Council of Andalusia issued in the context of file S/0091/08, is null, as acts from the expired procedure cannot be incorporated into a new procedure, referring to jurisprudence of the TS to support the allegation.</w:t>
      </w:r>
    </w:p>
    <w:p>
      <w:r>
        <w:t>In the opinion of this Chamber, the allegation is not acceptable for the reasons that we will analyze in line with the arguments made by the DC in response to a nearly identical allegation in the PR.</w:t>
      </w:r>
    </w:p>
    <w:p>
      <w:r>
        <w:t>First, the ruling of the TS cited by ESTÉVEZ in its allegations, of February 24, 2004, literally states the following in its legal foundation eighth:</w:t>
      </w:r>
    </w:p>
    <w:p>
      <w:r>
        <w:t>“(...) when declaring expiration, the Administration must order the filing of the proceedings (Article 43.4 of Law 30/1992 in its original wording; and Article 44.2 of the same Law in the wording now in force), which, correctly understood, entails: That the agreement to initiate the new sanctioning file (if it occurs) can and must be based on the same documents that, with the value of a complaint, determined the initiation of the expired file. Otherwise, that legal mandate would be meaningless. This first assertion can be seen, among others, in the rulings of this Third Chamber of the Supreme Court dated October 1, 2001 (two), October 15, 2001, October 22, 2001, and November 5, 2001.”</w:t>
      </w:r>
    </w:p>
    <w:p>
      <w:r>
        <w:rPr>
          <w:b/>
        </w:rPr>
        <w:t>[Pages 70–72]</w:t>
      </w:r>
    </w:p>
    <w:p>
      <w:r>
        <w:t>that legal mandate would make sense. This first assertion can be seen, among others, in the rulings of this Third Chamber of the Supreme Court dated October 1, 2001 (two), October 15, 2001, October 22, 2001, and November 5, 2001.</w:t>
      </w:r>
    </w:p>
    <w:p>
      <w:r>
        <w:t>45 STS 1199/2004, of February 24.</w:t>
      </w:r>
    </w:p>
    <w:p>
      <w:r>
        <w:t>In that new file, effects may arise if its incorporation is decided with observance of the rules governing its processing, independent acts from the expired file, not arising within it, although they may have also been incorporated into it. This concept of independent acts can also be seen in the rulings just cited.</w:t>
      </w:r>
    </w:p>
    <w:p>
      <w:r>
        <w:t>Thus, it should be noted that the incorporation of the documentation from File S/0091/08 into File S/DC/0517/14 has been done with full observance of the rules governing its processing, specifically Article 30 of the RDC, as this incorporation was notified on July 8, 2014, both to ESTÉVEZ, in his capacity as an interested party in this file, and to the third parties from whom the information collected in the inspections carried out in the context of File S/0091/08 originated, granting them a period of 10 days to allege whatever they deemed appropriate in defense of their interests, without any allegations being made by ESTÉVEZ regarding this incorporation within the period granted for that purpose, nor by WH and GB.</w:t>
      </w:r>
    </w:p>
    <w:p>
      <w:r>
        <w:t>Regarding FEDEJEREZ, the aforementioned entity alleged that it had not been informed of the behaviors investigated in this file, so it could not assess the documentation collected in the inspection carried out at its headquarters and incorporated into this file, nor the relevance of such incorporation, to which the DC responded that this file, as indicated in the press release published on the CNMC website, had been initiated against ESTÉVEZ in compliance with what was indicated in the ruling of the AN on November 26, 2013, indicating the expiration of the sanctioning procedure concerning File S/0091/08, but not the statute of limitations of the infringement regarding ESTÉVEZ.</w:t>
      </w:r>
    </w:p>
    <w:p>
      <w:r>
        <w:t>Regarding the incorporation of the report from the Competition Defense Council of Andalusia, this is a mandatory procedure established in Article 5.4 of Law 1/2002, of February 21, and in Article 33.2 of the RDC, given that the facts constituting the infringement significantly affect the territory of the Autonomous Community of Andalusia.</w:t>
      </w:r>
    </w:p>
    <w:p>
      <w:r>
        <w:t>For all the aforementioned reasons, the allegation of ESTÉVEZ regarding the nullity of this file as a consequence of the incorporation of documentation from File S/0091/08 must be rejected, especially since ESTÉVEZ has requested as evidence the incorporation into this file of more documentation from the aforementioned File S/0091/08 in relation to the judicial proceedings opened before the AN and the TS that arise from the aforementioned file, and therefore, the documentation contained in the CNMC in the context of File S/0091/08 regarding the contentious-administrative appeal filed by ESTÉVEZ before the AN against the CNC Resolution of July 28, 2010, has been incorporated into this file as evidence after the AN issued a ruling on November 26, 2013, on the cassation appeal filed by ESTÉVEZ.</w:t>
      </w:r>
    </w:p>
    <w:p>
      <w:r>
        <w:t>5.3.- Evidence</w:t>
      </w:r>
    </w:p>
    <w:p>
      <w:r>
        <w:t>As a single evidence proposal in his written allegations to the PR, ESTÉVEZ includes what he calls "DOCUMENTARY/EXPERT" evidence consisting of the inclusion in the file of "any documentation and considerations that exist in the present file; any documentation and considerations of fact and law, as long as they are not unfavorable, that exist in File S/0091/08 and in all judicial proceedings opened and arising from the mentioned file, followed before the National Court and the Supreme Court, requesting that testimony be sought from the Administration for the contribution and incorporation into the present file."</w:t>
      </w:r>
    </w:p>
    <w:p>
      <w:r>
        <w:t>Likewise, the legal representation of ESTÉVEZ reiterates its allegation of impropriety and nullity regarding the documentary incorporation carried out by the DC, related to the documentation from the inspections carried out at WH, GB, and FEDEJEREZ on July 16, 2008, and to the incorporation of the report issued by the Competition Defense Council of Andalusia.</w:t>
      </w:r>
    </w:p>
    <w:p>
      <w:r>
        <w:t>Without specific reference to them in his evidence proposal, ESTÉVEZ accompanies his written allegations to the Proposal for Resolution with several annexes, numbered as documents 1 to 8, referring to different emails (docs. 1, 4, 5, 6, 7, and 8), a record of the extraordinary meeting of the Executive Commission of Fedejerez on October 17, 2005 (doc. 2), and a photocopy of a page from the PCH of File S/0091/08 (doc. 3), which are incorporated into the file for evaluation along with the rest of the documentation incorporated into it.</w:t>
      </w:r>
    </w:p>
    <w:p>
      <w:r>
        <w:t>ESTÉVEZ considers that the incorporation of each and every one of the documentary and expert proposals requested is appropriate – and not only those resulting from the Administration and not only those unfavorable to ESTÉVEZ, as they are necessary for the overall understanding of the facts and their evaluation, both by the Competition Chamber of the CNMC and by the judicial bodies that may review the resolution.</w:t>
      </w:r>
    </w:p>
    <w:p>
      <w:r>
        <w:t>In view of the evidence proposal described, the Chamber observes that ESTÉVEZ reiterates the evidence proposed before the DC in his allegations to the PCH, which was answered by the instructing body in sections (230) to (243) of the Proposal for Resolution. In this evidence proposal, ESTÉVEZ requested that the documentation presented along with the written allegations to the PCH in File S/0091/08 and the studies and reports of average prices included in File 2779/07 be included in the file.</w:t>
      </w:r>
    </w:p>
    <w:p>
      <w:r>
        <w:t>The Chamber fully agrees with the assessment expressed by the DC in the aforementioned paragraphs of the Proposal for Resolution regarding the different evidence requested:</w:t>
        <w:br/>
        <w:t>- Regarding the request for the inclusion of documentation from File S/0091/08, the DC already agreed, on July 2, 2014, to incorporate into the present file (folios 18 to 727) the documentation related to ESTÉVEZ included in that file. Subsequently, on May 20, 2015, the instructing body partially accepted the evidence proposed by ESTÉVEZ in his allegations and agreed to incorporate the documentation related to the contentious-administrative appeal filed by ESTÉVEZ against the Resolution of July 28, 2010, sent to the CNMC (folios 1026-1035).</w:t>
      </w:r>
    </w:p>
    <w:p>
      <w:r>
        <w:t>Likewise – and although they were submitted outside the deadline established in Article 33.1 of the RDC – the DC incorporated into the file the documents sent by ESTÉVEZ along with his written allegations to the practice of evidence (folios 1041 to 1195), referring to the claim made by ESTÉVEZ before the National Court, and the preparation and filing of the cassation appeal before the Supreme Court, having been evaluated both by the instructing body and by this Chamber for the resolution of the present file.</w:t>
      </w:r>
    </w:p>
    <w:p>
      <w:r>
        <w:t>In light of the above, the Chamber agrees with the DC that all documentation from File S/0091/08 related to the accused company has been incorporated into the present file, and the instruction and evaluation of the file have been carried out based on that documentation.</w:t>
        <w:br/>
        <w:t>- Regarding the information contained in all judicial proceedings opened in which the other sanctioned companies in File S/0091/08 are parties, the Chamber also agrees with the criterion expressed by the DC regarding the unnecessary nature of its practice, as it does not provide added value for the evaluation of ESTÉVEZ's conduct, since, according to the rulings issued in the aforementioned judicial proceedings, the facts declared proven in File S/0091/08 have not been questioned in the aforementioned proceedings, so they cannot affect the evaluation of facts carried out in the present file nor ESTÉVEZ's responsibility regarding them. Likewise, the absolute lack of specificity from ESTÉVEZ regarding the documents to which his proposal refers and the absence of any reasoning explaining the necessity of their evaluation also makes their incorporation into the present file impossible.</w:t>
        <w:br/>
        <w:t>- Regarding the studies and reports of average prices included in File 2779/07, the lack of specificity from ESTÉVEZ regarding the</w:t>
      </w:r>
    </w:p>
    <w:p>
      <w:r>
        <w:rPr>
          <w:b/>
        </w:rPr>
        <w:t>[Pages 73–75]</w:t>
      </w:r>
    </w:p>
    <w:p>
      <w:r>
        <w:t>documents referred to in their proposal makes their incorporation into the present file impossible, which is also not considered necessary since they were not taken into account for the qualification and sanction of the behaviors in Expte. S/0091/08 nor are they necessary for the resolution of the present sanctioning file.</w:t>
      </w:r>
    </w:p>
    <w:p>
      <w:r>
        <w:t>SIXTH. SANCTION</w:t>
      </w:r>
    </w:p>
    <w:p>
      <w:r>
        <w:t>6.1.- Criteria for determining the fine</w:t>
      </w:r>
    </w:p>
    <w:p>
      <w:r>
        <w:t>Article 62.4.a) of the LDC establishes that behaviors consisting of cartels or other agreements, decisions, or collective recommendations, concerted practices, or consciously parallel practices among competing companies, whether real or potential, shall be classified as very serious infringements.</w:t>
      </w:r>
    </w:p>
    <w:p>
      <w:r>
        <w:t>Section c) of Article 63.1 of the LDC states that very serious infringements may be punished with a fine of up to 10 percent of the total turnover of the infringing company in the financial year immediately preceding the imposition of the fine, and in cases where it is not possible to determine the turnover, section 3.c) states that the amount of the fine shall be more than 10 million euros.</w:t>
      </w:r>
    </w:p>
    <w:p>
      <w:r>
        <w:t>Regarding the nature of the 10% (whether it is the maximum of a sanctioning range, or whether it should be considered as a limit or threshold for leveling), the Supreme Court has ruled on this in its judgment of January 29, 2015 (Appeal 2872/2013), a judgment that has already been analyzed in the latest resolutions of this Council. According to the Supreme Court, the process of determining the fine must necessarily adhere to the following premises:</w:t>
      </w:r>
    </w:p>
    <w:p>
      <w:r>
        <w:t>- The percentage limits provided in Article 63.1 of the LDC should be conceived as the maximum level of a sanctioning range in which the sanctions, depending on the severity of the behaviors, must be individualized. The Chamber indicates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behavior that, within the respective category, has the highest unlawful density."</w:t>
      </w:r>
    </w:p>
    <w:p>
      <w:r>
        <w:t>Also, in the same sense, two judgments of the High Court of January 30, 2015 (appeals 1476/2014 and 1580/2013) and other subsequent ones.</w:t>
      </w:r>
    </w:p>
    <w:p>
      <w:r>
        <w:t>- Regarding the basis on which to calculate the percentage of the fine, in this case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used as the basis for the percentage is not limited to a part but to the 'whole' of that volume. In other words, with the notion of 'total volume,' a unified concept has been opted for so that it is not possible to distinguish between gross revenues aggregated or disaggregated by branches of activity of the infringing company." Thus, it rejects the interpretation according to which this percentage should be calculated based on the turnover relative to the sector of activity to which the behavior or infringement is confined.</w:t>
      </w:r>
    </w:p>
    <w:p>
      <w:r>
        <w:t>- Within the sanctioning range that extends to the maximum percentage set in Article 63 of the LDC, the fines must be graduated in accordance with Article 64 of the LDC, as previously mentioned.</w:t>
      </w:r>
    </w:p>
    <w:p>
      <w:r>
        <w:t>- Finally, the 9th FD of the judgment emphasizes the necessary deterrence and proportionality that must guide the exercise of the sanctioning power, along with the precise attention to the graduation criteria previously pointed out. Thus, it states that "the administrative sanctions provided for the exercise of activities [...] must be set at a level sufficiently deterrent so that, when making their own decisions, companies do not aspire to obtain economic benefits derived from the infringements that turn out to be greater than the costs (the sanctions) inherent to the repression of those." It also specifies that the deterrent purpose of fines in matters of competition defense cannot become the prevailing reference point for the calculation in a specific case, displacing the principle of proportionality.</w:t>
      </w:r>
    </w:p>
    <w:p>
      <w:r>
        <w:t>6.2. Elements of graduation leading to specify the scale of sanction.</w:t>
      </w:r>
    </w:p>
    <w:p>
      <w:r>
        <w:t>As already noted, the infringement being analyzed here is classified by the LDC as very serious, to which a fine of up to 10% of the total turnover of the infringing company in the financial year immediately preceding the imposition of the sanctions, that is, 2014, is associated. In that year, the total turnover of ESTÉVEZ amounted to 42,896,679.17 euros (folio 983).</w:t>
      </w:r>
    </w:p>
    <w:p>
      <w:r>
        <w:t>As already mentioned, this 10% should be conceived as the maximum limit of a scale or sanctioning range that should be reserved for the most reprehensible infringement of the possible ones within its category.</w:t>
      </w:r>
    </w:p>
    <w:p>
      <w:r>
        <w:t>Article 64 of the LDC states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occur in relation to each of the responsible companies.</w:t>
      </w:r>
    </w:p>
    <w:p>
      <w:r>
        <w:t>In this case, we are faced with a very serious infringement, as it involves practices that fall within the definition of a cartel, in that the object of the same consisted of the adoption of agreements among the companies participating in the cartel, including ESTÉVEZ, regarding the exports of wine with D.O. Jerez and Manzanilla with private label or distributor brand, referred to as the BOB market, implementing various agreements aimed at coordinating their actions, eliminating competition among themselves, and adopting common positions against clients and other competitors. As has been evidenced, the cartel companies held numerous meetings with the aim of maintaining the status quo regarding clients and increasing BOB prices, which was achieved by setting a minimum price and restricting the amount of product present in the market, limiting competition in the free formation of prices and possessing sufficient aptitude to alter free competition in the market, with the consequent loss of independence with which market operators must act.</w:t>
      </w:r>
    </w:p>
    <w:p>
      <w:r>
        <w:t>By its very nature, a cartel of the kind described in this file automatically produces a significant distortion of competition, which exclusively benefits the participating entities by giving them a competitive advantage over other competitors in the affected market or potential competitors who might want to enter that market, as a cartel affects not only its participants but all competing companies present in the market that do not participate in it, being extremely detrimental to their clients.</w:t>
      </w:r>
    </w:p>
    <w:p>
      <w:r>
        <w:t>The agreements adopted by the cartel in which ESTÉVEZ participated consisted of establishing quotas or export shares for each participant of the cartel, the implementation of a compensation system, and the setting of prices through the allocation of a minimum reference price for offers to clients, client distribution, and information exchanges whose ultimate purpose was to raise prices. The cartel not only aimed to distort competition but had the effect of doing so and the aptitude for it, concentrating the cartel member wineries around 90% of the exports of the BOB market.</w:t>
      </w:r>
    </w:p>
    <w:p>
      <w:r>
        <w:t>In various documents of the file, the success of the BOB table is recognized, as it allowed them to recover prices in that market. So successful was the cartel that this price increase was precisely the signal that attracted this</w:t>
      </w:r>
    </w:p>
    <w:p>
      <w:r>
        <w:rPr>
          <w:b/>
        </w:rPr>
        <w:t>[Pages 76–78]</w:t>
      </w:r>
    </w:p>
    <w:p>
      <w:r>
        <w:t>market to operators who were not previously present, thereby causing competitive pressure that destabilized the agreement in 2004 and led to the design of a new instrument to control supply and enable that price increase again: the quota discriminated by wineries. The agreements resulted in an artificially increased price of the BOB product with a direct impact on the consumers of the companies participating in the cartel and indirect effects on the consumers of that product throughout the duration of the cartel.</w:t>
      </w:r>
    </w:p>
    <w:p>
      <w:r>
        <w:t>On the other hand, the infringement has had effects in other countries of the European Union, as the private label or distributor brands of the aforementioned wines with the designation of origin Jerez and Manzanilla are primarily marketed in the United Kingdom, Germany, and the Netherlands, and to a lesser extent, Belgium.</w:t>
      </w:r>
    </w:p>
    <w:p>
      <w:r>
        <w:t>Regarding the duration of the conduct, as we have already pointed out in the resolution, it would have extended at least from November 2001 to July 16, 2008.</w:t>
      </w:r>
    </w:p>
    <w:p>
      <w:r>
        <w:t>The Competition Directorate recalls that, when determining the amount of the sanction, and as already indicated regarding some of the companies participating in the cartel of Expte. S/0091/08 Fine Wines of Jerez, it is important to consider that ESTÉVEZ was part of the so-called "hard core" of the cartel, both due to the duration of its participation in the cartel and the role played in that cartel throughout its entire duration, although the Competition Directorate does not derive from this fact that said company, like the others that were part of that "hard core," can be considered responsible or instigators of the cartel.</w:t>
      </w:r>
    </w:p>
    <w:p>
      <w:r>
        <w:t>ESTÉVEZ claims, in relation to the determination of the sanction, a series of mitigating factors: prescription of the first period, minimal importance in the reference market, no production of effects or ability to produce effects, cooperation and non-obstruction during the investigation, the crisis situation of the sector, legitimate trust. This Chamber, in accordance with the arguments presented in this Resolution and in the Resolution of July 28, 2010 (Fine Wines of Jerez file), concludes that none of them is acceptable for the reasons set forth below:</w:t>
      </w:r>
    </w:p>
    <w:p>
      <w:r>
        <w:t>Regarding the existence of a crisis in a sector as a purported justification for the creation of a cartel, this is an old issue in the field of competition defense, and equally old is the reasoning for rejecting such an allegation through judgments T-217/03 and T-245/03. In those judgments, the General Court reduced the level of the sanction imposed by the Commission considering the special economic circumstances of the case. The circumstances referred to were notably different from those present in the current file, as the crisis that the sector was experiencing at the time of the infringement was due to a sudden and temporary crisis caused by the existence of a human disease, with tragic consequences, that was transmitted through beef. The consequence was a drastic and concentrated decline in beef consumption. It cannot be said that the crisis affecting the Jerez wine market can be categorized in the same way, as it is a sector that has been experiencing a sustained decline in demand over the last thirty years, and whose supply could have adapted to that demand following the laws of supply and demand that a competitive sector must follow, instead of keeping prices artificially high by restricting supply, dividing the market, and agreeing on minimum prices.</w:t>
      </w:r>
    </w:p>
    <w:p>
      <w:r>
        <w:t>The lack of effects as a mitigating criterion is also not acceptable as it is evidenced in the file. Indeed, at least during the years 2001 to 2004, the cartel was successful in its objective, as it managed to recover BOB price levels. During those years, and against all economic logic, a market in which demand was decreasing year after year saw its prices increase until recovering the price levels of earlier times, when demand was significantly higher. A different issue is that this effect has been quantified. Some documents state that the price prior to the cartel agreement was around €12/box, although it is also mentioned that some operators would be selling at €10/box. In the initial conditions of the 2001 agreement, a reference price of €17/box (2,800 pesetas) is established, and in emails from 2003, when the success of the cartel is confirmed, and before observing the entry of external operators into the market, there is talk of trying to raise the price level to €21/box (3,500 pesetas). In light of these facts, the claim of absence of illicit profits is also refuted.</w:t>
      </w:r>
    </w:p>
    <w:p>
      <w:r>
        <w:t>Regarding the consideration of the prescribed conduct, it is also not admissible, as we have previously responded in this Resolution: there are three periods of the cartel, the first between 2001 and 2004, a reflection period between 2004 and mid-2005, and a revitalization period from mid-2005 to July 2008, all linked together with a common purpose of limiting supply to increase the prices of the BOB product.</w:t>
      </w:r>
    </w:p>
    <w:p>
      <w:r>
        <w:t>With respect to the alleged cooperation with the Competition Directorate beyond what is required by the LDC, the Competition Directorate has already responded to the same allegation for other defendants in the file S/0091/08 Jerez Wines, indicating that it has not found such circumstances in any of the defendants in the file, so this Chamber sees no indication to change that assessment.</w:t>
      </w:r>
    </w:p>
    <w:p>
      <w:r>
        <w:t>6.3. Sanction to be imposed</w:t>
      </w:r>
    </w:p>
    <w:p>
      <w:r>
        <w:t>In accordance with the above, this Chamber considers that it is appropriate to impose a sanction on ESTÉVEZ in the amount of €1,715,867, which represents 4.0% of the total turnover in 2014. This fine results from a sanctioning procedure initiated ex novo, so the prohibition of reformatio in peius does not apply.</w:t>
      </w:r>
    </w:p>
    <w:p>
      <w:r>
        <w:t>HAS RESOLVED</w:t>
      </w:r>
    </w:p>
    <w:p>
      <w:r>
        <w:t>FIRST.- To declare the existence of an infringement of Article 1 of Law 15/2007, of July 3, on the Defense of Competition, and of Article 101 of the TFEU, in the terms set forth in the Fourth Legal Basis of this Resolution.</w:t>
      </w:r>
    </w:p>
    <w:p>
      <w:r>
        <w:t>SECOND.- To declare BODEGAS JOSÉ ESTÉVEZ, S.A. responsible for the aforementioned infringement.</w:t>
      </w:r>
    </w:p>
    <w:p>
      <w:r>
        <w:t>THIRD.- To impose a fine of €1,715,867 on BODEGAS JOSÉ ESTÉVEZ, S.A.</w:t>
      </w:r>
    </w:p>
    <w:p>
      <w:r>
        <w:t>FOURTH.- To urge the Competition Directorate to monitor compliance with this Resolution.</w:t>
      </w:r>
    </w:p>
    <w:p>
      <w:r>
        <w:t>FIFTH.- To declare confidential the information referred to in the Legal Basis 5.2 of this Resolution.</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