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https://www.cnmc.es/expedientes/sdc052214</w:t>
      </w:r>
    </w:p>
    <w:p>
      <w:r>
        <w:t>Pages translated : 32</w:t>
      </w:r>
    </w:p>
    <w:p/>
    <w:p>
      <w:r>
        <w:rPr>
          <w:b/>
        </w:rPr>
        <w:t>[Pages 1–3]</w:t>
      </w:r>
    </w:p>
    <w:p>
      <w:r>
        <w:t xml:space="preserve">RESOLUTION  </w:t>
        <w:br/>
        <w:t xml:space="preserve">(Exp. S/DC/0522/14 THYSSENKRUPP)  </w:t>
        <w:br/>
        <w:t xml:space="preserve">COMPETITION CHAMBER  </w:t>
        <w:br/>
        <w:t xml:space="preserve">PRESIDENT  </w:t>
        <w:br/>
        <w:t xml:space="preserve">Mr. José María Marín Quemada  </w:t>
        <w:br/>
        <w:t xml:space="preserve">COUNCILORS  </w:t>
        <w:br/>
        <w:t xml:space="preserve">Mr. Josep María Guinart  </w:t>
        <w:br/>
        <w:t xml:space="preserve">Ms. María Ortiz Aguilar  </w:t>
        <w:br/>
        <w:t xml:space="preserve">Mr. Fernando Torremocha y García-Sáenz  </w:t>
        <w:br/>
        <w:t xml:space="preserve">Mr. Benigno Valdés Díaz  </w:t>
        <w:br/>
        <w:t xml:space="preserve">SECRETARY  </w:t>
        <w:br/>
        <w:t xml:space="preserve">Mr. Tomás Suárez-Inclán González  </w:t>
        <w:br/>
        <w:t xml:space="preserve">In Madrid, on January 12, 2016  </w:t>
        <w:br/>
        <w:t>The Competition Chamber of the National Commission of Markets and Competition (CNMC), with the composition expressed in the margin, has issued this Resolution in the file S/DC/0522/14 THYSSENKRUPP, processed by the Competition Directorate (DC), following the complaint filed by ZARAGOZA CONSULTORES S.L., for alleged restrictive practices of competition prohibited under Law 15/2007, of July 3, on the Defense of Competition (LDC).</w:t>
      </w:r>
    </w:p>
    <w:p>
      <w:r>
        <w:t xml:space="preserve">I. FACTUAL BACKGROUND  </w:t>
        <w:br/>
        <w:t xml:space="preserve">1. On September 23, 2014, a complaint was received at the CNMC from ZARAGOZA CONSULTORES S.L. against THYSSENKRUPP ELEVADORES S.L.U. (THYSSEN), for alleged conduct contrary to Article 3 of the LDC, consisting of making false and/or denigrating statements about competitors in the elevator maintenance market (pages 1 to 7).  </w:t>
        <w:br/>
        <w:t xml:space="preserve">2. The Competition Directorate (DC), within the framework established in section 2 of Article 49 of the LDC, initiated a reserved inquiry numbered S/DC/0522/14, in order to preliminarily determine the existence of circumstances justifying the initiation of sanctioning proceedings.  </w:t>
        <w:br/>
        <w:t xml:space="preserve">3. In the context of the reserved inquiry, on October 1, 2014, the DC requested the complainant to complete the complaint; however, although he signed the acknowledgment of receipt, he did not respond to the request or to the phone calls made to clarify certain aspects of the complaint. Additionally, the DC requested, on October 27, 2014, information from THYSSEN to confirm certain data from the complaint (pages 39 to 43). The response to this request was received at the CNMC on November 14, 2014 (pages 67 to 154).  </w:t>
        <w:br/>
        <w:t xml:space="preserve">4. On December 15, 2014, the DC, in accordance with the provisions of Article 49.1 of the LDC, agreed to initiate sanctioning proceedings against THYSSENKRUPP ELEVADORES S.L.U. for possible conduct prohibited under Article 3 of the LDC, consisting of obstructing the activity of competitors in that market through the use of unfair means, such as communications to clients containing misleading and/or denigrating content about the activities of their rivals in elevator maintenance and supply of spare parts, with the intention of eliminating competitors from the market (pages 155 to 161).  </w:t>
        <w:br/>
        <w:t xml:space="preserve">5. On February 11, 2015, the DC requested THYSSEN for information regarding identification and communications sent to clients of maintenance services from 2011 to the present, in the provincial capitals of Zaragoza and Toledo (pages 166 to 171). The responses were received on February 27 (after an extension of the deadline granted) and March 20, 2015 (pages 184 to 561 and 562 to 582).  </w:t>
        <w:br/>
        <w:t xml:space="preserve">6. On April 27, 2015, in response to a new request for information from the DC dated April 15, 2015, THYSSEN requested the formal opening of the conventional termination of the file by submitting general lines of commitments to resolve the competition issues, in accordance with the provisions of Articles 52 of the LDC and 39 of the Competition Defense Regulation (RDC), approved by Royal Decree 261/2008, of February 22 (pages 618 to 639).  </w:t>
        <w:br/>
        <w:t xml:space="preserve">7. On May 6, 2015, the DC agreed to initiate proceedings aimed at conventional termination and to suspend the maximum resolution period of the file, notifying THYSSEN (pages 640 to 645). On June 3, 2015, THYSSEN sent a proposal for commitments to the CNMC (pages 647 to 666) and, on June 9, 2015, the DC sent a copy of the proposal for commitments submitted by THYSSEN to the Council of the CNMC, in application of the provisions of Article 39.2 RDC (page 667).  </w:t>
        <w:br/>
        <w:t xml:space="preserve">8. On July 13, 2015, a new proposal for commitments from THYSSEN was received at the CNMC (pages 668 to 691). The DC sent this proposal to the Council of the CNMC on July 21, 2015 (pages 692 to 707).  </w:t>
        <w:br/>
        <w:t xml:space="preserve">9. On September 8, 2015, the Competition Directorate, in accordance with the provisions of Article 50.5 of the LDC, submitted to the Council of the CNMC a Proposal for Conventional Termination in which it literally states:  </w:t>
        <w:br/>
        <w:t xml:space="preserve">“X. PROPOSAL TO THE COUNCIL  </w:t>
        <w:br/>
        <w:t xml:space="preserve">Taking into account the assessments made, it is PROPOSED that the Council of the CNMC resolve the conventional termination of file S/DC/0522/14, initiated by the complaint filed by ZARAGOZA CONSULTORES S.L. against THYSSEN, for alleged practices contrary to Article 3 of the LDC consisting of making false statements about competitors and the services they provide in the elevator maintenance market, in accordance with the provisions of Articles 52 of the LDC and 39.5 of the RDC, considering that the commitments presented by THYSSEN resolve the competition issues arising from the aforementioned conduct. […]”  </w:t>
        <w:br/>
        <w:t xml:space="preserve">10. The Competition Chamber of the Council of the CNMC deliberated and issued this Resolution in its meeting on xxx of January 2016.  </w:t>
        <w:br/>
        <w:t xml:space="preserve">11. The interested parties in this file are:  </w:t>
        <w:br/>
        <w:t xml:space="preserve">- ZARAGOZA CONSULTORES, S.L.  </w:t>
        <w:br/>
        <w:t>- THYSSENKRUPP ELEVADORES S.L.U.</w:t>
      </w:r>
    </w:p>
    <w:p>
      <w:r>
        <w:t xml:space="preserve">II. THE PARTIES  </w:t>
        <w:br/>
        <w:t xml:space="preserve">The interested parties in this file, as stated in the Proposal for Conventional Termination (PTC) of the DC, are as follows:  </w:t>
        <w:br/>
        <w:t xml:space="preserve">1) ZARAGOZA CONSULTORES S.L. (complainant)  </w:t>
        <w:br/>
        <w:t xml:space="preserve">It is a service provider company for management and administration, and educational, leisure, and entertainment services, established on January 21, 2013, with its registered office at Paseo de la Independencia, 28, 4th floor, door 7, Zaragoza. Its sole Administrator is Mr. Manuel Méndez Gustrán, who manages the Community of Owners (CP) of Calle Majas de Goya 8-10 in Zaragoza.  </w:t>
        <w:br/>
        <w:t xml:space="preserve">2) THYSSEN (complained party)  </w:t>
        <w:br/>
        <w:t>ThyssenKrupp Elevadores is a company belonging to the ThyssenKrupp Group dedicated to the installation, rehabilitation, modernization, and maintenance of</w:t>
      </w:r>
    </w:p>
    <w:p>
      <w:r>
        <w:rPr>
          <w:b/>
        </w:rPr>
        <w:t>[Pages 4–6]</w:t>
      </w:r>
    </w:p>
    <w:p>
      <w:r>
        <w:t>elevators, freight lifts, escalators, moving walkways, lifting platforms, and stage equipment. In Spain, it has manufacturing facilities and operates in the installation and maintenance markets.</w:t>
      </w:r>
    </w:p>
    <w:p>
      <w:r>
        <w:t>III. MARKET CHARACTERIZATION</w:t>
      </w:r>
    </w:p>
    <w:p>
      <w:r>
        <w:t>1. Regulatory Framework</w:t>
      </w:r>
    </w:p>
    <w:p>
      <w:r>
        <w:t>The behaviors analyzed in this case file affect the elevator maintenance and repair sector.</w:t>
      </w:r>
    </w:p>
    <w:p>
      <w:r>
        <w:t>As this sector is characterized by a certain level of danger, a substantial amount of regulation has been approved to ensure the safety of the operation of lifting devices.</w:t>
      </w:r>
    </w:p>
    <w:p>
      <w:r>
        <w:t>Law 21/1992, of July 16, on Industry (Industry Law) establishes the foundations for the regulation of the industrial sector, being applicable to various activities related to elevators and other lifting devices. Its regulatory development, regarding the elevator and lifting device sector, has been carried out through the following regulations:</w:t>
      </w:r>
    </w:p>
    <w:p>
      <w:r>
        <w:t>Royal Decree 2291/1985, of November 8, which approves the Regulation of Lifting and Handling Devices (partially repealed).</w:t>
      </w:r>
    </w:p>
    <w:p>
      <w:r>
        <w:t>Royal Decree 1314/1997, of August 1, which lays down the provisions for the application of the Directive of the European Parliament and of the Council 95/16/EC, on the approximation of the laws of the Member States relating to elevators.</w:t>
      </w:r>
    </w:p>
    <w:p>
      <w:r>
        <w:t>Royal Decree 57/2005, of January 21, which establishes prescriptions for increasing the safety of the existing elevator stock (partially repealed).</w:t>
      </w:r>
    </w:p>
    <w:p>
      <w:r>
        <w:t>Royal Decree 560/2010, of May 7, which modifies various regulatory standards in the field of industrial safety to adapt them to Law 17/2009, of November 23, on free access to service activities and their exercise, and to Law 25/2009, of December 22, amending various laws to adapt to the Law on free access to service activities and their exercise.</w:t>
      </w:r>
    </w:p>
    <w:p>
      <w:r>
        <w:t>Royal Decree 88/2013, of February 8, which approves the Technical Complementary Instruction AEM 1 "Elevators" of the Regulation of Lifting and Handling Devices, approved by Royal Decree 2291/1985, of November 8.</w:t>
      </w:r>
    </w:p>
    <w:p>
      <w:r>
        <w:t>The state legal framework regulating this matter has been supplemented by various provisions issued by the Autonomous Communities within the scope of their assigned competencies.</w:t>
      </w:r>
    </w:p>
    <w:p>
      <w:r>
        <w:t>Furthermore, both the transposition of the Directive of the European Parliament and of the Council 95/16/EC, on the approximation of the laws of the Member States relating to elevators, and the Directive 2006/123/EC of the European Parliament and of the Council, of December 12, 2006, on services in the internal market (Services Directive) into the Spanish legal system have introduced significant modifications. In particular, in the Industry Law, whose adaptation to the content of this latter Directive has been carried out through Law 25/2009, of December 22, amending various laws to adapt to the Law on free access to service activities and their exercise.</w:t>
      </w:r>
    </w:p>
    <w:p>
      <w:r>
        <w:t>From this legislative compendium, it is noteworthy that elevators can only be marketed and put into service when, being installed and maintained properly, they do not pose a risk to the safety or health of individuals and, where applicable, the safety of property (art. 3 RD 1314/1997). To this end, the installer must obtain the declaration of conformity with the current regulatory provisions issued by a control body authorized by the corresponding Autonomous Community and place the "CE" marking on the elevator.</w:t>
      </w:r>
    </w:p>
    <w:p>
      <w:r>
        <w:t>For their part, the Autonomous Communities are obliged to maintain the Register of Lifting Devices (RAE) and to identify, through their registration in it, all lifting devices installed in their territory, the company that carried out their installation, the inspections carried out, the companies responsible for their maintenance, as well as the various incidents and repairs they are subject to, among other details. All this information is managed by provincial delegations.</w:t>
      </w:r>
    </w:p>
    <w:p>
      <w:r>
        <w:t>Current regulations also require that all elevators have a maintenance contract before they are put into operation, which is subject to registration along with the other data of the elevator (section 16 of the Technical Complementary Instruction MIE-AEM-1 of the Regulation of Lifting and Handling Devices, approved by Order of September 23, 1987). Maintenance companies are obliged to report to the competent administrative body all the registrations and cancellations of maintenance contracts for the devices they are responsible for (art. 11.g) RD 2291/1985).</w:t>
      </w:r>
    </w:p>
    <w:p>
      <w:r>
        <w:t>Maintenance companies must meet minimum requirements developed in Article 10 of Royal Decree 2291/1985. Firstly, they must be registered in the Register of Maintenance Companies of the competent territorial bodies of the Public Administration. These registrations will be valid for one year and may be renewed annually if compliance with the remaining requirements is demonstrated. Secondly, they must possess the technical and human resources specified in each Technical Complementary Instruction (ITC) and the development regulations. Thirdly, they must have civil liability coverage that may arise from their actions. They must also ensure that the devices they are entrusted with are in adequate maintenance conditions.</w:t>
      </w:r>
    </w:p>
    <w:p>
      <w:r>
        <w:t>On the other hand, Article 2 of Royal Decree 57/2005, of January 21, which establishes prescriptions for increasing safety in the existing elevator stock, provides that companies carrying out significant renovations on existing elevators must have at least one qualified technician (senior engineer or technical engineer) and five qualified workers, of whom at least three must have the status of official.</w:t>
      </w:r>
    </w:p>
    <w:p>
      <w:r>
        <w:t>Similarly, section 6 of Annex I of RD 1314/1997 regulates additional obligations related to manuals, establishing the following:</w:t>
      </w:r>
    </w:p>
    <w:p>
      <w:r>
        <w:t>“6. Instructions for use</w:t>
        <w:br/>
        <w:t>6.1 The safety components mentioned in Annex IV shall be accompanied by an instruction manual written in an official language of the Member State of the elevator installer or in another community language accepted by it, so that: assembly, connection, adjustment, maintenance can be carried out effectively and without danger.</w:t>
        <w:br/>
        <w:t>6.2 Each elevator shall be accompanied by documentation written in the official language or languages of the Community, which may be determined, in accordance with the Treaty, by the Member State in which the elevator is installed. This documentation shall consist at a minimum of: an instruction manual containing the necessary plans and diagrams for ordinary use, as well as those necessary for maintenance, inspection, repair, periodic reviews, and rescue operations mentioned in section 4.4; an incident notebook, in which repairs and, where applicable, periodic reviews may be recorded.”</w:t>
      </w:r>
    </w:p>
    <w:p>
      <w:r>
        <w:t>Finally, it is worth mentioning Royal Decree 88/2013, of February 8, which approves the Technical Complementary Instruction AEM 1 "Elevators" of the Regulation of Lifting and Handling Devices, approved by Royal Decree 2291/1985, of November 8. This RD restores the ITC MIE-AEM 1 as the technical complementary instruction of the Regulation of Lifting and Handling Devices that globally regulates everything related to the safety of elevators and assimilated lifting devices, although with the necessary adaptations to meet the provisions of community directives, as well as through the consolidation of the Directives 95/16/EC of the European Parliament and of the Council, of June 29, 1995, on the approximation of the laws of the Member States relating to elevators and Directive 2006/42/EC of the European Parliament and of the Council, of May 17, 2006, on machinery, which amends Directive 95/16/EC.</w:t>
      </w:r>
    </w:p>
    <w:p>
      <w:r>
        <w:rPr>
          <w:b/>
        </w:rPr>
        <w:t>[Pages 7–9]</w:t>
      </w:r>
    </w:p>
    <w:p>
      <w:r>
        <w:t>modifications made by previous decrees. As stated in the preamble of this RD, the experience gained in the application of previous regulations and the technical evolution necessitate a reconsideration of the methods and timelines for carrying out maintenance reviews, in order to avoid excessive costs, but without compromising the necessary safety, taking into account the different usage conditions of elevators, such as in the case of single-family homes.</w:t>
      </w:r>
    </w:p>
    <w:p>
      <w:r>
        <w:t>2. Product Market</w:t>
        <w:br/>
        <w:t>The elevator sector, within the transport equipment industry, includes vertical transport systems, among them elevators, and horizontal transport systems, including escalators and moving walkways. Elevators are distinguished, both by their technical characteristics and by their use, from other lifting platforms (cranes, material lifts, or vertical conveyors) as well as from other lifting devices (funiculars, rack trains, construction site elevators, or elevators located in means of transport). In this regard, Article 2.1. of RD 1314/1997 defines an elevator as “any lifting device that serves defined levels, with a cabin that moves along rigid guides and whose inclination to the horizontal is greater than 15 degrees, intended for the transport: a) of persons, b) of persons and objects, c) solely of objects if the cabin is accessible, that is, if a person can enter it without difficulty, and if it is equipped with operating devices located inside the cabin or within reach of a person situated inside it.”</w:t>
      </w:r>
    </w:p>
    <w:p>
      <w:r>
        <w:t>Three main areas of activity can be distinguished in the elevator sector: (i) manufacturing and wholesale sale of elevators and components, (ii) assembly, installation, and retail sale of elevators, and (iii) maintenance and repair (conservation) of installed elevators. These activities have been considered in the aforementioned national precedents as separate product markets. The facts reported in the present case file affect the maintenance and repair activity of installed elevators.</w:t>
      </w:r>
    </w:p>
    <w:p>
      <w:r>
        <w:t>Maintenance and Repair of Elevators</w:t>
        <w:br/>
        <w:t>The main characteristic of the maintenance and repair activity is its secondary nature (markets commonly referred to as aftermarkets) in relation to the sale and installation of elevators, given that the maintenance and repair service is demanded to the extent that there is an already installed fleet of elevators that needs it. Even in those cases where this fleet is already of a certain age, a third activity of comprehensive renewal of the device is developed, whereby certain parts and components are replaced at once to return the elevator to similar conditions as when it was installed.</w:t>
      </w:r>
    </w:p>
    <w:p>
      <w:r>
        <w:t>The activities of maintenance and repair of elevators are those directly related to their review and verification according to the established standards and timelines, as well as the repair of such devices, aimed at ensuring the proper functioning of the installed elevators. The geographical scope in which this activity takes place has a dimension smaller than the national level, particularly provincial. This is due to the fact that, to ensure adequate service provision, which allows for reliable inspection and maintenance, as well as effective and rapid repair in the hours following the receipt of the breakdown notice, the physical presence of the maintenance company in the area where the elevators for which it is responsible are located is necessary.</w:t>
      </w:r>
    </w:p>
    <w:p>
      <w:r>
        <w:t>The advantages derived from vertical integration do not prevent the participation in the market of a large group of other smaller non-vertically integrated companies that, although they do not necessarily operate throughout the national territory, carry out installation and maintenance activities of elevators manufactured by third parties, or exclusively maintenance work, in certain provincial areas. Often these are companies created by former employees of large vertically integrated groups, capable of generating significant competitive pressure on these groups, particularly in relation to less technologically advanced elevators. These types of companies pay special attention to price competitiveness, a variable whose weight in the final consumer's decision has tended to gain importance in the current economic crisis.</w:t>
      </w:r>
    </w:p>
    <w:p>
      <w:r>
        <w:t>It should be noted that in recent years there has been a trend towards the growth of large operators through the acquisition of rival companies or maintenance contract portfolios, some of which have been notified and analyzed by the CNC upon reaching the thresholds for mandatory notification provided for in the LDC. The frequent expansion through the acquisition of maintenance customer portfolios could be an indication of the reluctance or difficulties of these customers to change providers.</w:t>
      </w:r>
    </w:p>
    <w:p>
      <w:r>
        <w:t>The demand for elevator maintenance and repair services depends on the moment the service is contracted and the reason that leads to the demand for the elevator. Thus, in cases of new construction for residential use, where there is not yet a functioning elevator, it is usually the promoting company itself that contracts the maintenance of the device; subsequently, the homeowners' association, once established, must decide whether to substitute or not in the maintenance contract signed by the promoter. In the remaining cases of residential use, the demand for the service will come from the homeowners' meetings or from the administrators of the corresponding properties.</w:t>
      </w:r>
    </w:p>
    <w:p>
      <w:r>
        <w:t>Regarding the price of this service, it is generally set through individual negotiations with the final customer who lacks bargaining power, so there is no transparency in prices. However, public bodies and large clients usually have greater bargaining power and generally publicly tender these contracts. The main determinants of the price are the coverage of the contract (all-risk, semi-risk, or basic) and the characteristics of the elevator (age, number of stops, technology, traffic). A similar heterogeneity to that of the elevator manufacturing and sales segment is observed, also due to the great diversity of variables that affect its formation: characteristics of the elevator (model, size, age), exogenous reasons (location of the property and its nature), intensity of use of the device, and type of maintenance contracted (basic, all-risk, or other varieties).</w:t>
      </w:r>
    </w:p>
    <w:p>
      <w:r>
        <w:t>It is worth mentioning the Resolutions of the defunct National Competition Commission (CNC), in which the Council has emphasized (specifically, in Resolution C-108-07 ORONA/ASCENSORES GASTEIZ) that, even for large manufacturers, the revenues from maintenance and repair activities have greater relative importance than those from the manufacturing, sale, and installation market. This assessment has also been included in the European Commission's Decision on escalators and elevators. The importance of this activity has increased in the current economic context, as a consequence of the greater linkage of the demand for new elevators with new construction. At a time of stagnation in construction and, therefore, in the possibilities of selling elevators, the maintenance segment may be becoming more important for vertically integrated maintainers (whether in two or three of the phases of the process).</w:t>
      </w:r>
    </w:p>
    <w:p>
      <w:r>
        <w:t>“Maintenance services, according to the information available to the Commission, generate the majority of profits in the elevator and escalator sector. Consequently, the size of the company's installed base is correlated with the company's profits - an increase in the installed base generates more maintenance opportunities.” (own translation) Decision of the Commission 21-09-07, As. 38.823-PO/ESCALERAS MECÁNICAS Y ASCENSORES, paragraph 55.</w:t>
      </w:r>
    </w:p>
    <w:p>
      <w:r>
        <w:rPr>
          <w:b/>
        </w:rPr>
        <w:t>[Pages 10–12]</w:t>
      </w:r>
    </w:p>
    <w:p>
      <w:r>
        <w:t>value chain), as the revenues derived from the flow of active maintenance contracts grow more rapidly than those that can be obtained from the sales of new elevators.</w:t>
      </w:r>
    </w:p>
    <w:p>
      <w:r>
        <w:t>The cited precedents do not consider that there are insurmountable barriers to entry in the maintenance market, as large investments are not necessary. However, the following have been identified:</w:t>
      </w:r>
    </w:p>
    <w:p>
      <w:r>
        <w:t>i. Regulatory: Access to this activity requires the submission to the competent body of the corresponding Autonomous Community of a responsible declaration that includes the assertion of compliance with state requirements and, where applicable, with regional regulations; the availability of documentation proving compliance with such requirements; and the commitment to maintain such documents during the duration of its activity, as well as to comply with the corresponding technical regulations in the development of the same.</w:t>
      </w:r>
    </w:p>
    <w:p>
      <w:r>
        <w:t>ii) Vertical integration with the installation market, to the extent that installation is configured as the main way to acquire customers for maintenance and repair.</w:t>
      </w:r>
    </w:p>
    <w:p>
      <w:r>
        <w:t>iii) High degree of brand loyalty and asymmetries in information that particularly affect demand.</w:t>
      </w:r>
    </w:p>
    <w:p>
      <w:r>
        <w:t>iv) Inelasticity of demand.</w:t>
      </w:r>
    </w:p>
    <w:p>
      <w:r>
        <w:t>7 Article 10 of Royal Decree 2291/1985, of November 8, which approves the Regulation of Lifting and Handling Devices.</w:t>
      </w:r>
    </w:p>
    <w:p>
      <w:r>
        <w:t>8 According to the Resolution of the Council of the CNC, of February 14, 2008, in case C-0027/07 (Zardoya Otis/Devega): “For all these reasons, as noted by the Council of the CNC in its report C-109/07, it can be said that the key mechanism for acquiring maintenance and repair contracts is to obtain the first contract, which usually occurs when the maintenance company itself installs the elevator. In other cases, that first maintenance contract for the elevator is obtained by a company different from the installer. And on rare occasions, a maintenance contract is lost from one maintenance company to another: in this sense, the commercial aggressiveness of some maintenance companies towards others seems reduced. The reduced aggressiveness in provinces where all the large vertically integrated operators are established could be due to several reasons ranging from the lack of information about expiring contracts and the lack of information about the market by homeowners' associations, to the consolidation of a consciously parallel non-aggression situation and ending with the significant growth of the real estate market. Therefore, the evolution of the market in the coming years will be particularly revealing, in which the growth in the number of new devices will slow down, along with the real estate sector. In this regard, it would seem advisable for consumer authorities to make an informative effort in homeowners' associations about the possibilities offered by the maintenance market and to contribute to increasing the elasticity of demand.”</w:t>
      </w:r>
    </w:p>
    <w:p>
      <w:r>
        <w:t>9 According to the CNC Report on the functioning of the elevator maintenance market, of the nearly 30,000 elevators that the consulted companies put into operation in 2009, only in 156 was the first maintenance contract signed with a company different from that of the installer of the device. That is, in almost 98% of cases, the contract was signed with the company that installed it. In fact, only one of the consulted companies retained less than 95% of the first maintenance contracts.</w:t>
      </w:r>
    </w:p>
    <w:p>
      <w:r>
        <w:t>10</w:t>
      </w:r>
    </w:p>
    <w:p>
      <w:r>
        <w:t>v) Difficulties in accessing spare parts.</w:t>
      </w:r>
    </w:p>
    <w:p>
      <w:r>
        <w:t>3. Geographic market</w:t>
      </w:r>
    </w:p>
    <w:p>
      <w:r>
        <w:t>As stated in the Resolution of the Council of the CNC of January 10, 2011 (case S/0230/10 ELEVATORS), the geographic market for the maintenance and repair of elevators is defined as provincial for several reasons:</w:t>
      </w:r>
    </w:p>
    <w:p>
      <w:r>
        <w:t>- In order to ensure reliable inspection and maintenance, and quick and adequate repair (in the hours following the receipt of the breakdown notice), it is necessary to guarantee the physical presence of the maintenance company in the area where the elevators whose maintenance and repair are contracted are located. Therefore, companies active in this market have technical services that cover areas smaller than the national territory, usually provinces.</w:t>
      </w:r>
    </w:p>
    <w:p>
      <w:r>
        <w:t>- Additionally, companies organize their operations through scheduled review routes, so that technicians usually travel with light vans that could reach a radius of up to 100 km around.</w:t>
      </w:r>
    </w:p>
    <w:p>
      <w:r>
        <w:t>- The current regulations (R.D. 2291/1985, of November 8 “Regulation of Lifting and Handling Devices; Order of September 23, 1987, of the Ministry of Industry and Energy “Technical Instruction Complementary MIE-AEM-1 of the Regulation of Lifting Devices”) require, to provide elevator maintenance services, to hold a "maintenance certificate," which is obtained by meeting the following requirements: (i) having at least one qualified employee (senior engineer or technician) and two qualified operators at the company level who must be full-time, and (ii) having, at the provincial level, one qualified operator with official status for every 75 devices to be maintained and having a premises with telephone, spare parts, and other necessary means to effectively carry out their work.</w:t>
      </w:r>
    </w:p>
    <w:p>
      <w:r>
        <w:t>IV. FACTS</w:t>
      </w:r>
    </w:p>
    <w:p>
      <w:r>
        <w:t>According to the information in the file, the DC considers that the investigated facts refer to certain communications from THYSSEN to its clients in which statements and considerations are made about competitors and the services they provide in the elevator maintenance and repair market.</w:t>
      </w:r>
    </w:p>
    <w:p>
      <w:r>
        <w:t>4.1. THYSSEN has sent, on two occasions, communications to clients questioning the technical, professional, and economic capacity of competing maintenance companies of lifting devices not vertically integrated.</w:t>
      </w:r>
    </w:p>
    <w:p>
      <w:r>
        <w:t>The file contains two communications, dated July 5, 2013, and September 3, 2014, sent by THYSSEN employees from their respective provincial delegations referring to competing maintenance companies, the content of which could be considered misleading or denigrating, even questioning the professionalism of these companies in providing elevator maintenance and repair services. Thus, in the information sent in response to the request for information made on October 27, 2014, by the DC to THYSSEN, an email dated July 5, 2013, sent by a THYSSEN Delegate in Toledo to the president of the Homeowners' Community “Salto del Caballo” is included. In this email, among other statements, the following is noted: “(...) we are the official company, which has spare parts (...) to offer a fast and efficient service. Any other company that has not manufactured the equipment has problems with spare parts, does not diagnose breakdowns correctly, which will result in little utility of the elevators, premature wear, replacement of materials with non-original ones, etc." (folio 92).</w:t>
      </w:r>
    </w:p>
    <w:p>
      <w:r>
        <w:t>Additionally, in the complaint filed by Zaragoza Consultores S.L., an email dated September 3, 2014, sent by a THYSSEN Delegate in Zaragoza to the president of the Homeowners' Community “Majas de Goya 8-10” was provided. In the email, among other aspects, the following was stated: “The company that has been 'awarded' to you [referring to the company MPM OTIS ESPAÑA S.L., and the Administrator of the community] has just registered in the maintenance providers' registry of the government of Aragón. It does not have the resources or means to maintain an elevator manufactured by us, much less to provide you service 24 hours a day, every day of the year as you had contracted with us (a serious case could be a rescue on a weekend, for example)(…)" (folios 6 and 142).</w:t>
      </w:r>
    </w:p>
    <w:p>
      <w:r>
        <w:t>4.2. In the sampling carried out by the Competition Directorate, no further communications with misleading and/or denigrating content about the services provided by competitors have been detected.</w:t>
      </w:r>
    </w:p>
    <w:p>
      <w:r>
        <w:rPr>
          <w:b/>
        </w:rPr>
        <w:t>[Pages 13–15]</w:t>
      </w:r>
    </w:p>
    <w:p>
      <w:r>
        <w:t>On February 11, 2015, the DC requested THYSSEN to send the first 5 communications to clients from each odd month (January, March, May, July, September, November) from 2011 to the present, of the total communications that were directed to all clients to whom it provided elevator maintenance services (folios 166 to 169).</w:t>
      </w:r>
    </w:p>
    <w:p>
      <w:r>
        <w:t>From the information provided by THYSSEN in its response dated February 27, 2015, no further communications of the type previously exposed, containing denigrating or misleading content about competitors and/or their commercial activity in the elevator maintenance market, were detected (folios 184 to 561).</w:t>
      </w:r>
    </w:p>
    <w:p>
      <w:r>
        <w:t>4.3. THYSSEN does not have models of communications to clients that question the professionalism of non-vertically integrated competing companies as maintainers of lifting devices.</w:t>
      </w:r>
    </w:p>
    <w:p>
      <w:r>
        <w:t>The DC requested on April 14, 2015, that THYSSEN provide the models of communications in which the maintenance services of its company were offered that had been sent in the last two years to clients or that had served as a basis for the communications made to them (folios 589 to 594).</w:t>
      </w:r>
    </w:p>
    <w:p>
      <w:r>
        <w:t>From THYSSEN's response, it follows that, first, THYSSEN does not generally have models of communications to clients in the indicated terms. The usual means of communication with clients is either the hand delivery of the commercial offer by the sales agents of the territorial delegations or attaching it to an email, which is drafted at the discretion of the salesperson.</w:t>
      </w:r>
    </w:p>
    <w:p>
      <w:r>
        <w:t>Secondly, only the territorial delegations of Barcelona and Albacete, for internal organizational reasons, have been using a base document to communicate their commercial offers to potential clients. The communication documents from both delegations have been attached, and none of them refer to the activity and/or services of competitors.</w:t>
      </w:r>
    </w:p>
    <w:p>
      <w:r>
        <w:t>Additionally, starting in October 2014, three models of letters were made available to THYSSEN's sales agents with the aim of serving as a common basis for communications to clients, thus avoiding more personalized emails. The models, titled (i) request for maintenance budget, (ii) maintenance services offer, and (iii) maintenance services budget, were attached to the response. None of the three documents includes references with denigrating or misleading content about the activity of competing companies, but rather specify THYSSEN's commercial offer in the elevator maintenance services market (folios 618 to 639).</w:t>
      </w:r>
    </w:p>
    <w:p>
      <w:r>
        <w:t>V. COMMITMENTS PRESENTED</w:t>
      </w:r>
    </w:p>
    <w:p>
      <w:r>
        <w:t>The commitments presented by THYSSEN, dated June 3, 2015, and July 13, 2015 (revised proposal), include modifications to its communication policy with clients as well as aspects related to the correction of the statements made in the communications that led to the case file (folios 647 to 666 and 668 to 691).</w:t>
      </w:r>
    </w:p>
    <w:p>
      <w:r>
        <w:t>Regarding the communication policy to clients, two commitments are proposed: the first, consisting of sending (within 10 days from the notification of the Resolution of Conventional Termination) a letter to its entire commercial network warning that it will pursue any communication to clients that violates competition law (detailing, among other issues, that it will reject and not tolerate any type of communication to current or potential clients of elevator maintenance that contains statements contrary to the technical, economic, or other capabilities of any competitor in any geographical area). This commitment will be evidenced by sending a copy of the letter to the CNMC that will be sent by email to its recipients, and proof of its publication on the intranet, within ten days from the sending of the aforementioned letter. Additionally, as an additional monitoring measure, every six months for 2 years, THYSSEN will send to the CNMC the communication models used by the commercial network with clients, in case THYSSEN used such models.</w:t>
      </w:r>
    </w:p>
    <w:p>
      <w:r>
        <w:t>The second commitment, consisting of the publication in the internal magazine “WE are Thyssenkrupp” (within the month following the notification of the Resolution of Conventional Termination) of a “practical guide to communications with clients and agreement of conventional termination with the CNMC,” both in the paper edition and in the version posted on the company's Intranet, detailing the steps to follow in communications to clients to ensure compliance with competition law. The accreditation of this commitment will be made by sending a copy of the corresponding issue of the internal magazine to the CNMC within 10 days from its publication, as well as a graphic transcription from the company's intranet.</w:t>
      </w:r>
    </w:p>
    <w:p>
      <w:r>
        <w:t>Regarding the correction of previously made statements, a third commitment is proposed, consisting of sending a letter (within 10 days from the notification of the Resolution of Conventional Termination) to the communities of owners (i) Majas de Goya 8-10 in Zaragoza, and (ii) Salto del Caballo in Toledo, as well as to the complainant and the alternative maintenance company in the case of the Zaragoza community of owners, retracting the statements made in the communications that led to this sanctioning case. The accreditation of the third commitment will be carried out by sending a copy of the letters to the CNMC within 10 days from their sending.</w:t>
      </w:r>
    </w:p>
    <w:p>
      <w:r>
        <w:t>Finally, THYSSEN assumes, as a fourth commitment, the obligation to refrain, in a general manner, from making any verbal or written statements of content similar to those made in the communications that led to the initiation of this case file.</w:t>
      </w:r>
    </w:p>
    <w:p>
      <w:r>
        <w:t>LEGAL GROUNDS</w:t>
      </w:r>
    </w:p>
    <w:p>
      <w:r>
        <w:t>FIRST.- Competence to resolve.</w:t>
      </w:r>
    </w:p>
    <w:p>
      <w:r>
        <w:t>According to the provisions of the second additional provision of Law 3/2013, of June 4, creating the National Commission of Markets and Competition, “the references that current legislation contains to the National Competition Commission […] shall be understood as made to the National Commission of Markets and Competition […]” and “The references that Law 15/2007, of July 3, contains to the Investigation Directorate of the National Competition Commission shall be understood as made to the Competition Directorate of the National Commission of Markets and Competition.”</w:t>
      </w:r>
    </w:p>
    <w:p>
      <w:r>
        <w:t>On the other hand, according to Article 20.2 of the same law, the Council is assigned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Article 52 of the LDC, which addresses the possibility of a conventional termination of a sanctioning file, provides in its first section that “the Council of the National Competition Commission, at the proposal of the Investigation Directorate, may resolve the termination of the sanctioning procedure regarding agreements and practices prohibited when the alleged infringers propose commitments that resolve the effects on competition arising from the conduct subject to the file and sufficiently guarantee the public interest.” And in the second section, it states that “the commitments will be binding and will take full effect once incorporated into the Resolution that concludes the procedure.” Finally, in its third section, it establishes that “the termination of the procedure under the terms established in this article may not be agreed once the proposal report provided for in Article 50.4 has been raised.”</w:t>
      </w:r>
    </w:p>
    <w:p>
      <w:r>
        <w:rPr>
          <w:b/>
        </w:rPr>
        <w:t>[Pages 16–18]</w:t>
      </w:r>
    </w:p>
    <w:p>
      <w:r>
        <w:t>counteract the costs of non-compliance (for example, investigating conduct that is self-contained or dealing with an infringement of Article 1 of the LDC in relation to a cartel).</w:t>
      </w:r>
    </w:p>
    <w:p>
      <w:r>
        <w:t>The Chamber considers that, since the present case file does not fall within the specific conduct referred to in the previous paragraph, conventional termination would be beneficial in this case if, through appropriate commitments, the potential competition problem arising from making false and denigrating statements about competitors and the services they provide in the elevator maintenance market is resolved, thereby establishing guarantees regarding the future behavior of the alleged infringer.</w:t>
      </w:r>
    </w:p>
    <w:p>
      <w:r>
        <w:t>In this regard, the National Court has indicated (Se</w:t>
      </w:r>
    </w:p>
    <w:p>
      <w:r>
        <w:t>The Competition Defense Regulation approved by Royal Decree 261/2008 of February 22 (RDC) develops the previous regulatory provision in its Article 39. Consequently, the competence to resolve this procedure corresponds to the Competition Chamber of the CNMC.</w:t>
      </w:r>
    </w:p>
    <w:p>
      <w:r>
        <w:t>SECOND.- Object of the Resolution and applicable regulations.</w:t>
      </w:r>
    </w:p>
    <w:p>
      <w:r>
        <w:t>The present file was initiated upon considering the existence of indications of a possible infringement of Article 3 LDC consisting of obstructing the activity of competitors in said market through the use of unfair means, such as communications to clients containing misleading or denigrating content about the activities of their rivals in elevator maintenance and supply of spare parts with the intention of eliminating competitors from the market.</w:t>
      </w:r>
    </w:p>
    <w:p>
      <w:r>
        <w:t>Subsequent to its initiation, THYSSEN requested the commencement of the processing of a conventional termination, providing a proposal for commitments. Therefore, in this file, it is up to the Competition Chamber to decide, based on the proposal submitted by the DC, whether the requirements established in the competition defense regulations are met to proceed with the conventional termination.</w:t>
      </w:r>
    </w:p>
    <w:p>
      <w:r>
        <w:t>The conventional termination of sanctioning procedures in defense of competition is governed by the provisions of Article 52 LDC and Article 39 RDC. Additionally, the Communication on Conventional Termination of Sanctioning Files (hereinafter, the Communication), adopted on September 28, 2011, by the now-defunct CNC under its Third Additional Provision, establishes guidelines aimed at improving the transparency and predictability of the assumptions and procedures for resolution through conventional termination of a sanctioning file, thus favoring the legal certainty of economic operators.</w:t>
      </w:r>
    </w:p>
    <w:p>
      <w:r>
        <w:t>The procedure or regime of conventional termination is provided for in Article 52.2 LDC as a special form of conclusion of the sanctioning procedure, without any pronouncement by the competition authorities regarding the existence or non-existence of an infringement in the conduct subject to initiation, thus differing from the usual conclusion of sanctioning files, which according to Article 53 LDC must conclude either by declaring the existence of prohibited conduct, or by declaring the existence of conduct that, due to its minor importance, is not capable of affecting competition, or by declaring that the existence of prohibited conduct has not been proven.</w:t>
      </w:r>
    </w:p>
    <w:p>
      <w:r>
        <w:t>As can be inferred from the wording of the aforementioned Article 52.1 LDC, which speaks of the alleged infringers, the conventional termination procedure in Spanish regulations does not require a prior declaration of infringement by the competition authority, nor is it even necessary for the instructing body to have formulated a statement of facts, as is the case here, since it is an instrument designed for the alleged infringer to quickly terminate the file in the face of the initiation by the competition authorities of a sanctioning file due to the existence of indications of infringement, thereby contributing to the principle of administrative efficiency, allowing for a more appropriate use of resources with a shortening of the resolution times of the sanctioning file, as long as commitments are proposed that, in the opinion of said authority, resolve the possible effects that the conduct, which is indicatively infringing, could have on competition.</w:t>
      </w:r>
    </w:p>
    <w:p>
      <w:r>
        <w:t>Among the unfair acts typified in Law 3/1991, of January 10, on Unfair Competition, there are, on the one hand, acts of deception, regulated in its Article 5, according to which "any conduct that contains false information or information that, although true, by its content or presentation induces or may induce error in the recipients, being capable of altering their economic behavior, is considered unfair due to misleading." On the other hand, Article 9 of the same law typifies acts of denigration: "The performance or dissemination of statements about the activity, services, establishment, or commercial relations of a third party that are apt to undermine their credit in the market is considered unfair, unless they are accurate, true, and relevant."</w:t>
      </w:r>
    </w:p>
    <w:p>
      <w:r>
        <w:t>The Chamber considers that communications from a vertically integrated company could be apt to discredit, denigrate, or belittle competitors in the elevator maintenance and repair market, potentially constituting unfair acts that distort free competition, which could constitute an infringement typified in Article 3 of the LDC, which prohibits "acts of unfair competition that, by distorting free competition, affect the public interest."</w:t>
      </w:r>
    </w:p>
    <w:p>
      <w:r>
        <w:t>This Chamber will rule on the proposal for Conventional Termination of the file to the extent that the proposed commitments resolve the effects on competition arising from the conduct subject to the file that could be contrary to Article 3 LDC, and that sufficiently guarantee the public interest.</w:t>
      </w:r>
    </w:p>
    <w:p>
      <w:r>
        <w:t>THIRD.- Adequacy of the commitments presented for conventional termination and assessment by the Competition Chamber of the Council.</w:t>
      </w:r>
    </w:p>
    <w:p>
      <w:r>
        <w:t>As previously indicated, the LDC regulates in its Article 52 conventional termination as a form of resolution of the sanctioning procedure for prohibited conduct in Articles 1, 2, and/or 3 of the Law and, where applicable, in Articles 101 and 102 of the TFEU, atypical and alternative to the pronouncement on the merits of the matter subject to the sanctioning file (paragraphs 8 and 9 of the Communication on Conventional Termination).</w:t>
      </w:r>
    </w:p>
    <w:p>
      <w:r>
        <w:t>Furthermore, as noted in paragraph 10 of the aforementioned Communication, the object of conventional termination is twofold; on the one hand, it seeks to achieve a rapid restoration of the competitive conditions that have been jeopardized by the detected restrictive conduct, through commitments that resolve competition problems or eliminate unjustified competition restrictions, safeguarding the welfare of consumers and the public interest. On the other hand, it allows compliance with the principle of administrative efficiency, facilitating the reduction of instruction procedures and a shortening of the sanctioning file timelines.</w:t>
      </w:r>
    </w:p>
    <w:p>
      <w:r>
        <w:t>In relation to the latter, the AN in its judgment of October 31, 2013 (SAN 4732/2013) stated that, "What is intended with this procedure is to accelerate the resolution of matters, favoring the rapid restoration of competition and allowing limited public resources to be dedicated to investigating and processing other illicit acts, for the benefit of other companies and consumers." And that, "Therefore, the purpose of the conventional termination procedure is based on considerations of procedural economy, to conclude more quickly and less expensively a procedure initiated without requiring a pronouncement on the existence or non-existence of the infringement." In this sense, the Communication emphasizes the positive assessment of an early submission of the proposal for conventional termination, in the wording of the Communication, "... as soon as possible after the initiation of the sanctioning file," to ensure the public interest required by Article 52 LDC. In the present file, this has occurred.</w:t>
      </w:r>
    </w:p>
    <w:p>
      <w:r>
        <w:t>On the other hand, from a general perspective, as previously indicated, conventional termination replaces a possible sanction with commitments or obligations voluntarily offered by the companies, and thus, while it is foreseeable that such commitments will be voluntarily fulfilled and the conditions of competition will be restored, they must be weighed against the cost of a conventional termination typically determined by the existence of a possible anticompetitive conduct that ultimately is not clearly identified and argued and is not sanctioned, considering that the deterrent effect of the prohibitions of competition regulations is a general guarantee for compliance by companies.</w:t>
      </w:r>
    </w:p>
    <w:p>
      <w:r>
        <w:t>In this line, the Communication refers to a series of assumptions in which, without prejudice to the absence of legal imposition, "as a general rule" the initiation of conventional termination will not be agreed, particularly in cases where it is ruled out either because there are serious breaches with clear effects and/or because the benefits of conventional termination are not sufficient to</w:t>
      </w:r>
    </w:p>
    <w:p>
      <w:r>
        <w:rPr>
          <w:b/>
        </w:rPr>
        <w:t>[Pages 19–21]</w:t>
      </w:r>
    </w:p>
    <w:p>
      <w:r>
        <w:t>counteract the costs of non-compliance (for example, investigating conduct that is self-contained or dealing with an infringement of Article 1 of the LDC in relation to a cartel).</w:t>
      </w:r>
    </w:p>
    <w:p>
      <w:r>
        <w:t>The Chamber considers that, since the present case file does not fall within the specific conduct referred to in the previous paragraph, conventional termination would be beneficial in this case if, through appropriate commitments, the potential competition problem arising from making false and denigrating statements about competitors and the services they provide in the elevator maintenance market is resolved, thereby establishing guarantees regarding the future behavior of the alleged infringer.</w:t>
      </w:r>
    </w:p>
    <w:p>
      <w:r>
        <w:t>In this regard, the National Court has indicated (Judgment of September 19, 2012, JUR 2012/318962) that, “In order to assess the allegations of the parties, it is also necessary to recall that the fundamental element of any conventional termination of an administrative procedure, especially of a sanctioning administrative procedure, is the configuration of commitments. These, on the other hand, must be clear, and by their literal tenor, capable of being monitored for compliance by the Administration, to whom the legal system specifically entrusts such monitoring, in this case, the Law and the Regulation on Competition Defense. The commitments must guarantee the constitutional public interest of free competition, and avoid, prevent, or compensate for the possible harms that may arise from the conduct that, until the conventional termination was agreed, was being investigated for being contrary to the LDC.” Under these premises, considering that the analyzed conduct consists of making false and denigrating statements about competitors and the services they provide in the elevator maintenance market, the Chamber shares the assessment of the DC proposing the conventional termination of the present procedure.</w:t>
      </w:r>
    </w:p>
    <w:p>
      <w:r>
        <w:t>It should be noted that conduct consisting of obstructing the activity of competitors in the market through the use of unfair means constitutes an infringement typified in Article 3 of the LDC, which prohibits acts of unfair competition that, by distorting free competition, affect the public interest.</w:t>
      </w:r>
    </w:p>
    <w:p>
      <w:r>
        <w:t>Likewise, in this area, it is worth recalling, as the DC does in its proposal report, the special interest that the Competition Authority has shown for years regarding the competitive functioning of the elevator maintenance market in Spain, promoting investigations of various scopes, such as the Report on the same published in 2011 by the defunct National Competition Commission or, more recently, the Resolution of the defunct CNC Council of September 17, 2013, in case S/410/12 ELEVATORS-2, where several competing elevator companies of THYSSEN were sanctioned for an infringement of Article 3 of the LDC.</w:t>
      </w:r>
    </w:p>
    <w:p>
      <w:r>
        <w:t>The aforementioned case was also initiated as a result of communications sent by other vertically integrated companies questioning the technical, professional, and economic capacity of other competing companies in the market and sowing doubt among clients about the quality and safety of the service provided by these third-party competitors, not vertically integrated. Ultimately, these were communications very similar to those that have been evidenced to have been carried out by THYSSEN at this time.</w:t>
      </w:r>
    </w:p>
    <w:p>
      <w:r>
        <w:t>The Council of the defunct CNC, in its Resolution of September 17, 2013, declared that the letters then sent contained “statements that, while not accurate and true, observed in their entirety and without losing sight of the legal and economic context in which they are framed, are apt to discredit, belittle, or denigrate competitors in the elevator maintenance and repair market. Unfair acts distort free competition when they affect the ability of other companies to compete or alter the functioning of the market by limiting that ability and affecting the public interest. The Council agrees with the DI that the conduct developed by the accused has the capacity to distort competition.”</w:t>
      </w:r>
    </w:p>
    <w:p>
      <w:r>
        <w:t>However, as indicated by the DC in its Proposal for Conventional Termination, in the cited precedent, the sanctioned companies either had models of letters with false and denigrating content about the activity of competitors, which they made available to their sales agents to send to clients, or the communications with such content had been sent in a greater and indeterminate number of cases, usually in defense of existing contracts, once clients communicated their intention to terminate the contract.</w:t>
      </w:r>
    </w:p>
    <w:p>
      <w:r>
        <w:t>In contrast, in the present case, the existence of such models prior to 2014 has not been generally evidenced. Only the territorial delegations of Barcelona and Albacete have been using a base document to communicate their commercial offers to potential clients, but none of them refers to the activity and/or services of competitors.</w:t>
      </w:r>
    </w:p>
    <w:p>
      <w:r>
        <w:t>Furthermore, as indicated in the Established Facts, the DC has confirmed that in the new models of letters to clients that have been in effect since October 2014, there are no statements with false content about competitors and the services they provide in the elevator maintenance market. For all these reasons, the DC considers that it can be concluded that in this case, contrary to what occurred in the previous sanctioned case, there are two discretionary and specific communications sent by the area sales representatives.</w:t>
      </w:r>
    </w:p>
    <w:p>
      <w:r>
        <w:t>For all these reasons, the Council in the Competition Chamber considers that the solution to the problems presented by the effects that the occasional making of false statements by THYSSEN about competitors and the services they provide in the elevator maintenance market may have on competition would be for THYSSEN to refrain from making any verbal or written communication with misleading or denigrating content about competitors, in which the technical, professional, and economic capacity of these competing companies is questioned, also sending in this regard, an internal communication to all THYSSEN employees with commercial activity, warning them to refrain from making false statements about competitors in the elevator maintenance sector of the tenor detected in the case file.</w:t>
      </w:r>
    </w:p>
    <w:p>
      <w:r>
        <w:t>Additionally, THYSSEN must send a clarifying communication to the two clients (from Zaragoza and Toledo) to whom two communications were sent, from the corresponding provincial delegations of THYSSEN, referring to the competing maintenance companies and their questionable professionalism.</w:t>
      </w:r>
    </w:p>
    <w:p>
      <w:r>
        <w:t>It is also necessary to send periodic information to the DC regarding the first and second commitments so that the corresponding follow-up can be carried out.</w:t>
      </w:r>
    </w:p>
    <w:p>
      <w:r>
        <w:t>For all these reasons, and given that in this case only the existence of two individualized letters addressed to homeowners' associations has been confirmed, at two specific moments, without being generalized models used by the company, and in view of the commitments of THYSSEN set out in section V of this Resolution, this Competition Chamber, in accordance with the assessment of the DC, considers that such commitments (i) immediately resolve the competition problem analyzed as a consequence of the commitment to apply them by THYSSEN as soon as possible; (ii) are understood to be applicable to all current and potential clients; and (iii) sufficiently guarantee the necessary conditions for their practical effectiveness, reasonably solving the potential anticompetitive effects in the elevator maintenance market arising from the conduct investigated in the present case file.</w:t>
      </w:r>
    </w:p>
    <w:p>
      <w:r>
        <w:t>Finally, the commitments presented do not condition or prevent possible further claims in other judicial instances.</w:t>
      </w:r>
    </w:p>
    <w:p>
      <w:r>
        <w:t>Therefore, the Competition Chamber considers that these commitments adequately resolve the effects on competition arising from the investigated conduct, allowing for a prompt satisfaction of the protected public interest.</w:t>
      </w:r>
    </w:p>
    <w:p>
      <w:r>
        <w:rPr>
          <w:b/>
        </w:rPr>
        <w:t>[Pages 22–24]</w:t>
      </w:r>
    </w:p>
    <w:p>
      <w:r>
        <w:t>s</w:t>
        <w:br/>
        <w:t xml:space="preserve">subsequent claims in other judicial instances. </w:t>
        <w:br/>
        <w:t>Therefore, the Competition Chamber considers that these commitments adequately resolve the effects on competition arising from the investigated conduct, allowing for a prompt satisfaction of the protected public interest.</w:t>
      </w:r>
    </w:p>
    <w:p>
      <w:r>
        <w:t>FOURTH.- Execution of the commitments and monitoring of their compliance</w:t>
        <w:br/>
        <w:t xml:space="preserve">Article 52 of the LDC states that, “The commitments shall be binding and shall take full effect once incorporated into the resolution that concludes the procedure.” Therefore, since this Resolution evaluates the commitments presented on July 13, 2015, as adequate and concludes the sanctioning procedure through its conventional termination, the company THYSSEN is obliged to comply with the aforementioned commitments. </w:t>
        <w:br/>
        <w:t>The effects of non-compliance with the commitments and obligations established in a conventional termination are provided for in Article 39.7 RDC, which establishes the following: “The non-compliance with the resolution that concludes the procedure through conventional termination shall be considered a very serious infringement in accordance with the provisions of Article 62.4.c) of Law 15/2007, of July 3, on the Defense of Competition, and may also lead to the imposition of coercive fines in accordance with the provisions of Article 67 of the Law on Defense of Competition and Article 21 of this Regulation, as well as, where appropriate, the opening of a sanctioning file for infringement of Articles 1, 2, or 3 of Law 15/2007, of July 3.”</w:t>
        <w:br/>
        <w:t>Therefore, a breach could lead not only to coercive fines aimed at enforcing compliance with the obligations undertaken in the Conventional Termination Agreement but also, where appropriate, to the opening of a sanctioning procedure for non-compliance with those obligations, which represents a reinforcement of the executive self-protection power of the Administration, by virtue of the provisions of Articles 62 of Law 15/2007 and 21.4 of the RDC.</w:t>
        <w:br/>
        <w:t>Finally, from the perspective of monitoring compliance with the commitments, these provide the CNMC with the necessary instruments to ensure adequate control of their observance by THYSSEN. Thus, the mandatory submission of information and its content allows this body to verify, in a straightforward manner, compliance with the commitments and the knowledge of competition regulations by the company's employees.</w:t>
        <w:br/>
        <w:t>In virtue of this, having seen the cited articles and the others of general application, the Competition Chamber of the National Commission of Markets and Competition,</w:t>
      </w:r>
    </w:p>
    <w:p>
      <w:r>
        <w:t>HAS RESOLVED</w:t>
        <w:br/>
        <w:t>FIRST.- To agree to the conventional termination of the sanctioning file S/0522/14 THYSSENKRUPP, under the provisions of Article 52 of Law 15/2007, of July 3, on the Defense of Competition, subject to the commitments described in section V of this Resolution and included in Annex I attached to it.</w:t>
        <w:br/>
        <w:t>SECOND.- To agree that, in order to ensure the proper compliance with this Resolution of conventional termination, THYSSENKRUPP must fulfill the obligations contained in Annex I of this Resolution (“Thyssen Commitments”) in accordance with the interpretation set forth therein.</w:t>
        <w:br/>
        <w:t>THIRD.- To entrust the Competition Directorate with the monitoring of the Resolution of conventional termination and, therefore, of the commitments reached and the obligations undertaken.</w:t>
        <w:br/>
        <w:t>FOURTH.- The non-compliance with any of the commitments shall be considered a very serious infringement in accordance with the provisions of Article 62.4.c) of Law 15/2007, of July 3, on the Defense of Competition and Article 39.7 of the Regulation on Defense of Competition approved by Royal Decree 261/2008, of February 22.</w:t>
        <w:br/>
        <w:t>Communicate this resolution to the Competition Directorate and notify the interested parties, informing them that no administrative appeal is available against it, and that they may file a contentious-administrative appeal before the National Court within two months from the day following its notification.</w:t>
      </w:r>
    </w:p>
    <w:p>
      <w:r>
        <w:t>ANNEX I</w:t>
        <w:br/>
        <w:t>THYSSEN COMMITMENTS</w:t>
        <w:br/>
        <w:t>Letter of July 13, 2015 (pages 668 to 691 of the file)</w:t>
        <w:br/>
        <w:t>“FIRST COMMITMENT.- Within 10 days from the notification of the resolution by which the Council of the National Commission of Markets and Competition (CNMC) resolves under Article 52 of the Law on Defense of Competition, the conventional termination of the sanctioning procedure S/DC/0522/14, the Management Committee of Thyssenkrupp Elevadores, S.L.U. (TKE) will send to the entire commercial network and Delegates, the following letter:</w:t>
        <w:br/>
        <w:t>Text of the Letter:</w:t>
        <w:br/>
        <w:t>"The National Commission of Markets and Competition (CNMC) has resolved to conclude without any sanction the sanctioning file instructed against ThyssenKrupp Elevadores S.L.U. (TKE) for alleged obstruction practices in exchange for a series of commitments accepted by the company.</w:t>
        <w:br/>
        <w:t>It must be taken into account that within the framework of the aforementioned procedure, TKE has assumed certain behavioral commitments that the company must comply with. In execution of the commitments undertaken, the Management Committee of TKE wants to expressly and categorically inform all its employees that:</w:t>
        <w:br/>
        <w:t>(d) Thyssenkrupp AG and its group of companies operate in the market in the strictest compliance with current regulations and, in particular, with competition defense regulations.</w:t>
        <w:br/>
        <w:t>Thus, the compliance policy of ThyssenKrupp AG and its group of companies is one of the basic policies of the group and is based on the adoption of a series of preventive measures aimed at ensuring strict compliance not only with legal provisions but also with the internal policies of the company that ensure such compliance.</w:t>
        <w:br/>
        <w:t>In this regard, the Executive Council of ThyssenKrupp AG has unequivocally expressed its rejection of any infringement of competition defense and anti-corruption regulations by adopting the so-called ThyssenKrupp Compliance Commitment. This document contains a clear commitment to comply with the law and internal policies. Thus, with these high compliance standards, infringements, and in particular, those of competition defense and corruption regulations, will not be tolerated (zero tolerance policy) so that any suspicion of misconduct is and</w:t>
      </w:r>
    </w:p>
    <w:p>
      <w:r>
        <w:rPr>
          <w:b/>
        </w:rPr>
        <w:t>[Pages 25–27]</w:t>
      </w:r>
    </w:p>
    <w:p>
      <w:r>
        <w:t>enforcement of the law and internal policies. Thus, with these high compliance standards, violations, and in particular, those related to competition law and corruption, will not be tolerated (zero tolerance policy), so any suspicion of misconduct is and will be pursued. All employees and executives of ThyssenKrupp have personal and corporate responsibility regarding their adherence to internal compliance programs.</w:t>
      </w:r>
    </w:p>
    <w:p>
      <w:r>
        <w:t>(e) The Management Committee of TKE rejects and will not tolerate any type of communication directed at current or potential clients of elevator maintenance that questions the technical, economic, or any other capabilities of any competitor in any geographical area.</w:t>
      </w:r>
    </w:p>
    <w:p>
      <w:r>
        <w:t>(f) Given the vital importance of compliance with competition regulations for TKE, the company spares no resources and provides all its employees with the necessary means to provide relevant legal training in order to prevent such conduct from occurring in the future.</w:t>
      </w:r>
    </w:p>
    <w:p>
      <w:r>
        <w:t>(g) In case of doubt regarding any type of commercial communication, all employees are urged to contact the Compliance department before sending any communication to verify strict compliance with current regulations.</w:t>
      </w:r>
    </w:p>
    <w:p>
      <w:r>
        <w:t>No further matters,</w:t>
        <w:br/>
        <w:t>Signed.</w:t>
        <w:br/>
        <w:t>[Signature]</w:t>
      </w:r>
    </w:p>
    <w:p>
      <w:r>
        <w:t>The sending of the above letter will take place within 10 days from the notification of the resolution (unless such notification occurs during the month of August 2015, which, being an unworkable month for internal purposes of TKE, the letter will be sent during the first week of September) and, in any case, TKE will publish the mentioned letter on its Intranet.</w:t>
      </w:r>
    </w:p>
    <w:p>
      <w:r>
        <w:t>The accreditation of compliance with the First Commitment will be made by sending a copy of the letter that will be emailed to its recipients and proof that its content has been included in the company's Intranet to the Competition Directorate within 10 days from when they are made.</w:t>
      </w:r>
    </w:p>
    <w:p>
      <w:r>
        <w:t>Additionally, as an additional monitoring measure, every six months and for a period of two years, TKE will send to the CNMC the communication models used by the commercial network with clients, in case TKE used such models.</w:t>
      </w:r>
    </w:p>
    <w:p>
      <w:r>
        <w:t>SECOND COMMITMENT.- Within one month from the notification of the resolution by which the CNMC Council resolves under Article 52 of the Competition Defense Law, the conventional termination of sanctioning procedure S/DC/0522/14 and, in any case, in the first issue following the date of notification, TKE will publish in its internal magazine called "WE are ThyssenKrupp" the following practical guide, both in the paper edition and in the version made available on the company's Intranet.</w:t>
      </w:r>
    </w:p>
    <w:p>
      <w:r>
        <w:t>Text of the educational guide:</w:t>
        <w:br/>
        <w:t>COMMUNICATIONS WITH CLIENTS AND CONVENTIONAL TERMINATION AGREEMENT WITH THE NATIONAL COMMISSION OF MARKETS AND COMPETITION</w:t>
      </w:r>
    </w:p>
    <w:p>
      <w:r>
        <w:t>The National Commission of Markets and Competition (CNMC) has resolved to conclude without any sanction the sanctioning file initiated against ThyssenKrupp Elevadores S.L.U. (TKE) for alleged obstruction practices in exchange for a series of commitments accepted by the company.</w:t>
      </w:r>
    </w:p>
    <w:p>
      <w:r>
        <w:t>It must be taken into account that within the framework of the aforementioned procedure, TKE has assumed certain behavioral commitments that the company must comply with.</w:t>
      </w:r>
    </w:p>
    <w:p>
      <w:r>
        <w:t>In execution of the commitments assumed, TKE has agreed to publish the following guide in the magazine "WE are ThyssenKrupp" and in the Resource Manager so that we all have a clear understanding of the company's guidelines regarding communications with current or potential clients of elevator maintenance.</w:t>
      </w:r>
    </w:p>
    <w:p>
      <w:r>
        <w:t>GUIDE FOR COMMUNICATIONS WITH CLIENTS</w:t>
      </w:r>
    </w:p>
    <w:p>
      <w:r>
        <w:t>• What does the law say?</w:t>
        <w:br/>
        <w:t>The LDC prohibits restrictive competition practices consisting of actions aimed at discrediting competitors. These practices usually occur in the context of sending communications to current or potential clients in which misleading and/or denigrating statements about competitors and the services they provide in the elevator maintenance market may be made. Once these communications are received by the current or potential client, their potentially denigrating content (i.e., that which may harm the reputation of a competitor) or misleading nature may affect the decision-making process regarding contracting with such competitors, potentially being considered acts of obstruction against those competitors.</w:t>
      </w:r>
    </w:p>
    <w:p>
      <w:r>
        <w:t>• What is understood by communication?</w:t>
        <w:br/>
        <w:t>Communication is understood as any act in which commercial information of any kind is conveyed, either verbally or in writing, regardless of the medium in which it is expressed. Written communications include letters, emails, faxes, telegrams, WhatsApp messages, etc. TKE employees must be particularly careful in the form and content of such communications and must not, under any circumstances, include any type of statement that could be considered denigrating regarding the capabilities of our competitors.</w:t>
      </w:r>
    </w:p>
    <w:p>
      <w:r>
        <w:t>• Why is it important to communicate correctly?</w:t>
        <w:br/>
        <w:t>It is of vital importance to consider your business communications as they go beyond and transcend the intended purpose, the author, the recipient, etc., so that our communications must reflect the principles and values accepted by TKE, especially the commitment to comply with internal regulations and applicable legislation.</w:t>
      </w:r>
    </w:p>
    <w:p>
      <w:r>
        <w:t>What criteria should we follow when communicating with our current or future clients?</w:t>
        <w:br/>
        <w:t>BEFORE SENDING ANY COMMUNICATION TO ANY RECIPIENT, WE MUST CONSIDER THE FOLLOWING QUESTIONS:</w:t>
      </w:r>
    </w:p>
    <w:p>
      <w:r>
        <w:t>Is it necessary?: We should assess whether it is really necessary to create the communication in question, its purpose, and to whom it should be distributed. In most cases, problems can arise from completely unnecessary communications.</w:t>
      </w:r>
    </w:p>
    <w:p>
      <w:r>
        <w:t>Thus:</w:t>
        <w:br/>
        <w:t>• Consider before writing, the purpose of the document, its complexity, the recipient, and weigh whether it is the appropriate medium to convey such information.</w:t>
        <w:br/>
        <w:t>• Once the document is created, limit its distribution to the client or their authorized representatives.</w:t>
      </w:r>
    </w:p>
    <w:p>
      <w:r>
        <w:t>Is it objective?: The content of the communication should be limited to the facts and the needs of the client, without entering into any type of opinions or subjective assessments about third parties:</w:t>
      </w:r>
    </w:p>
    <w:p>
      <w:r>
        <w:rPr>
          <w:b/>
        </w:rPr>
        <w:t>[Pages 28–30]</w:t>
      </w:r>
    </w:p>
    <w:p>
      <w:r>
        <w:t xml:space="preserve">• Present the information clearly and objectively, responding to the client's acceptable requirements and without deviating from the intended purpose.  </w:t>
        <w:br/>
        <w:t xml:space="preserve">• Avoid using ambiguous expressions, insinuations, or statements that may have negative connotations.  </w:t>
        <w:br/>
        <w:t xml:space="preserve">• Do not speculate on the legal consequences of third-party actions.  </w:t>
        <w:br/>
        <w:t xml:space="preserve">• Always act with diligence and professionalism, as an expert knowledgeable about your products and services, capable of adapting to the client's needs.  </w:t>
        <w:br/>
        <w:t xml:space="preserve">What communications are correct?  </w:t>
        <w:br/>
        <w:t xml:space="preserve">• They have a positive wording: use moderate, non-aggressive language, without exaggerations or unverifiable opinions.  </w:t>
        <w:br/>
        <w:t xml:space="preserve">• They propose better conditions in prices and services.  </w:t>
        <w:br/>
        <w:t xml:space="preserve">• They are based on TKE's own services. They must reflect the merits of our products and services or the correctness of our actions.  </w:t>
        <w:br/>
        <w:t xml:space="preserve">• They contain objective and relevant information for the decision-making process of the recipients. Denigrating expressions regarding competitors, their products, and services will not be accepted under any circumstances.  </w:t>
        <w:br/>
        <w:t xml:space="preserve">• They do not contain any references to technical disadvantages regarding the supply of spare parts and other disadvantages arising from not contracting with TKE.  </w:t>
        <w:br/>
        <w:t xml:space="preserve">• They do not contain false information or information that, even if true, by its content or manner of presentation induces or may induce error in the recipients, being capable of altering their economic behavior.  </w:t>
        <w:br/>
        <w:t xml:space="preserve">• They do not incite contractual infringement.  </w:t>
        <w:br/>
        <w:t xml:space="preserve">• They do not announce difficulties in transferring the maintenance service of an elevator with all its functionalities to competitors.  </w:t>
        <w:br/>
        <w:t xml:space="preserve">What to do if you have doubts? Call!  </w:t>
        <w:br/>
        <w:t xml:space="preserve">• If you are unsure about meeting the above criteria, do not hesitate to consult with the Compliance department before sending any communication to current or potential clients.  </w:t>
        <w:br/>
        <w:t xml:space="preserve">• TKE provides all necessary means to assist you in your task while fully respecting the principles of free market.  </w:t>
        <w:br/>
        <w:t xml:space="preserve">• By applying these criteria, the best image of our company will be projected externally.  </w:t>
        <w:br/>
        <w:t xml:space="preserve">In summary, draft all your communications as if they were to be made public!  </w:t>
        <w:br/>
        <w:t xml:space="preserve">*************************************************************************  </w:t>
        <w:br/>
        <w:t xml:space="preserve">The accreditation of compliance with the Second Commitment will be made by sending a copy of the corresponding issue of the TKE magazine to the Competition Directorate within 10 days from its publication, which in any case will be in the first issue published after the notification of the resolution, as well as a graphic transcription from the company's Intranet (unless such notification occurs during August 2015, which, being an unworkable month for internal purposes of TKE, the publication will be made as soon as possible in the following issue of the magazine).  </w:t>
        <w:br/>
        <w:t xml:space="preserve">Additionally, as an additional monitoring measure, every six months and for a period of two years, TKE will send to the CNMC the communication models used by the commercial network with clients, in case TKE used such models.  </w:t>
        <w:br/>
        <w:t xml:space="preserve">THIRD COMMITMENT.- Within 10 days from the notification of the resolution by which the Council of the National Commission of Markets and Competition (CNMC) resolves under Article 52 of the Competition Defense Law, the conventional termination of the sanctioning procedure S/DC/0522/14, ThyssenKrupp Elevadores, S.L.U. (TKE) will send to the Communities of Owners (i) Majas de Goya 8-10 in Zaragoza and (ii) Salto del Caballo in Toledo, to the complainant in the case of the Community of Owners Majas de Goya 8-10 in Zaragoza and to the alternative maintenance company a letter retracting the statements made in the communications that led to the referenced sanctioning file and sending a copy of the resolution adopted.  </w:t>
        <w:br/>
        <w:t xml:space="preserve">Text of the letter to be sent to the Community of Owners Majas de Goya 8-10 in Zaragoza:  </w:t>
        <w:br/>
        <w:t xml:space="preserve">***************************************************************************  </w:t>
        <w:br/>
        <w:t xml:space="preserve">Community of Owners "Majas de Goya 8-10"  </w:t>
        <w:br/>
        <w:t xml:space="preserve">Avenida de las Majas de Goya 8  </w:t>
        <w:br/>
        <w:t xml:space="preserve">E-50018 Zaragoza  </w:t>
        <w:br/>
        <w:t xml:space="preserve">With a copy to:  </w:t>
        <w:br/>
        <w:t xml:space="preserve">Zaragoza Consultores, S.L.  </w:t>
        <w:br/>
        <w:t xml:space="preserve">Attn: Mr. Manuel Méndez Gustrán  </w:t>
        <w:br/>
        <w:t xml:space="preserve">Paseo Independencia 28, 4°7  </w:t>
        <w:br/>
        <w:t xml:space="preserve">E-50004 Zaragoza  </w:t>
        <w:br/>
        <w:t xml:space="preserve">MPM OTIS ESPAÑA, S.L.  </w:t>
        <w:br/>
        <w:t xml:space="preserve">C/ Sanclemente 25 4°  </w:t>
        <w:br/>
        <w:t xml:space="preserve">E-50001 – Zaragoza  </w:t>
        <w:br/>
        <w:t xml:space="preserve">Dear Sirs:  </w:t>
        <w:br/>
        <w:t xml:space="preserve">The purpose of this letter is to inform you that the National Commission of Markets and Competition (CNMC) has resolved to conclude without any sanction the sanctioning file initiated against ThyssenKrupp Elevadores S.L.U. (TKE) for alleged obstruction practices in exchange for a series of commitments accepted by the company.  </w:t>
        <w:br/>
        <w:t xml:space="preserve">It must be taken into account that within the framework of the aforementioned procedure, TKE has assumed certain behavioral commitments that TKE must comply with.  </w:t>
        <w:br/>
        <w:t xml:space="preserve">In execution of the commitments assumed, TKE wishes through this letter:  </w:t>
        <w:br/>
        <w:t xml:space="preserve">(i) to send you a copy of the CNMC resolution; and  </w:t>
        <w:br/>
        <w:t xml:space="preserve">(ii) to expressly retract any type of statement that may have been interpreted as misleading and/or denigrating that may have been made about the maintenance company MPM OTIS ESPAÑA, S.L. or about Mr. Méndez Gustrán or about the prestige, services, qualifications, and technical capabilities of said company and gentleman. Any communication that may have taken place in that regard should be considered as not made.  </w:t>
        <w:br/>
        <w:t>Please note that, as you will see in the attached resolution, in compliance with the commitments assumed with the CNMC, in order to safeguard the public interest, the Management Committee of TKE has assumed the obligation to inform the entire commercial network of TKE of the CNMC resolution and its categorical rejection of any type of communication directed to clients or potential clients of elevator maintenance in which statements are made that call into question the technical, economic, or any other type of capabilities of any competitor, in any geographical area. Furthermore, it has committed to taking internal awareness and commercial training measures to ensure that a situation like the one that led to the sanctioning file before the CNMC does not occur again in the future, and finally, TKE has assumed as a generic commitment the obligation to refrain from making any verbal or written statements of content similar to those made in the communications that led to the initiation of the file.</w:t>
      </w:r>
    </w:p>
    <w:p>
      <w:r>
        <w:rPr>
          <w:b/>
        </w:rPr>
        <w:t>[Pages 31–32]</w:t>
      </w:r>
    </w:p>
    <w:p>
      <w:r>
        <w:t>We remain at your disposal to discuss the above,</w:t>
      </w:r>
    </w:p>
    <w:p>
      <w:r>
        <w:t>Signed,</w:t>
        <w:br/>
        <w:t>[•]</w:t>
        <w:br/>
        <w:t>on behalf of ThyssenKrupp Elevadores, S.L.U.</w:t>
      </w:r>
    </w:p>
    <w:p>
      <w:r>
        <w:t>Text of the letter to be sent to the Community of Property Owners Salto del Caballo in Toledo:</w:t>
        <w:br/>
        <w:t>***************************************************************************</w:t>
        <w:br/>
        <w:t>Community of Property Owners "Salto del Caballo"</w:t>
        <w:br/>
        <w:t>Bajada Castilla la Mancha No. 3,</w:t>
        <w:br/>
        <w:t>45003 Toledo</w:t>
      </w:r>
    </w:p>
    <w:p>
      <w:r>
        <w:t>Copy to:</w:t>
        <w:br/>
        <w:t>General Elevadores XXI, S.L.</w:t>
        <w:br/>
        <w:t>Andalusia Technological Park</w:t>
        <w:br/>
        <w:t>C/ Severo Ochoa 54 29590</w:t>
        <w:br/>
        <w:t>Campanilla, Málaga</w:t>
      </w:r>
    </w:p>
    <w:p>
      <w:r>
        <w:t>Dear Sirs:</w:t>
      </w:r>
    </w:p>
    <w:p>
      <w:r>
        <w:t>The purpose of this letter is to inform you that the National Commission of Markets and Competition (CNMC) has resolved to conclude the sanctioning file against ThyssenKrupp Elevadores S.L.U. (TKE) without any sanction for alleged obstruction practices in exchange for a series of commitments accepted by the company.</w:t>
      </w:r>
    </w:p>
    <w:p>
      <w:r>
        <w:t>It is important to note that within the framework of the aforementioned procedure, TKE has assumed certain behavioral commitments that TKE must comply with.</w:t>
      </w:r>
    </w:p>
    <w:p>
      <w:r>
        <w:t xml:space="preserve">In execution of the commitments assumed, TKE wishes through this letter to: </w:t>
        <w:br/>
        <w:t xml:space="preserve">(i) send you a copy of the CNMC resolution; and </w:t>
        <w:br/>
        <w:t>(ii) expressly retract any type of statement that may have been interpreted as misleading and/or denigrating that may have been made about the maintenance company General Elevadores XXI, S.L. or about the prestige, services, qualifications, and technical capabilities of said company. Any communication that may have taken place in that regard should be considered as not made.</w:t>
      </w:r>
    </w:p>
    <w:p>
      <w:r>
        <w:t>Please note also that, as you will see in the attached resolution, in compliance with the commitments made with the CNMC, in order to safeguard the public interest, the Management Committee of TKE has assumed the obligation to inform the entire commercial network of TKE of the CNMC resolution and its categorical rejection of any type of communication directed to clients or potential clients of elevator maintenance in which statements are made that call into question the technical, economic, or any other type of capabilities of any competitor, in any geographical area. Furthermore, it has committed to taking internal awareness and commercial training measures to ensure that a situation like the one that led to the sanctioning file before the CNMC does not occur again in the future, and finally, TKE has assumed as a generic commitment the obligation to refrain from making any verbal or written statements of content similar to those made in the communications that led to the initiation of the reference file.</w:t>
      </w:r>
    </w:p>
    <w:p>
      <w:r>
        <w:t>We remain at your disposal to discuss the above,</w:t>
      </w:r>
    </w:p>
    <w:p>
      <w:r>
        <w:t>Signed,</w:t>
        <w:br/>
        <w:t>[•]</w:t>
        <w:br/>
        <w:t>on behalf of ThyssenKrupp Elevadores, S.L.U.</w:t>
      </w:r>
    </w:p>
    <w:p>
      <w:r>
        <w:t>The accreditation of compliance with the Third Commitment will be made by sending a copy of the letters to the Competition Directorate within 10 days from the date of their sending.</w:t>
      </w:r>
    </w:p>
    <w:p>
      <w:r>
        <w:t>FOURTH COMMITMENT.- TKE assumes as a generic commitment the obligation to refrain from making any verbal or written statements of content similar to those made in the communications that led to the initiation of the reference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