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https://www.cnmc.es/expedientes/sdc052514</w:t>
      </w:r>
    </w:p>
    <w:p>
      <w:r>
        <w:t>Pages translated : 156</w:t>
      </w:r>
    </w:p>
    <w:p/>
    <w:p>
      <w:r>
        <w:rPr>
          <w:b/>
        </w:rPr>
        <w:t>[Pages 1–3]</w:t>
      </w:r>
    </w:p>
    <w:p>
      <w:r>
        <w:t xml:space="preserve">RESOLUTION  </w:t>
        <w:br/>
        <w:t xml:space="preserve">(Expte. S/DC/0525/14 CEMENTOS)  </w:t>
        <w:br/>
        <w:t xml:space="preserve">COMPETITION CHAMBER  </w:t>
        <w:br/>
        <w:t xml:space="preserve">PRESIDENT  </w:t>
        <w:br/>
        <w:t xml:space="preserve">Mr. José María Marín Quemada  </w:t>
        <w:br/>
        <w:t xml:space="preserve">COUNSELORS  </w:t>
        <w:br/>
        <w:t xml:space="preserve">Mr. Josep María Guinart Solà  </w:t>
        <w:br/>
        <w:t xml:space="preserve">Ms. María Ortiz Aguilar  </w:t>
        <w:br/>
        <w:t xml:space="preserve">Mr. Fernando Torremocha y García - Sáenz  </w:t>
        <w:br/>
        <w:t xml:space="preserve">Mr. Benigno Valdés Díaz  </w:t>
        <w:br/>
        <w:t xml:space="preserve">SECRETARY  </w:t>
        <w:br/>
        <w:t xml:space="preserve">Mr. Tomás Suárez-Inclán González  </w:t>
        <w:br/>
        <w:t xml:space="preserve">In Madrid, on September 5, 2016  </w:t>
        <w:br/>
        <w:t xml:space="preserve">The Competition Chamber of the National Commission of Markets and Competition (hereinafter, CNMC), with the composition expressed in the margin, has issued this Resolution in the file S/DC/0525/14 CEMENTOS, initiated by the Competition Directorate of the same Commission, against various cement and concrete companies, for alleged restrictive practices of competition prohibited under Article 1 of Law 16/1989, of July 17, on the Defense of Competition (hereinafter Law 16/1989) and under Article 1 of Law 15/2007, of July 3, on the Defense of Competition (hereinafter, LDC).  </w:t>
        <w:br/>
        <w:t xml:space="preserve">I.- BACKGROUND  </w:t>
        <w:br/>
        <w:t xml:space="preserve">1. After accessing certain information related to possible anticompetitive practices in the markets of cement, concrete, and related products (folios 2 to 5), the Competition Directorate of the CNMC, in accordance with the provisions of Article 49.2 of the LDC, initiated a reserved inquiry under reference DP/0031/14 to verify the existence and scope of possible behaviors.  </w:t>
        <w:br/>
        <w:t xml:space="preserve">2. Within the framework of this reserved inquiry and in compliance with the Investigation Orders issued on September 8, 2013, the Competition Directorate (hereinafter, DC) conducted simultaneous home inspections on September 16 to 18, 2013, at the premises and offices of the National Spanish Association of Prepared Concrete Manufacturers (ANEFHOP) and the companies CEMENTOS PORTLAND VALDERRIVAS, S.A., CEMENTOS MOLINS INDUSTRIAL, S.A., BETÓN CATALÁN, S.A., and CEMEX ESPAÑA OPERACIONES, S.L.U. (folios 6 to 234).  </w:t>
        <w:br/>
        <w:t xml:space="preserve">3. After examining the information obtained during the home inspections and observing the existence of reasonable indications of prohibited conduct under the LDC, the Competition Directorate, on December 22, 2014, and in accordance with Article 49.1 of the LDC, agreed to initiate the sanctioning file S/DC/0525/14 CEMENTOS against ten companies for conduct prohibited under Article 1 of the LDC in the markets of cement, concrete, and related products, consisting of possible agreements or concerted practices of price fixing or other commercial conditions, exchanges of information, as well as market sharing.  </w:t>
        <w:br/>
        <w:t xml:space="preserve">The ten cement and concrete companies initially charged were: 1) Betón Catalán S.A., 2) Cementos Molins Industrial S.A. (CMI), 3) Promotora Mediterranea 2 S.A. (PROMSA), 4) Hanson Hispania, S.A. (HANSON), 5) Cemex España Operaciones, S.L.U., 6) Tenesiver S.L., 7) Comercial Arroyo Construcción S.A., 8) Hormigones Giral S.A., 9) Cementos Portland Valderrivas, S.A., and 10) Cementos Lemona, S.A., with the initiation agreement being notified to the ten interested parties on the same date of December 22, 2014 (folios 1168 to 1217).  </w:t>
        <w:br/>
        <w:t xml:space="preserve">4. On February 16 and 17, 2015, the DC agreed to incorporate part of the documentation collected during the inspections conducted at the ANEFHOP premises (folio 2569), BETÓN CATALÁN, S.A. (folio 2574), CEMENTOS PORTLAND VALDERRIVAS, S.A. (folio 2578), and CEMENTOS MOLINS INDUSTRIAL, S.A. (folio 2582), granting the companies, in accordance with the provisions of Article 42 of the LDC, a period of ten days to request confidentiality for those documents they deemed appropriate, providing the corresponding censored version of the same.  </w:t>
        <w:br/>
        <w:t xml:space="preserve">5. On March 3, 2015, the companies CEMENTOS PORTLAND VALDERRIVAS, S.A. (March 3, folios 2594-2596), and CEMENTOS MOLINS INDUSTRIAL, S.A. (folios 2637-2639) requested confidentiality for certain documents.  </w:t>
        <w:br/>
        <w:t xml:space="preserve">6. On March 4 and 6, the DC issued four agreements accepting and lifting confidentiality regarding the documentation collected during the inspections conducted at the premises of the companies CEMEX ESPAÑA OPERACIONES, S.L.U. (folio 2632), CEMENTOS MOLINS INDUSTRIAL, S.A. (folio 2633), and BETON CATALAN, S.A. (folio 2744) and the association ANEFHOP (folios 2732).  </w:t>
        <w:br/>
        <w:t xml:space="preserve">7. During the instruction of the file, the DC made the following information requests:  </w:t>
        <w:br/>
        <w:t xml:space="preserve">- On March 24, 2015, it requested BETÓN CATALÁN, S.A. to provide information on the meaning of a series of acronyms and the origin of some market estimates found in documents collected during the inspection conducted at its premises (folios 3237 to 3242). The response to the request was received on April 6, 2015 (folios 3291 to 3293).  </w:t>
        <w:br/>
        <w:t xml:space="preserve">- On March 30, 2015, it requested information from CEMENTOS MOLINS INDUSTRIAL, S.A. regarding documentation collected at its premises that contained information about the so-called “Roadmap”: content and volume of the operations it included and its relation to the economic concentration with reference to file C/0517/13 CEMENTOS MOLINS/CEMEX–ASSETS (folios 3281 to 3284). The response to the request was received on April 22, 2015 (folios 3388 to 3448).  </w:t>
        <w:br/>
        <w:t xml:space="preserve">8. On March 26, 2015, the DC notified the parties charged in the file of the appeal filed by CEMENTOS MOLINS INDUSTRIAL, S.A. before the CNMC Council against the partial acceptance agreement of confidentiality of March 4, 2015, referred to above (expte. R/AJ/054/15 MOLINS). Consequently, the DC agreed to suspend the maximum period for resolving the procedure from March 25, 2015, until the date the appeal was resolved (folios 3253 to 3266).  </w:t>
        <w:br/>
        <w:t xml:space="preserve">On May 26, 2015, the DC notified the interested parties of the lifting of the suspension of the maximum period for resolving the file effective May 22, 2015, as the appeal filed by CEMENTOS MOLINS INDUSTRIAL, S.A. before the CNMC Council was dismissed by resolution of May 21 (folios 3686 A 3701).  </w:t>
        <w:br/>
        <w:t xml:space="preserve">9. In view of the information in the file, on April 7, 2015, the DC agreed to expand the initiation of the sanctioning file for prohibited conduct under Article 1 of the LDC against four additional companies: 1) MATERIALES Y HORMIGONES, S.L., 2) LAFARGE CEMENTOS, S.A., 3) HOLCIM ESPAÑA, S.A., and 4) HORMIBUSA, S.L., proceeding to notify the agreement of expansion of initiation to the interested parties on the same date (folios 3299 to 3331).  </w:t>
        <w:br/>
        <w:t>10. On May 27 and 28, 2015, the DC conducted new home inspections, in compliance with the Investigation Orders issued on May 18, 2015, at the premises and offices of the companies ALMACENES Y HORMIGONES CREACONS, S.L., CEMENTOS PORTLAND VALDERRIVAS, S.A., HORMIGONES DE SEVILLA, S.A., and BETONALIA, S.L. (folios 3703 to 3734; 3747 to 3772; 3818 to 3871).</w:t>
      </w:r>
    </w:p>
    <w:p>
      <w:r>
        <w:rPr>
          <w:b/>
        </w:rPr>
        <w:t>[Pages 4–6]</w:t>
      </w:r>
    </w:p>
    <w:p>
      <w:r>
        <w:t xml:space="preserve">11. On September 25, 2015, the DC agreed to a new extension of the sanctioning file for prohibited conduct under Article 1 of the LDC against fourteen new companies, proceeding to notify the agreement for the extension of initiation to the interested parties on the same date (folios 4892 to 4957).  </w:t>
        <w:br/>
        <w:t xml:space="preserve">The fourteen companies now initiated were: 1) CEMINTER HISPANIA, S.A., 2) ARIDOS Y HORMIGONES HISPALENSE, S.L., 3) BETONALIA, S.L., 4) ANDALUZA DE MORTEROS, S.A. (ANDEMOSA), 5) HORMIGONES DE SEVILLA, S.L. (HORSEV), 6) ALMACENES Y HORMIGONES CREACONS, S.L., 7) HORMIGONES PREMACONS, S.L., 8) PREFABRICADOS LEFLET, S.L., 9) PREFABRICADOS LIGEROS DE HORMIGON, S.L. (PRELHOR), 10) HORMIGONES UTRERA, S.L., 11) HORMIGONES POLICHI, S.L., 12) SURGYPS, S.A., 13) CEMENTOS PORTLAND VALDERRIVAS, S.A. and 14) PREBETONG HORMIGONES, S.A.  </w:t>
        <w:br/>
        <w:t xml:space="preserve">In the case of CEMENTOS PORTLAND VALDERRIVAS, S.A., its initiation included the investigation of the actions carried out by the company HORMIGONES Y MORTEROS PREPARADOS, S.A. (HYMPSA), absorbed by CEMENTOS PORTLAND VALDERRIVAS, S.A.  </w:t>
        <w:br/>
        <w:t xml:space="preserve">For its part, PREBETONG HORMIGONES, S.A. was initiated for the actions carried out under that name and also under its previous names (PREBETONG GALICIA, S.A. and CIMPOR HORMIGON ESPAÑA, S.A.), as well as for the actions carried out by HORMIGONES HERCULES, S.L. (absorbed by OCCIDENTAL DE HORMIGONES, S.L. on December 23, 2009) and by OCCIDENTAL DE HORMIGONES, S.L. (absorbed by PREBETONG GALICIA, S.A., on September 22, 2011).  </w:t>
        <w:br/>
        <w:t xml:space="preserve">12. In accordance with the provisions of Article 50.3 of the LDC, on November 18, 2015, the DC formulated the Statement of Facts (PCH), granting 15 days for the submission of allegations. Noticing certain material errors in the individualization of responsibilities of the accused companies in the aforementioned PCH, on January 22, 2016, the instructing body proceeded to rectify it, granting 15 days for possible allegations that could be presented only regarding the corrected material errors (folios 8469 to 8755).  </w:t>
        <w:br/>
        <w:t xml:space="preserve">13. Between December 4, 2015, and February 9, 2016, the following written allegations to the notified PCH were received:  </w:t>
        <w:br/>
        <w:t xml:space="preserve">- On December 4, the allegations presented by LEMONA (folios 6023 to 6027).  </w:t>
        <w:br/>
        <w:t xml:space="preserve">- On December 7, the written allegations of COMERCIAL ARROYO (folios 8763 to 8810).  </w:t>
        <w:br/>
        <w:t xml:space="preserve">- On December 11, the allegations presented by SURGYPS (folios 6115 to 6146) and CEMINTER (folios 6147 to 6156).  </w:t>
        <w:br/>
        <w:t xml:space="preserve">- On December 15, the written allegations of UTRERA (folios 6158 to 6159) and PRELHOR (folios 6302 to 6315).  </w:t>
        <w:br/>
        <w:t xml:space="preserve">- On December 16, the allegations presented by LEFLET (folios 6316 to 6355), HANSON (folios 6380 to 6574) and HISPALENSE (folios 6585 to 6766).  </w:t>
        <w:br/>
        <w:t xml:space="preserve">- On December 17, the writings of HORSEV (folios 6767 to 6772); CEMEX (folios 6789 to 6826), LAFARGE (folios 6827 to 6891), MAHORSA (folios 6894 to 6918), HOLCIM (folios 6919 to 6963); VALDERRIVAS (folios 6966 to 7240), PREBETONG (folios 7260 to 7340), TENESIVER (folios 7348 to 7353), and BETÓN CATALÁN (folios 7354 to 7970).  </w:t>
        <w:br/>
        <w:t xml:space="preserve">- On December 18, the allegations presented by BETONALIA (folios 7975 to 8035), PREMACONS (folios 8036 to 8037) and CREACONS (folios 8043 to 8096).  </w:t>
        <w:br/>
        <w:t xml:space="preserve">- On December 21, 2015, the writings of ANDEMOSA (folios 8102 to 8114); MOLINS (folios 8115 to 8256) and PROMSA (folios 8257 to 8414).  </w:t>
        <w:br/>
        <w:t xml:space="preserve">- Finally, on February 9, 2016, two writings of allegations to the PCH sent by SURGYPS (folios 8811 to 8837) and by CEMINTER (folios 8838 and 8839) were received, within the second period granted by the DC to allege to the PCH that included the correction of errors.  </w:t>
        <w:br/>
        <w:t xml:space="preserve">14. On February 22, 2016, the closure of the instruction phase was notified to those initiated in the file (folios 8878 to 8904) and on March 8, a Proposal for Resolution was issued which was notified to the interested parties for them to present their allegations.  </w:t>
        <w:br/>
        <w:t xml:space="preserve">15. Between March 28 and 31, 2016, the following writings of allegations to the Proposal for Resolution were received:  </w:t>
        <w:br/>
        <w:t xml:space="preserve">- On March 28, 2016, the writings of allegations presented by PRELHOR (folios 9453 to 9460), containing the request for the practice of evidence; PREMACONS (folios 9461 to 9462); CEMINTER (folios 9463 to 9476), containing the request for a hearing and the practice of evidence; SURGYPS (folios 9477 to 9491), containing the request for a hearing and the practice of evidence and HANSON (folios 9492 to 9551).  </w:t>
        <w:br/>
        <w:t xml:space="preserve">- On March 29, the writings of allegations presented by HISPALENSE (folios 9552 to 9560), containing the request for the practice of evidence; CEMEX (folios 9561 to 9586), containing the request for a hearing and the practice of evidence; CREACONS (folios 9587 to 9599); PREBETONG (folios 9600 to 9674); LAFARGE (folios 9675 to 9739), containing the request for the practice of evidence; HOLCIM (folios 9740 to 9770), VALDERRIVAS (folios 9771 to 10286) and COMERCIAL ARROYO (folios 10287 to 10311).  </w:t>
        <w:br/>
        <w:t xml:space="preserve">- On March 30, the allegations presented by BETONALIA (folios 10312 to 10328), containing the request for a hearing and the practice of evidence; ANDEMOSA (folios 10329 to 10347), containing the request for the practice of evidence and TENESIVER (folios 10348 to 10351).  </w:t>
        <w:br/>
        <w:t xml:space="preserve">- On March 31, the written allegations presented by BETÓN CATALÁN (folios 10352 to 10470), containing the request for the practice of evidence.  </w:t>
        <w:br/>
        <w:t xml:space="preserve">16. On April 4, 2016, under Article 50.5 of the LDC, the DC submitted its Report and Proposal for Resolution to the Council of the CNMC and the file was sent to it for resolution (folios 10479-10688).  </w:t>
        <w:br/>
        <w:t xml:space="preserve">17. On April 7, 2016, the DC sent to the Council of the CNMC the allegations presented by PROMSA (folios 10689 to 10715), received by the CNMC on April 4, along with the allegations sent by LEFLET (folios 10716 to 10723) and by MAHORSA (folios 10724 to 10759), which the instructing body considers to have been submitted outside the legally established deadline as they were received by the CNMC on April 5 and 6, respectively.  </w:t>
        <w:br/>
        <w:t xml:space="preserve">18. On June 20, 2016, the Competition Chamber of the CNMC agreed to request information on the total turnover in 2015 of the companies initiated, or the best available estimate, as well as the turnover affected by the conduct of each of them.  </w:t>
        <w:br/>
        <w:t xml:space="preserve">19. After the deadline established in the Agreement of June 20, 2016, the agreed suspension was lifted with effect from July 17, 2016 (folio 10986), continuing the computation of the deadline to issue a Resolution.  </w:t>
        <w:br/>
        <w:t xml:space="preserve">20. The Competition Chamber of the Council of the CNMC deliberated and ruled on the matter in its meeting of September 5, 2016.  </w:t>
        <w:br/>
        <w:t xml:space="preserve">21. The interested parties are:  </w:t>
        <w:br/>
        <w:t xml:space="preserve">- CEMENTOS MOLINS INDUSTRIAL, S.A. (“MOLINS”)  </w:t>
        <w:br/>
        <w:t xml:space="preserve">- CEMENTOS PORTLAND VALDERRIVAS, S.A. (“VALDERRIVAS”)  </w:t>
        <w:br/>
        <w:t xml:space="preserve">- CEMEX ESPAÑA OPERACIONES, S.L.U. (“CEMEX”)  </w:t>
        <w:br/>
        <w:t xml:space="preserve">- LAFARGE CEMENTOS, S.A. (“LAFARGE”)  </w:t>
        <w:br/>
        <w:t xml:space="preserve">- HOLCIM ESPAÑA, S.A. (“HOLCIM”)  </w:t>
        <w:br/>
        <w:t xml:space="preserve">- CEMINTER HISPANIA, S.A. (“CEMINTER”)  </w:t>
        <w:br/>
        <w:t xml:space="preserve">- CEMENTOS LEMONA, S.A. (“LEMONA”)  </w:t>
        <w:br/>
        <w:t xml:space="preserve">- HANSON HISPANIA, S.A. (“HANSON”)  </w:t>
        <w:br/>
        <w:t>- PROMOTORA MEDITERRÁNEA 2, S.A. (“PROMSA”)</w:t>
      </w:r>
    </w:p>
    <w:p>
      <w:r>
        <w:rPr>
          <w:b/>
        </w:rPr>
        <w:t>[Pages 7–9]</w:t>
      </w:r>
    </w:p>
    <w:p>
      <w:r>
        <w:t>- BETÓN CATALÁN, S.A. (“BETÓN CATALÁN”)</w:t>
        <w:br/>
        <w:t>- TENESIVER, S.L. (“TENESIVER”)</w:t>
        <w:br/>
        <w:t>- COMERCIAL ARROYO CONSTRUCCIÓN, S.A. (“COMERCIAL ARROYO”)</w:t>
        <w:br/>
        <w:t>- HORMIGONES GIRAL, S.A. (“GIRAL”)</w:t>
        <w:br/>
        <w:t>- MATERIALES Y HORMIGONES, S.L. (“MAHORSA”)</w:t>
        <w:br/>
        <w:t>- HORMIBUSA, S.L. (“HORMIBUSA”)</w:t>
        <w:br/>
        <w:t>- ANDALUZA DE MORTEROS, S.A. (“ANDEMOSA”)</w:t>
        <w:br/>
        <w:t>- PREBETONG HORMIGONES, S.A. (“PREBETONG”)</w:t>
        <w:br/>
        <w:t>- ARIDOS Y HORMIGONES HISPALENSE, S.L. (“HISPALENSE”)</w:t>
        <w:br/>
        <w:t>- BETONALIA, S.L. (“BETONALIA”)</w:t>
        <w:br/>
        <w:t>- HORMIGONES DE SEVILLA, S.L. (“HORSEV”)</w:t>
        <w:br/>
        <w:t>- ALMACENES Y HORMIGONES CREACONS, S.L. (“CREACONS”)</w:t>
        <w:br/>
        <w:t>- HORMIGONES PREMACONS, S.L. (“PREMACONS”)</w:t>
        <w:br/>
        <w:t>- PREFABRICADOS LEFLET, S.L. (“LEFLET”)</w:t>
        <w:br/>
        <w:t>- PREFABRICADOS LIGEROS DE HORMIGON, S.L. (“PRELHOR”)</w:t>
        <w:br/>
        <w:t>- HORMIGONES UTRERA, S.L. (“UTRERA”)</w:t>
        <w:br/>
        <w:t>- HORMIGONES POLICHI, S.L. (“POLICHI”)</w:t>
        <w:br/>
        <w:t>- SURGYPS, S.A. (“SURGYPS”)</w:t>
      </w:r>
    </w:p>
    <w:p>
      <w:r>
        <w:t>II. THE PARTIES</w:t>
        <w:br/>
        <w:t>The parties involved in this file, as stated in the PCH issued by the DC, are as follows:</w:t>
        <w:br/>
        <w:t>1. CEMENTOS MOLINS INDUSTRIAL, S.A. (MOLINS)</w:t>
        <w:br/>
        <w:t>MOLINS, headquartered in the province of Barcelona, is a company established in 1989. It belongs to the Molins Group, which is present in Spain, Uruguay, Mexico, Bangladesh, Tunisia, and Argentina, and which, in addition to MOLINS, is composed of the following companies: PROMSA, PRECOM, PROPAMSA, Cementos Avellaneda, Cementos Artigas, Corporación Moctezuma, Surma Cement, and Sotacib.</w:t>
        <w:br/>
        <w:t>Its corporate purpose is the establishment and operation of cement, lime, and plaster factories; the construction materials industry; the exploitation of quarries and clay deposits; and real estate activities.</w:t>
      </w:r>
    </w:p>
    <w:p>
      <w:r>
        <w:t>MOLINS focuses its activity on the manufacture and marketing of cements, both blended and Portland. Its current production capacity is estimated at 40,000 tons of the former and 1,640,000 tons of the latter annually, employing around 180 people.</w:t>
      </w:r>
    </w:p>
    <w:p>
      <w:r>
        <w:t>2. CEMENTOS PORTLAND VALDERRIVAS, S.A. (VALDERRIVAS)</w:t>
        <w:br/>
        <w:t>VALDERRIVAS is a Spanish multinational, a subsidiary of Fomento de Construcciones y Contratas, S.A., primarily dedicated to the production of cement, concrete, aggregates, and mortar. It operates in three geographical areas: Western Europe (Spain and the United Kingdom), North America (USA), and Africa (Tunisia). Specifically, in Spain, it has seven cement plants that cover most of the peninsular geography, including the north, east, center, and south of the peninsula, and three of the major cities in the country (Madrid, Barcelona, and Seville). The installed cement production capacity of VALDERRIVAS in Spain is approximately 11 million tons and it has about 600 employees.</w:t>
      </w:r>
    </w:p>
    <w:p>
      <w:r>
        <w:t>According to the data provided in the file, its turnover in recent years is as follows:</w:t>
        <w:br/>
        <w:t>2014 2015</w:t>
        <w:br/>
        <w:t>195,975,638 € 197,233,695 €</w:t>
        <w:br/>
        <w:t>Hormigones y Morteros Preparados, S.A. (HYMPSA) was the head of the concrete division of the cement group. It was composed of a set of 27 companies, with a total of 92 manufacturing plants, distributed across 10 Autonomous Communities. HYMPSA was absorbed by VALDERRIVAS on May 8, 2014, and extinguished on August 19, 2014. Hormigones Uniland, S.A., extinguished and absorbed by Uniland Cementera, S.A. in August 2014, was in turn absorbed by VALDERRIVAS on October 20, 2014.</w:t>
      </w:r>
    </w:p>
    <w:p>
      <w:r>
        <w:t>3. CEMEX ESPAÑA OPERACIONES, S.L.U. (CEMEX)</w:t>
        <w:br/>
        <w:t>CEMEX is one of the main suppliers of materials and solutions for construction. The basis of its business is cement and its derivatives, concrete and mortars, the sale of aggregates, and the development of construction solutions, marketing its products in 80% of the national territory with an installed cement capacity of 12.5 million tons annually.</w:t>
      </w:r>
    </w:p>
    <w:p>
      <w:r>
        <w:t>Its parent company is Cemex España, S.A. and it is part of the multinational Cemex from Mexico.</w:t>
      </w:r>
    </w:p>
    <w:p>
      <w:r>
        <w:t>It has about 1,000 employees in Spain and, according to the data provided in the file, its turnover in recent years is as follows:</w:t>
        <w:br/>
        <w:t>2013 2014 2015</w:t>
        <w:br/>
        <w:t>226,000,000 € 170,551,000 € 217,240,000 €</w:t>
      </w:r>
    </w:p>
    <w:p>
      <w:r>
        <w:t>4. LAFARGE CEMENTOS, S.A. (“LAFARGE”)</w:t>
        <w:br/>
        <w:t>LAFARGE, whose majority shareholder is the French company Societè Financiere Inmobiliere et Mobiliere, is present in the markets of cement, concrete, aggregates, and mortars. With its registered office in Barcelona, it has its headquarters in Madrid; three cement plants (Montcada i Reixac (Barcelona), Sagunto (Valencia), and Villaluenga de la Sagra (Toledo)), a cement grinding station (La Parrilla (Valladolid)); and eight cement distribution points; it also has nearly 40 concrete manufacturing plants, including fixed and mobile plants; two exclusive mortar manufacturing plants; and six aggregate operations distributed among the Autonomous Communities of Asturias, Catalonia, Madrid, Valencia, and Castilla-La Mancha.</w:t>
      </w:r>
    </w:p>
    <w:p>
      <w:r>
        <w:t>It has 318 employees and, according to the data provided in the file, its turnover in recent years is as follows:</w:t>
        <w:br/>
        <w:t>2013 2014 2015</w:t>
        <w:br/>
        <w:t>113,000,000 € 115,827,000 € 140,313,000 €</w:t>
      </w:r>
    </w:p>
    <w:p>
      <w:r>
        <w:t>5. HOLCIM ESPAÑA, S.A. (“HOLCIM”)</w:t>
        <w:br/>
        <w:t>HOLCIM, whose parent company is Holcim Investments –Spain- SL, manufactures and markets cement, aggregates, concrete, mortar, and hydraulic binders. With its registered office in Madrid, it has two cement plants in Andalusia, eight concrete plants distributed in Galicia, the Community of Madrid, Catalonia, Murcia, and the Community of Valencia, and seven aggregate plants.</w:t>
      </w:r>
    </w:p>
    <w:p>
      <w:r>
        <w:t>It employs about 600 people in Spain and, according to the data provided in the file, its turnover in recent years is as follows:</w:t>
        <w:br/>
        <w:t>2013 2014 2015</w:t>
        <w:br/>
        <w:t>153,000,000 € 111,847,000 € 102,611,000 €</w:t>
      </w:r>
    </w:p>
    <w:p>
      <w:r>
        <w:rPr>
          <w:b/>
        </w:rPr>
        <w:t>[Pages 10–12]</w:t>
      </w:r>
    </w:p>
    <w:p>
      <w:r>
        <w:t xml:space="preserve">In 2015, the multinational company Grupo LafargeHolcim was born as a result of the merger of these two international operators (www.lafargeholcim.com) and with community file number M. 7252 HOLCIM/LAFARGE.  </w:t>
        <w:br/>
        <w:t xml:space="preserve">6. CEMINTER HISPANIA, S.A. (“CEMINTER”)  </w:t>
        <w:br/>
        <w:t xml:space="preserve">CEMINTER is a company based in Madrid, present in the cement, concrete, and other construction-related product markets. Established in 2001, it has been involved in bankruptcy proceedings since 2010.  </w:t>
        <w:br/>
        <w:t xml:space="preserve">CEMINTER holds 35.49% of the shares of SURGYPS, S.A. According to the data provided in the file, its turnover in recent years is as follows:  </w:t>
        <w:br/>
        <w:t xml:space="preserve">2010 2011 2012 2013 2014 2015  </w:t>
        <w:br/>
        <w:t xml:space="preserve">5,000,000 € No data No data No data 4,693,312.64 € 4,836,586 €  </w:t>
        <w:br/>
        <w:t xml:space="preserve">7. HANSON HISPANIA, S.A. (“HANSON”)  </w:t>
        <w:br/>
        <w:t xml:space="preserve">HANSON is one of the main manufacturers of ready-mixed concrete and aggregates in Spain. It has the aggregate subsidiaries Canteras Mecánicas Cárcaba, S.A.U., J. Riera, S.A., Hormigones y Áridos, S.A.U., and the gravel company Áridos Sanz, S.A.U.  </w:t>
        <w:br/>
        <w:t xml:space="preserve">The parent company of HANSON is called Hanson Pioneer España, S.L., which is part of the British Grupo Hanson that has been integrated into the German group HeidelbergCement since 2007.  </w:t>
        <w:br/>
        <w:t xml:space="preserve">It has 18 concrete plants in Catalonia, the Balearic Islands, Asturias, the Basque Country, and Aragon, and quarries in Madrid, Catalonia, Aragon, Murcia, Castilla y León, Asturias, and the Basque Country.  </w:t>
        <w:br/>
        <w:t xml:space="preserve">It employs about 120 people in Spain, and according to the data provided in the file, its turnover in recent years is as follows:  </w:t>
        <w:br/>
        <w:t xml:space="preserve">2013 2014 2015  </w:t>
        <w:br/>
        <w:t xml:space="preserve">42,000,000 € 30,791,595 € 32,557,381 €  </w:t>
        <w:br/>
        <w:t xml:space="preserve">8. PROMOTORA MEDITERRÁNEA 2, S.A. (“PROMSA”)  </w:t>
        <w:br/>
        <w:t xml:space="preserve">PROMSA is dedicated to the manufacture, marketing, and distribution of concrete, aggregates, and mortar in Catalonia and other parts of the national territory. It is also part of the Grupo Molins and shares its registered office with MOLINS.  </w:t>
        <w:br/>
        <w:t xml:space="preserve">The corporate purpose of PROMSA is the industry, trade, and transport of concrete, aggregates, and prefabricated and derived cement products in general; the management, treatment, and recovery of waste in general.  </w:t>
        <w:br/>
        <w:t xml:space="preserve">It has more than 400 employees, and according to the data provided in the file, its turnover in recent years is as follows:  </w:t>
        <w:br/>
        <w:t xml:space="preserve">2013 2014 2015  </w:t>
        <w:br/>
        <w:t xml:space="preserve">35,000,000 € No data 44,366,000 €  </w:t>
        <w:br/>
        <w:t xml:space="preserve">9. BETÓN CATALÁN, S.A. (“BETÓN CATALÁN”)  </w:t>
        <w:br/>
        <w:t xml:space="preserve">BETÓN CATALÁN, headquartered in Barcelona, whose sole administrator is the multinational company of Irish origin CRH INTERNATIONAL BV, through its majority shareholder CRH DEUTSCHLAND GMBH, is engaged in the manufacture and sale of construction materials.  </w:t>
        <w:br/>
        <w:t xml:space="preserve">BETÓN CATALÁN's corporate purpose is the manufacture, distribution, and sale of construction materials, mainly concrete and its derivatives, as well as stone for construction uses; the exploitation of quarries and, in general, the industrial treatment of raw materials for construction, etc.  </w:t>
        <w:br/>
        <w:t xml:space="preserve">It is present with its branches in practically all of the national territory, has 88 employees, and according to the data provided in the file, its turnover in recent years is as follows:  </w:t>
        <w:br/>
        <w:t xml:space="preserve">2013 2014 2015  </w:t>
        <w:br/>
        <w:t xml:space="preserve">51,000,000 € 42,821,513 € 45,190,880 €  </w:t>
        <w:br/>
        <w:t xml:space="preserve">10. TENESIVER, S.L. (“TENESIVER”)  </w:t>
        <w:br/>
        <w:t xml:space="preserve">TENESIVER is based in Bilbao and its main commercial activity is the manufacture of ready-mixed concrete. In addition, it is engaged in the marketing of construction materials.  </w:t>
        <w:br/>
        <w:t xml:space="preserve">It has 8 employees, and according to the data provided in the file, its turnover in recent years is as follows:  </w:t>
        <w:br/>
        <w:t xml:space="preserve">2013 2014 2015  </w:t>
        <w:br/>
        <w:t xml:space="preserve">1,700,000 € 6,348,387.91 € 3,182,984 €  </w:t>
        <w:br/>
        <w:t xml:space="preserve">11. COMERCIAL ARROYO CONSTRUCCIÓN, S.A. (“COMERCIAL ARROYO”)  </w:t>
        <w:br/>
        <w:t xml:space="preserve">COMERCIAL ARROYO is based in Palencia and its corporate purpose is the manufacture, distribution, assembly, sale, and marketing of elements and materials for construction in general, both for public and private works, and especially those derived from cement and ceramics.  </w:t>
        <w:br/>
        <w:t xml:space="preserve">Its main activity is the manufacture of ready-mixed concrete, it has 15 employees, and according to the data provided in the file, its turnover in recent years is as follows:  </w:t>
        <w:br/>
        <w:t xml:space="preserve">2013 2014 2015  </w:t>
        <w:br/>
        <w:t xml:space="preserve">18,000,000 € 18,760,630.68 € 16,083,855 €  </w:t>
        <w:br/>
        <w:t xml:space="preserve">12. MATERIALES Y HORMIGONES, S.L. (“MAHORSA”)  </w:t>
        <w:br/>
        <w:t xml:space="preserve">MAHORSA is a Spanish company, headquartered in Madrid, primarily dedicated to the production and sale of concrete, aggregates, and mortar.  </w:t>
        <w:br/>
        <w:t xml:space="preserve">It has a quarry in the municipality of Morata de Tajuña and a gravel pit in San Martín de la Vega, thus operating mainly in the province of Madrid and the central area of Spain.  </w:t>
        <w:br/>
        <w:t xml:space="preserve">MAHORSA has 79 employees, and according to the data provided in the file, its turnover in recent years is as follows:  </w:t>
        <w:br/>
        <w:t xml:space="preserve">2013 2014 2015  </w:t>
        <w:br/>
        <w:t xml:space="preserve">11,500,000 € 16,010,327.12 € 18,074,885 €  </w:t>
        <w:br/>
        <w:t xml:space="preserve">13. HORMIBUSA, S.L. (“HORMIBUSA”)  </w:t>
        <w:br/>
        <w:t xml:space="preserve">HORMIBUSA is a small concrete company based in Burgos that has three employees. According to the data provided in the file, its turnover in recent years is as follows:  </w:t>
        <w:br/>
        <w:t xml:space="preserve">2013 2014 2015  </w:t>
        <w:br/>
        <w:t>2,000,000 € No data 2,911,323 €</w:t>
      </w:r>
    </w:p>
    <w:p>
      <w:r>
        <w:rPr>
          <w:b/>
        </w:rPr>
        <w:t>[Pages 13–15]</w:t>
      </w:r>
    </w:p>
    <w:p>
      <w:r>
        <w:t>14. ANDALUZA DE MORTEROS, S.A. (“ANDEMOSA”)</w:t>
        <w:br/>
        <w:t xml:space="preserve">ANDEMOSA is a concrete company, headquartered in Málaga, belonging to the SANDO Group (Construcciones Sánchez Domínguez), a multinational construction group that distributes its activity across five areas: Construction, Environment, Concessions, Materials and Supplies, and Real Estate. </w:t>
        <w:br/>
        <w:t>ANDEMOSA has five employees and, according to the data provided in the file, its turnover in recent years is as follows:</w:t>
        <w:br/>
        <w:t>2013 2014 2015</w:t>
        <w:br/>
        <w:t>800,000 € 923,433.80 € 812,864 €</w:t>
      </w:r>
    </w:p>
    <w:p>
      <w:r>
        <w:t>15. PREBETONG HORMIGONES, S.A. (“PREBETONG”)</w:t>
        <w:br/>
        <w:t xml:space="preserve">PREBETONG is a concrete company headquartered in Vigo. It is a subsidiary of CORPORACIÓN NOROESTE, S.A., the parent company of the CIMPOR Group, the largest cement group in Portugal, until it was acquired in 2012 by the VOTORANTIM Group, one of the largest private groups in Brazil. </w:t>
        <w:br/>
        <w:t xml:space="preserve">HORMIGONES HERCULES, S.L., a concrete company of the CIMPOR Group, was absorbed by OCCIDENTAL DE HORMIGONES, S.L., on December 23, 2009. OCCIDENTAL DE HORMIGONES, S.L., in turn, was absorbed by PREBETONG GALICIA, S.A., on September 22, 2011. </w:t>
        <w:br/>
        <w:t xml:space="preserve">PREBETONG GALICIA, S.A. was renamed CIMPOR HORMIGÓN ESPAÑA, S.A. in 2012, which, in turn, was renamed PREBETONG HORMIGONES, S.A. in 2013. </w:t>
        <w:br/>
        <w:t>PREBETONG has 60 employees and, according to the data provided in the file, its turnover in recent years is as follows:</w:t>
        <w:br/>
        <w:t>2013 2014 2015</w:t>
        <w:br/>
        <w:t>42,800,000 € 39,832,400 € 42,823,694 €</w:t>
      </w:r>
    </w:p>
    <w:p>
      <w:r>
        <w:t>16. ARIDOS Y HORMIGONES HISPALENSE, S.L. (“HISPALENSE”)</w:t>
        <w:br/>
        <w:t>HISPALENSE is a concrete company headquartered in Camas (Sevilla). It has 21 employees and, according to the data provided in the file, its turnover in recent years is as follows:</w:t>
        <w:br/>
        <w:t>2013 2014 2015</w:t>
        <w:br/>
        <w:t>2,000,000 € 2,227,918.65 € 2,417,395 €</w:t>
      </w:r>
    </w:p>
    <w:p>
      <w:r>
        <w:t>17. BETONALIA, S.L. (“BETONALIA”)</w:t>
        <w:br/>
        <w:t>BETONALIA is a concrete company headquartered in Montilla (Córdoba). It has 42 employees and, according to the data provided in the file, its turnover in recent years is as follows:</w:t>
        <w:br/>
        <w:t>2013 2014 2015</w:t>
        <w:br/>
        <w:t>5,000,000 € 4,274,796.20 € 5,662,327 €</w:t>
      </w:r>
    </w:p>
    <w:p>
      <w:r>
        <w:t>18. HORMIGONES DE SEVILLA, S.L. (“HORSEV”)</w:t>
        <w:br/>
        <w:t>HORSEV is a concrete company headquartered in Morón de la Frontera (Sevilla). It has 8 employees and, according to the data provided in the file, its turnover in recent years is as follows:</w:t>
        <w:br/>
        <w:t>2013 2014 2015</w:t>
        <w:br/>
        <w:t>1,000,000 € 1,337,699.54 € 884,297 €</w:t>
      </w:r>
    </w:p>
    <w:p>
      <w:r>
        <w:t>19. ALMACENES Y HORMIGONES CREACONS, S.L. (“CREACONS”)</w:t>
        <w:br/>
        <w:t>CREACONS is a distributor of construction materials and a concrete company headquartered in Sevilla. It has 5 employees and, according to the data provided in the file, its turnover in recent years is as follows:</w:t>
        <w:br/>
        <w:t>2013 2014 2015</w:t>
        <w:br/>
        <w:t>2,000,000 € 4,428,377.22 € 6,734,512 €</w:t>
        <w:br/>
        <w:t>CREACONS succeeded PREMACONS in its activity as of January 2014. The link between both entities is embodied in the person of Mr. XXX, Sole Administrator of CREACONS, since October 21, 2014 (in replacement of Mr. XXX), and owner of 40.36% of the capital of PREMACONS. Additionally, he was Administrator of PREMACONS (jointly from 07/21/2003 and solely from 06/02/2005) until 12/12/2008.</w:t>
      </w:r>
    </w:p>
    <w:p>
      <w:r>
        <w:t>20. HORMIGONES PREMACONS, S.L. (“PREMACONS”)</w:t>
        <w:br/>
        <w:t xml:space="preserve">PREMACONS is a concrete company headquartered in La Algaba (Sevilla), belonging to the ALZAD Group, a group of companies dedicated to the construction industry. </w:t>
        <w:br/>
        <w:t xml:space="preserve">PREMACONS ceased its business activity on December 31, 2013. From this date, CREACONS succeeded PREMACONS in its activity, as mentioned in the previous section. </w:t>
        <w:br/>
        <w:t>According to the data provided in the file, its turnover in recent years is as follows:</w:t>
        <w:br/>
        <w:t>2013 2014 2015</w:t>
        <w:br/>
        <w:t>900,000 € 32,957.84 € No activity</w:t>
      </w:r>
    </w:p>
    <w:p>
      <w:r>
        <w:t>21. PREFABRICADOS LEFLET, S.L. (“LEFLET”)</w:t>
        <w:br/>
        <w:t>LEFLET is a prefabricated concrete and concrete company headquartered in Sevilla. It has 10 employees and, according to the data provided in the file, its turnover in recent years is as follows:</w:t>
        <w:br/>
        <w:t>2013 2014 2015</w:t>
        <w:br/>
        <w:t>1,000,000 € 1,063,195.26 € 947,223 €</w:t>
      </w:r>
    </w:p>
    <w:p>
      <w:r>
        <w:t>22. PREFABRICADOS LIGEROS DE HORMIGON, S.L. (“PRELHOR”)</w:t>
        <w:br/>
        <w:t>LEFLET is a prefabricated concrete and concrete company headquartered in Coria del Río (Sevilla). It has 9 employees and, according to the data provided in the file, its turnover in recent years is as follows:</w:t>
        <w:br/>
        <w:t>2013 2014 2015</w:t>
        <w:br/>
        <w:t>1,000,000 € 993,054.16 € 1,422,635 €</w:t>
      </w:r>
    </w:p>
    <w:p>
      <w:r>
        <w:rPr>
          <w:b/>
        </w:rPr>
        <w:t>[Pages 16–18]</w:t>
      </w:r>
    </w:p>
    <w:p>
      <w:r>
        <w:t>the value of its sales in 2014 was approximately 1 million euros.</w:t>
        <w:br/>
        <w:t>25. HORMIGONES UTRERA, S.L. (“UTRERA”)</w:t>
        <w:br/>
        <w:t>LEFLET is a concrete company based in Utrera (Sevilla). It has 16 employees and, according to the data provided in the file, its turnover in recent years is as follows:</w:t>
        <w:br/>
        <w:t>2013 2014 2015</w:t>
        <w:br/>
        <w:t>1,000,000 € 716,335.36 € 40,498 €</w:t>
        <w:br/>
        <w:t>26. HORMIGONES POLICHI, S.L. (“POLICHI”)</w:t>
        <w:br/>
        <w:t>POLICHI is a concrete company based in Guillena (Sevilla). It has 3 employees. It has not responded to the information requests from the CNMC, within the framework of this file, and has published its accounts in recent years, but the company does not appear to be dissolved. The last financial year for which its turnover is available is 2012, in which it invoiced 300,071 €.</w:t>
        <w:br/>
        <w:t>27. SURGYPS, S.A. (“SURGYPS”)</w:t>
        <w:br/>
        <w:t>SURGYPS is a concrete company based in Madrid. It has 5 employees and, according to the data provided in the file, its turnover in recent years is as follows:</w:t>
        <w:br/>
        <w:t>2013 2014 2015</w:t>
        <w:br/>
        <w:t>800,000 € 120,255.06 € 189,466 €</w:t>
        <w:br/>
        <w:t>CEMINTER holds 35.49% of its shares.</w:t>
        <w:br/>
        <w:t>The companies HORMIGONES GIRAL, S.A. and CEMENTOS LEMONA, S.A. were included by the Competition Directorate in its Initiation Agreement of December 22, 2012, but in light of all the actions taken and in accordance with Article 33.3 of the RDC, the instructing body determined in the Statement of Facts that their responsibility for the investigated infringements had not been established:</w:t>
        <w:br/>
        <w:t>• CEMENTOS LEMONA, S.A. (“LEMONA”)</w:t>
        <w:br/>
        <w:t>LEMONA, a Spanish company based in Bilbao, whose majority shareholder is CRH EUROPE INVESTMENTS BV, is engaged in the production of cement, concrete, mortar, and aggregates.</w:t>
        <w:br/>
        <w:t>• HORMIGONES GIRAL, S.A. (“GIRAL”)</w:t>
        <w:br/>
        <w:t>GIRAL is primarily engaged in the manufacture and sale of ready-mixed concrete, is based in Huesca, and its corporate purpose is the exploitation of quarries, gravel pits, and concrete plants, marketing of concrete and all kinds of construction materials, as well as the creation and operation of industries related to the aforementioned products.</w:t>
        <w:br/>
        <w:t>III. THE MARKET</w:t>
        <w:br/>
        <w:t>III.1. Regulatory Framework</w:t>
        <w:br/>
        <w:t>As described in paragraphs (74) to (82) of the PCH, the legal regime and regulatory framework applicable to cement, concrete, and other related products (mortar, aggregates, etc.) is configured based on Directive 89/106/EEC of the Council, of December 21, 1988, concerning the approximation of the legal, regulatory, and administrative provisions of the Member States regarding construction products, whose objective is the elimination of technical barriers in the construction products sector, in order to promote their free circulation in the internal market. This Directive was transposed into Spanish law by Royal Decree 1630/1992, of December 29, which establishes provisions for the free circulation of construction products. Subsequently, the aforementioned Directive 89/106/EEC was amended by Directive 93/68/EEC on CE marking.</w:t>
        <w:br/>
        <w:t>This regulation sets out the essential requirements applicable to works that may influence the technical characteristics of a product, established in terms of objectives, regarding mechanical resistance and stability, fire safety, hygiene, health and environment, safety in terms of its use, etc., as well as the identification of products that meet these requirements with the CE mark.</w:t>
        <w:br/>
        <w:t>The directive establishes the need to specify the means to achieve these objectives established as essential requirements through interpretative documents, standardization mandates, guides for the European technical suitability document, or the recognition of other technical specifications. Thus, at the European level, the European Committee for Standardization has developed extensive regulation in response to these standardization mandates.</w:t>
        <w:br/>
        <w:t>Moreover, the horizontal legal framework for the marketing of products in the internal market established by Regulation (EC) No. 765/2008 of the European Parliament and of the Council, of July 9, 2008, which establishes the requirements for accreditation and market surveillance related to the marketing of products, and Decision No. 768/2008/EC of the European Parliament and of the Council, of July 9, 2008, on a common framework for the marketing of products, must also be taken into account.</w:t>
        <w:br/>
        <w:t>At the national level, in the case of cement and concrete, in order to create a coherent technical unity framework consistent with that established in the European technical regulation and harmonized with the provisions relating to the free circulation of construction products within the European single market, particularly with Directive 89/106/EEC, the following were approved: i) Royal Decree 956/2008, of June 6, which approves the instruction for the reception of cements (RC-08) and ii) Royal Decree 1247/2008, of July 18, the instruction for structural concrete (EHE-08).</w:t>
        <w:br/>
        <w:t>Through Royal Decree 956/2008, the receptions of cements carried out in construction works, in concrete manufacturing plants, and in construction product factories that include cement in their composition are regulated.</w:t>
        <w:br/>
        <w:t>Royal Decree 1247/2008 incorporates into Spanish law the necessary regulations for adapting the regulations to the prevailing criteria in the European sphere regarding the requirements applicable to concretes, both structural and non-structural, as well as the requirements for aggregates in terms of components of these products.</w:t>
        <w:br/>
        <w:t>As for aggregates and mortars, they are standardized through a large number of European standards, among which we can highlight series EN-998, amended in 2004, and EN-1015 for mortars and series EN-932, EN-933, EN-1097, etc., for aggregates.</w:t>
        <w:br/>
        <w:t>III.2. Markets</w:t>
        <w:br/>
        <w:t>As described by the DC in paragraphs (83) to (92) of the PCH, the affected markets where the investigated practices occur are the markets for cement, concrete, and their related products. Specifically, the NACE codes corresponding to the markets affected by the behaviors are fundamentally C.23.51 Manufacture of cement and C.23.63 Manufacture of ready-mixed concrete.</w:t>
        <w:br/>
        <w:t>Cement is a mineral-based binder, difficult to substitute, used as an intermediate product, among others, for the production of concrete and its derivatives. In high-power kilns, where the basic minerals (such as limestone and clay) are calcined, clinker is obtained. This is then ground to produce cement. In national and community precedents, two markets have been differentiated according to the type of cement: gray,</w:t>
      </w:r>
    </w:p>
    <w:p>
      <w:r>
        <w:rPr>
          <w:b/>
        </w:rPr>
        <w:t>[Pages 19–21]</w:t>
      </w:r>
    </w:p>
    <w:p>
      <w:r>
        <w:t>widely used in construction, and white, primarily used for decorative purposes, and at a higher price than the former. The behaviors investigated in the present file would basically focus on the market for gray cement that can be marketed in bulk or in bags.</w:t>
      </w:r>
    </w:p>
    <w:p>
      <w:r>
        <w:t>For its part, concrete is a construction material, generally used structurally, derived from cement. It is obtained by mixing this product with aggregates, water, additives, and admixtures. According to its production, the European Commission and the CNMC have distinguished between site-mixed concrete and industrial concrete. Within the latter, a distinction has been made between ready-mix concrete and dry concrete. Site-mixed concrete (also called traditional or on-site) requires a lot of labor and does not have a homogeneous quality. This type of concrete is produced directly on-site from its components and due to its quality conditions, which do not allow its use in all construction elements and its cost, its use is very limited, hence this type of mix is only used when speed and quality are not determining factors or when the required volumes are relatively small.</w:t>
      </w:r>
    </w:p>
    <w:p>
      <w:r>
        <w:t>According to the investigating body, the best-selling concrete is industrial concrete, specifically, "ready-mix," an industrially produced product that is mixed at production facilities and then transported in concrete mixers to where it will be used. This type of concrete is marketed semi-wet and consists of cement and aggregates, in addition to water, additives, and admixtures, which are mixed at the concrete production plant very precisely. It is a highly perishable product, as setting occurs in a short period of time (less than 2 hours), in the absence of certain types of additives, so the geographical location of the plant where this type of concrete is prepared in relation to the construction sites it supplies is of great importance.</w:t>
      </w:r>
    </w:p>
    <w:p>
      <w:r>
        <w:t>On the other hand, concrete supplying companies are highly dependent on raw material suppliers, which leads to intense vertical integration in these markets. Thus, many concrete suppliers own quarries for extracting aggregates or companies that supply this product and/or belong to companies that supply cement.</w:t>
      </w:r>
    </w:p>
    <w:p>
      <w:r>
        <w:t>Additionally, among the products related to the two previously characterized markets, there are mortars, a construction material obtained from the mixture of a binder (cement and/or lime), aggregate, and water. Finally, aggregates are granular materials that serve as a base in many construction applications.</w:t>
      </w:r>
    </w:p>
    <w:p>
      <w:r>
        <w:t>The geographical market is strongly influenced by the characteristics of the product itself. The profitability and durability of cement and concrete are important factors that influence the geographical scope of these markets, which are sized considering the location of the production plants and the place where the product is to be delivered.</w:t>
      </w:r>
    </w:p>
    <w:p>
      <w:r>
        <w:t>However, it should be noted that, in the case of large projects, there is the possibility of establishing so-called mobile production plants that are set up close to the location where the work will be carried out, becoming economically viable due to the magnitude of the project. Normally, from the maximum supply distance to ensure this economic viability, it is inferred that the geographical market is defined by isochrones around the production plant, given the high impact of transportation on the cost of the product.</w:t>
      </w:r>
    </w:p>
    <w:p>
      <w:r>
        <w:t>For the purposes of this file, the investigating body considers that the affected geographical market is the national market, since companies engaged in these activities are involved with a presence in supra-autonomous areas, with a significant interdependence between product markets with different geographical scopes, and the various anti-competitive practices replicating in several areas.</w:t>
      </w:r>
    </w:p>
    <w:p>
      <w:r>
        <w:t>IV. PROVEN FACTS</w:t>
        <w:br/>
        <w:t>The facts accredited in this file regarding the investigated practices are based on the information obtained during the inspections carried out on September 16 and 17, 2014, at the premises and offices of the association ANEFHOP and the companies VALDERRIVAS, MOLINS, BETÓN, and CEMEX, and on May 27 and 28, 2015, at the headquarters of CREACONS, VALDERRIVAS, HORSEV, and BETONALIA.</w:t>
      </w:r>
    </w:p>
    <w:p>
      <w:r>
        <w:t>In paragraphs (93) to (227) of the PCH, the DC presents the facts it considers accredited regarding the behaviors developed by the accused companies after analyzing the aforementioned information. This presentation of facts is based on various electronic communications, files, handwritten notes, and comments collected during the inspections and the rest of the instruction of the file.</w:t>
      </w:r>
    </w:p>
    <w:p>
      <w:r>
        <w:t>According to the investigating body, the relationship between the operators largely depends on the degree of integration of the companies, with the most active being those that are vertically integrated with a presence in the production of cement and concrete.</w:t>
      </w:r>
    </w:p>
    <w:p>
      <w:r>
        <w:t>The DC orders the facts chronologically and, for better understanding, divides the examination of them according to whether they occurred within the cement market or within the concrete market, also separating them by geographical areas in the latter market.</w:t>
      </w:r>
    </w:p>
    <w:p>
      <w:r>
        <w:t>Subsequently, in paragraphs (241) to (318) of the PCH, relating to the legal assessment of the investigated behaviors, the investigating body examines the existence of certain anti-competitive behaviors contrary to the LDC based on facts accredited in section 5 of the PCH that are presented below.</w:t>
      </w:r>
    </w:p>
    <w:p>
      <w:r>
        <w:t>IV.1 Cement market: market sharing agreement and exchange of sensitive commercial information.</w:t>
        <w:br/>
        <w:t>According to the investigating body in paragraphs (97) to (111) of the PCH, between the years 2009 and 2014, the cement companies CEMEX, VALDERRIVAS, LAFARGE, CEMINTER, and HOLCIM maintained contacts and exchanged sensitive commercial information.</w:t>
      </w:r>
    </w:p>
    <w:p>
      <w:r>
        <w:t>However, after receiving and assessing the allegations presented to the PCH by the accused companies, the investigating body reduces the accusation to the behaviors that occurred during the years 2012 and 2013.</w:t>
      </w:r>
    </w:p>
    <w:p>
      <w:r>
        <w:t>While initially the DC considered that the cement company MOLINS also carried out this market sharing between the years 2009 and 2014, it later modified its legal responsibility attributing it to PROMSA in the contacts between BETÓN CATALÁN and PROMSA regarding the exchange of sensitive commercial information and market sharing of concrete in two emails dated November 9, 2011, and January 28, 2014 (folios 4014 and 5112 respectively). It also proceeded to archive the proceedings against MOLINS due to the prescription of its anti-competitive actions from the year 2009.</w:t>
      </w:r>
    </w:p>
    <w:p>
      <w:r>
        <w:t>Year 2013</w:t>
        <w:br/>
        <w:t>The file contains an internal email from MOLINS dated July 1, 2013, in which two employees of this company share an attached excel file titled “CEMEX Clients” in which a table can be seen consisting of clients, their location data, and numerical data regarding metric tons for each of those clients concerning MOLINS and the following competitors: CEMEX, LAFARGE, Unión, Cementos Valencia, Élite, and T.F. (folios 4600 to 4611).</w:t>
      </w:r>
    </w:p>
    <w:p>
      <w:r>
        <w:t>On July 15, 2013, the Commercial Manager of Cement for the Central Zone of VALDERRIVAS sends an email to the Commercial Director of the Northern, Central, Southern, and United Kingdom Zones of the same company informing him of the loss of a client to CEMEX and suggesting the possibility of preparing a “proportional retaliation”:</w:t>
        <w:br/>
        <w:t>“The client has called us […], to tell us that CEMEX offered him […] € cheaper than our price. (…). If you think it is appropriate, we prepare a proportional retaliation. As you know, if we do not respond quickly, they will be consolidated.” (folio 3498).</w:t>
      </w:r>
    </w:p>
    <w:p>
      <w:r>
        <w:t>On October 31, 2013, the Commercial Manager of Cement for the Central Zone of VALDERRIVAS sends an email to the Commercial Director of the Northern, Central, Southern, and United Kingdom Zones of the same company attaching weekly commercial reports from the Central Zone in excel format. In the body of the email, references to exchanges of information about prices can be read.</w:t>
      </w:r>
    </w:p>
    <w:p>
      <w:r>
        <w:rPr>
          <w:b/>
        </w:rPr>
        <w:t>[Pages 22–24]</w:t>
      </w:r>
    </w:p>
    <w:p>
      <w:r>
        <w:t>applied, alleged "aggressions" between various competing companies, and slowdown of sales to competitors' clients:</w:t>
        <w:br/>
        <w:t>"(…) Cementos Hidalgo is very upset with us due to alleged aggressions against their clients in Badajoz who were consuming Balboa and, according to their version, were gradually going to switch to Valderrivas. They complain about low offers from Seville of up to 21 euros difference. (...).</w:t>
        <w:br/>
        <w:t>We are having several problems with H Castrejón, who buys cement from Lafarge and from Cementos Hidalgo our cement, which he is reselling to everyone he can.</w:t>
        <w:br/>
        <w:t>Following your instructions, we have slowed down offers to competitors' clients. We only offer to sporadic clients of Holcim and to clients of Cinsa for white cement. (…)</w:t>
        <w:br/>
        <w:t>As main aggressions from the competition, point out Lafarge to supplies Leganés (...) the offers from CEMEX to bagged clients (...).</w:t>
        <w:br/>
        <w:t>In all of them, we have limited ourselves to readjusting the price between 1 and 5 euros to our clients but we have not returned the aggressions.” (folio 3500).</w:t>
        <w:br/>
        <w:t>Year 2014</w:t>
        <w:br/>
        <w:t>On April 28, 2014, in an internal email from the company VALDERRIVAS sent by the Commercial Manager of Cement for the Central Zone, Mr. XXX, to the Commercial Director of the North, Central, South, and United Kingdom Zone, Mr. XXX, the former informs the latter of the aggressions suffered by their own clients from Cementos Balboa in these terms:</w:t>
        <w:br/>
        <w:t>“We have had some aggressions from Cementos Balboa against our clients in Extremadura through Cementos Hidalgo. Specifically, they have materialized in the area […]. They have offered […] the cement at 48€ ex-factory. In addition, they have offered the payment terms at 120 days. We are keeping the clients.” (folio 3513).</w:t>
        <w:br/>
        <w:t>On May 7, 2014, a client of VALDERRIVAS in the province of Ciudad Real sends an email to Mr. XXX, Commercial Manager of the Central Zone of said company. In this email, he expresses his disagreement regarding the price increase of cement by his supplier, which is VALDERRIVAS, due to the risk of losing a large project in favor of a competitor supplied by LAFARGE, which has not applied the same cement price increase (folios 3514 and 3515):</w:t>
        <w:br/>
        <w:t>"(…) We currently have a budgeted project, specifically in Puertollano, of about 4,000.-TN of cement, my company has the option to be awarded this project, but upon communicating the cement price increase to the client, they responded that the other competing company (Lafarge) has not communicated any increase, so they will have to award this project to this concrete plant.</w:t>
        <w:br/>
        <w:t>(…) If they have not increased proportionally to the increase in cement, it is logical that they have not had a cement increase (...). One cannot start an agreement by losing this project, (...), I understand that you are breaching any agreement you may have reached regarding the cement price increase, and you must make decisions, you cannot be deceived in this way, the last time it happened the same, you increased and lost a large number of clients, including me, now the same will happen. (…)"</w:t>
        <w:br/>
        <w:t>On May 28, 2014, the Director of Business for Concrete, Aggregate, and Mortar of VALDERRIVAS, Mr. XXX, sends an internal email to the Commercial Director of the North, Central, South, and United Kingdom Zone, Mr. XXX, and to the Business Director for Spain and Portugal, Mr. XXX, in which he comments on how sales are evolving after the cement price increase they have applied in the different provinces of the Southern Zone of Spain:</w:t>
        <w:br/>
        <w:t>“(…) At the very bottom, you have a very illustrative email from [client] where it is clear that Balboa has not applied the increase generally, but selectively and even many have not been informed at all. (…)</w:t>
        <w:br/>
        <w:t>Holcim in Cádiz, for now, has no intention of increasing prices. The excuses:</w:t>
        <w:br/>
        <w:t>That GREMASA continues to sell in Sanlúcar to clients of their clients.</w:t>
        <w:br/>
        <w:t>They threaten to come to Seville to approach their clients.</w:t>
        <w:br/>
        <w:t>That TZB is selling in Gibraltar to the concrete plant that is their client.</w:t>
        <w:br/>
        <w:t>That Balboa has taken away from Huelva the main client of their distributor Delmasur. They say they intend to do the same in Seville and Huelva. (…)” (folios 3516 and 3517).</w:t>
        <w:br/>
        <w:t>On May 31, 2014, in an internal email from the company VALDERRIVAS, the Commercial Manager of Cement for the Central Zone, Mr. XXX, informs the Commercial Director of the North, Central, South, and United Kingdom Zone in these terms:</w:t>
        <w:br/>
        <w:t>“(…) We have reliable information that Lafarge has told its distributors that they can offer to our clients in Toledo but without leaving anything in writing. We accidentally overheard the conversation of their salesperson with them (…)” (folio 3519).</w:t>
        <w:br/>
        <w:t>On June 9, 2014, the Director of Business for Concrete, Aggregate, and Mortar of VALDERRIVAS, Mr. XXX, sends an email to the Commercial Director of the North, Central, South, and United Kingdom Zone, XXX, and to the Business Director for Spain and Portugal, Mr. XXX, both also employees of VALDERRIVAS, in which he sends them a commercial report dated June 6, 2014, detailing the commercial activity in the provinces of Cádiz, Málaga, Huelva, Badajoz, Córdoba, and Sevilla. In the table containing the information about Cádiz, references can be found to a meeting with another cement company in which a price increase for cement and the supplier for certain clients is discussed:</w:t>
        <w:br/>
        <w:t>“(…) The meeting with CEMINTER:</w:t>
        <w:br/>
        <w:t>They cannot increase prices if they do not sell (…)</w:t>
        <w:br/>
        <w:t>They will be the last to increase prices, as they do not trust Holcim (they are very upset with them because they have lowered prices for a couple of shared clients, with the intention of taking 100%)</w:t>
        <w:br/>
        <w:t>They are willing to reach agreements, but they want to sell at least 50% more.</w:t>
        <w:br/>
        <w:t>They will not respect XXX. And we will talk about the wholesalers in the Sierra de Cádiz one by one.</w:t>
        <w:br/>
        <w:t>They would like to recover Hormigones La Red, which occupies their former Surgyps plant, with whom they had a tacit agreement to buy from them, but at market price. We have not supplied them since the increase.</w:t>
        <w:br/>
        <w:t>They want to maintain Hormigones Domar, in La Rambla (which also does not buy from us anymore) because they owe them 3 trucks.</w:t>
        <w:br/>
        <w:t>We asked them not to interfere in La Dehesa and they accepted (although they claim that they also owe them money).” (folio 4252).</w:t>
        <w:br/>
        <w:t>On June 16, 2014, Mr. XXX, Commercial Manager of Cement for the Central Zone of VALDERRIVAS, writes an email to Mr. XXX, Commercial Director of the North, Central, South, and United Kingdom Zone, in which he comments on the tensions between BETÓN CATALÁN and a competitor:</w:t>
        <w:br/>
        <w:t>“XXX, significant commercial tensions are rising between Betón and [competitor]. The cause is two projects from [client] and [client] that Beton considered contracted and have supposedly been unpleasantly surprised that [competitor] has also bet on them. These projects are within Betón's natural market due to distance to the supply point, so they would not be profitable for [competitor].</w:t>
        <w:br/>
        <w:t>Beton threatens with reprisals and this would pose a significant handicap for the consolidation of the still fragile cement price increase.</w:t>
        <w:br/>
        <w:t>(…)”</w:t>
        <w:br/>
        <w:t>Mr. XXX, Commercial Director of the North, Central, South, and United Kingdom Zone responds:</w:t>
        <w:br/>
        <w:t>“XXX, I am aware of these tensions, motivated by both, from my point of view, and for which it is already being seen how this tension can be alleviated.” (folio 3522).</w:t>
        <w:br/>
        <w:t>On June 19, 2014, Mr. XXX, Director of Business for Concrete, Aggregate, and Mortar of VALDERRIVAS, sent Mr. XXX, Commercial Director of the North, Central, South, and United Kingdom Zone of VALDERRIVAS, an email with the Subject</w:t>
      </w:r>
    </w:p>
    <w:p>
      <w:r>
        <w:rPr>
          <w:b/>
        </w:rPr>
        <w:t>[Pages 25–27]</w:t>
      </w:r>
    </w:p>
    <w:p>
      <w:r>
        <w:t>“HOR. CREACONS-SEVILLA” in which this phrase referring to CREACONS can be read (folio 4254):</w:t>
        <w:br/>
        <w:t>“I mentioned to them that they would have a market price for cement and not because there is no table would we lower it, especially since they are responsible for the break. The price in Seville is rising.”</w:t>
        <w:br/>
        <w:t>IV.2 Concrete market: market sharing agreement, price agreement, and exchange of sensitive strategic commercial information</w:t>
        <w:br/>
        <w:t>As described in paragraphs (112) to (227) of the PCH, the investigating body considered in its initial assessment that, between the years 1999 and 2014, the accused concrete companies divided the Spanish concrete market, fundamentally, through agreements for the distribution of works, clients, production, and areas, articulated through agreements for the exchange of sensitive commercial information about clients, costs, works, production, and prices, and at times, price agreements.</w:t>
        <w:br/>
        <w:t>The agreement aimed to maintain the stability of the existing market distribution in different areas of the Spanish geography (southern area, northeast, and central), through similar practices and the coinciding presence of some companies.</w:t>
        <w:br/>
        <w:t>Among the entities participating in these events are the most important concrete companies in the sector in Spain, including the subsidiaries of large integrated cement companies.</w:t>
        <w:br/>
        <w:t>However, after receiving and evaluating the allegations presented to the PCH by the accused companies, the investigating body in the resolution proposal submitted to this Chamber proposes the declaration of three distinct infringements and not a single infringement, as established in the PCH, taking into account the existence of three distinct geographical areas where the alleged facts have been accredited, the participation in each of them of different companies (with the exception of CEMEX, BETÓN CATALÁN, LAFARGE VALDERRIVAS, which are simultaneously present in several or all affected areas), and the ignorance alleged by other interested parties present only in one of the areas, of the joint plan concerning other geographical areas different from those in which they operate.</w:t>
        <w:br/>
        <w:t>According to the instruction carried out by the DC, the facts that constitute the investigated market sharing agreement occur in three geographical areas: northeast, central, and south, which, as just referred to, constitute the three differentiated infringements whose declaration the investigating body proposes to this Chamber.</w:t>
        <w:br/>
        <w:t>The DC dedicates an independent section of the PCH to the analysis and exposition of accredited facts in each of these areas:</w:t>
        <w:br/>
        <w:t>- Northeast area: paragraphs (112) to (153).</w:t>
        <w:br/>
        <w:t>- Central area: paragraphs (154) and (160).</w:t>
        <w:br/>
        <w:t>- Southern area: paragraphs (161) to (227).</w:t>
        <w:br/>
        <w:t>Among the companies present in the three areas of the agreement are local companies, which operate exclusively in one of the areas, or companies that operate in several of them, such as BETÓN CATALÁN (with presence in all three areas) or CEMEX and LAFARGE (with presence in the northeast and central areas).</w:t>
        <w:br/>
        <w:t>The agreements in which the companies participated were commonly referred to as “table” or “club” in the documentation included in the file, referring to the different geographical areas. Thus, in the southern area, there is evidence of the existence of the agreement since at least the year 2005, already with expressions such as “The club continues to operate” (June 05), or “distributed at the table” (October 2005), according to what is recorded in the monthly monitoring reports (paragraphs 162 and 163 of the PCH). Also, in the northeast area, as shown by the fax found at BETÓN CATALÁN where it is written about the distribution of works of the construction company A.C.S. and that CEMEX wants to distribute with BETON CATALAN “without the others and outside the table” (paragraph 120 of the PCH).</w:t>
        <w:br/>
        <w:t>Likewise, in the different tables, the expressions “IN” and “OUT” are common in reference to those who are part of and those who are not part of the agreement. This can be observed in the “FUNDAMENTAL PRINCIPLES OF THE AGREEMENT” that is reproduced later when analyzing the facts related to the Northeast area and can also be observed in paragraph 163 of the PCH related to the southern area: “The tension in club 8…) is increasing due to the outs, the average contracting price is decreasing quite a bit” (Apr-06) or “The club is barely holding on and prices continue to drop due to the “outs” and the nervousness of the club members (Dec-06).</w:t>
        <w:br/>
        <w:t>The practice in the southern area developed from the referred year 2005 until 2014. For its part, the so-called central area has various documentation in the PCH issued by the investigating body that proves the investigated practices in the years 2009 to 2014.</w:t>
        <w:br/>
        <w:t>NORTHEAST AREA</w:t>
        <w:br/>
        <w:t>The documentation incorporated into the file and analyzed by the DC in paragraphs (112) to (153) of the PCH proves the origin of the agreement in the so-called northwest area in June 1999 and documents the existence of contacts and exchanges of information between the concrete companies belonging to the cartel from 2001 to 2014. Notably, the documents referred to the year 2001 during the inspection carried out at the headquarters of BETÓN CATALÁN.</w:t>
        <w:br/>
        <w:t>As described in paragraph (112) of the PCH, the first detected agreement would have occurred in 1999 in the northeast area. From this area or geographical zone, the PCH contains documents that prove the infringement uninterruptedly from 1999 to 2014, being particularly illustrative of the methodology of the agreements and the investigated practices the documents referred to the year 2001 that will be examined next, such as the document titled “FUNDAMENTAL PRINCIPLES OF THE AGREEMENT” (folio 2808), which describes it as a “gentlemen's agreement” in which it aims to agree on the market participation of each of the participating companies, respecting a price level that makes such participation possible. In this agreement, the companies agree on the “addicted” clients of each of them, and a reference price that allows the stability of the pact. Periodic communication of productions is also established, as well as external control elements for the certification and auditing of the productions carried out.</w:t>
        <w:br/>
        <w:t>Year 1999</w:t>
        <w:br/>
        <w:t>The file contains a table titled “BUDGETS OF BARCELONA”, dated October 19, 2000, in which it can be read “ORIGIN: JUNE 22, 1999” and which includes a distribution chart of productions among CEMEX, Readymix Asland (previous name of LAFARGE), Hormigones Uniland (finally absorbed by VALDERRIVAS), Pioneer Concrete Hispania (former name of HANSON), PROMSA, and BETÓN CATALÁN, and others not identified as described in the PCH.</w:t>
        <w:br/>
        <w:t>In this table, there are a series of figures grouped into four columns, each of which sums a total of “100”, which evidences that these are percentages. Likewise, in point 2 of the text that appears at the end of the table, it can be read “RXA IS DISTRIBUTED AMONG ALL COMPANIES, FROM AR. UPWARDS; AR. GOES TO UNILAND GROUP, and in point 3 of the same “FORB. GOES TO UNILAND (INTEGRATED INTO UNILAND)”, circumstances that the investigating body considers evidence of the existing distribution (paragraph 260 of the PCH).</w:t>
        <w:br/>
        <w:t>Year 2001</w:t>
        <w:br/>
        <w:t>Among the documentation collected at the headquarters of BETÓN CATALÁN, the DC describes in paragraphs (114) to (125) of the PCH a series of reports, tables, handwritten notes, and faxes, referred to the year 2001 and related to each other, located in the office of Mr. XXX (responsible for the Barcelona area of that company), which prove the functioning of the market sharing agreement.</w:t>
        <w:br/>
        <w:t>Specifically, the document “FUNDAMENTAL PRINCIPLES OF THE AGREEMENT” (folio 2808) describes the articulation of the market sharing agreement in which it indicates that it is a “GENTLEMEN'S AGREEMENT” in the following terms:</w:t>
        <w:br/>
        <w:t>“FUNDAMENTAL PRINCIPLES OF THE AGREEMENT”</w:t>
      </w:r>
    </w:p>
    <w:p>
      <w:r>
        <w:rPr>
          <w:b/>
        </w:rPr>
        <w:t>[Pages 28–30]</w:t>
      </w:r>
    </w:p>
    <w:p>
      <w:r>
        <w:t>based on a “GENTLEMAN'S AGREEMENT” that implies total trust among all companies.</w:t>
        <w:br/>
        <w:t>The market share of each company is respected by all others.</w:t>
        <w:br/>
        <w:t>Existing boundaries are respected.</w:t>
        <w:br/>
        <w:t>The price level that ensures the desired profitability must be compatible with the stability over time of the pre-established market shares of the “IN” and “OUT” companies.</w:t>
        <w:br/>
        <w:t>The representatives of the companies have the autonomy and authority to implement the agreement and thus achieve the set objectives.</w:t>
        <w:br/>
        <w:t>IMPLEMENTATION:</w:t>
        <w:br/>
        <w:t>The representatives of the companies will agree on a list of the “ADDICTED CLIENTS” of each of them.</w:t>
        <w:br/>
        <w:t>They will establish a “REFERENCE PRICE” that makes the desired profitability compatible with the desired stability of “IN/OUT” shares.</w:t>
        <w:br/>
        <w:t>The representatives of the companies are responsible for the actions of their commercial organization.</w:t>
        <w:br/>
        <w:t>The price variation of each company and the orientation in the treatment of certain works (especially large ones) must be the basic instrument for the convergence of the established market shares and actual production.</w:t>
        <w:br/>
        <w:t>The representatives will establish the frequency and location of meetings, avoiding fixed periodicities over time and repetition of locations as much as possible.</w:t>
        <w:br/>
        <w:t>They will set the frequency of communication regarding the productions of their companies and will personally handle the statistics.</w:t>
        <w:br/>
        <w:t>External control elements will be sought for the certification and auditing of the productions carried out by both the “IN” and “OUT” companies.</w:t>
        <w:br/>
        <w:t>The channels of coordination and communication with the “LOCAL IN” and “OUT” will be determined.</w:t>
        <w:br/>
        <w:t>False statements will be grounds for termination of the agreement.</w:t>
      </w:r>
    </w:p>
    <w:p>
      <w:r>
        <w:t>Only in extreme situations of non-convergence over time, will it be possible to resort to the execution of intercharges, which must be carried out with vehicles from the marketing company.”</w:t>
        <w:br/>
        <w:t>For its part, the document titled “REPORT TO MR. XXX” (folio 2089), when recounting the loss of trust among the companies regarding the distribution, documents the identity of some of the participating companies in the distributions – specifically mentioning the companies PROMSA, ASLAND, PIONEER, CEMEX, and UNILAND – which can be identified with some of those already listed in the sheet titled “BUDGETS OF BARCELONA”:</w:t>
        <w:br/>
        <w:t>Subject: Gradual loss of trust among the Zone Managers attending the distribution in the presence of Mr. XXX.</w:t>
        <w:br/>
        <w:t>CAUSAL FACTORS:</w:t>
        <w:br/>
        <w:t>There are companies with which the relationship of trust is very correct, but their Directors make arrangements with their friend-clients, client-friends, and/or acquaintances and acquire commitments that they do not discuss with their Zone Managers until they have “secured” the works.</w:t>
        <w:br/>
        <w:t>(Mr. XXX from Promsa)</w:t>
        <w:br/>
        <w:t>There are companies where the salesperson “acts independently” with the authorization of their Director, and the Zone Managers must make “adjustments” to prevent information from leaking.</w:t>
        <w:br/>
        <w:t>(Mr. XXX from Promsa)</w:t>
        <w:br/>
        <w:t>In both cases, you must negotiate or yield; otherwise, you are “bad and uncompromising.”</w:t>
        <w:br/>
        <w:t>There are cases where the relationship is not fluid or trustworthy due to old issues of conflicts, broken agreements, etc. Scars that are still open and very difficult to forget, although from time to time agreements are made and peace is signed.</w:t>
        <w:br/>
        <w:t>(Mr. XXX from Asland)</w:t>
        <w:br/>
        <w:t>There are companies that have genuine freeloaders as Plant Salespeople, who lie and deceive their own company by presenting and awarding works that do not exist (studies, etc.); these works are not carried out, and then they claim it is the competition's fault.</w:t>
        <w:br/>
        <w:t>(Mr. from Asland)</w:t>
        <w:br/>
        <w:t>If you warn about “this,” they get angry.</w:t>
      </w:r>
    </w:p>
    <w:p>
      <w:r>
        <w:t>There are cases where closing contracts for packages of works or overcommitting to clients, combined with excessive zeal in fulfilling their quota and the agony of defending their “old” acquaintances, lead to a lack of total trust in the fulfillment of agreements.</w:t>
        <w:br/>
        <w:t>(Mr. XXX from Pioneer)</w:t>
        <w:br/>
        <w:t>If you are not tolerant, you are “bad”; reciprocity is very difficult to understand.</w:t>
        <w:br/>
        <w:t>There are cases where Salespeople tell half-truths or complicate presentations: if their Zone Manager “does not check,” interferences occur that resolve nothing and create more distrust.</w:t>
        <w:br/>
        <w:t>(Mr. from Cemex)</w:t>
        <w:br/>
        <w:t>There are companies that are reasonably suspected of colluding with outsiders and leaking information from meetings so that their works and clients remain “untouched.”</w:t>
        <w:br/>
        <w:t>(Mr. from Uniland)</w:t>
        <w:br/>
        <w:t>Tandem XXX-XXX.”</w:t>
        <w:br/>
        <w:t>Also included in the file, resulting from the inspection carried out in the office of the person responsible for the Barcelona Zone of BETÓN CATALÁN:</w:t>
        <w:br/>
        <w:t>- a chart with various proposals grouping companies “with and without “RDX” also referring to the year 2001 (folio 2810).</w:t>
        <w:br/>
        <w:t>- a handwritten sheet dated January 18 of that year, which includes a “LIST OF WORKS WITH “SIN” OF OFFER AND IN SERVICE” from the Barcelona Zone (folio 2826).</w:t>
        <w:br/>
        <w:t>- a table titled “ADDICTED CLIENTS METROPOLITAN AREA,” which includes six columns: the first for clients and the second to sixth columns contain the following acronyms and names: “HCX,” “PROMSA,” “UNILAND,” “BETON,” and “PIO” (folios 2815-2820).</w:t>
        <w:br/>
        <w:t>- A five-column table (folio 2811), dated May 16, 2001, with the different percentages assigned to each of the companies, as certain companies are integrated and excluded from the distribution.</w:t>
        <w:br/>
        <w:t>- Handwritten notes dated May 30, 2001 (folio 2850), on a fax cover sent that same day from the fax of BETON CATALÁN, with the header data “FROM: R. XXX TO MR: XXX,” containing the following observations:</w:t>
      </w:r>
    </w:p>
    <w:p>
      <w:r>
        <w:rPr>
          <w:b/>
        </w:rPr>
        <w:t>[Pages 31–33]</w:t>
      </w:r>
    </w:p>
    <w:p>
      <w:r>
        <w:t>“SUBJECT: A.C.S. WORKS. THERE ARE THREE IMPORTANT WORKS FOR IMMEDIATE START (…)</w:t>
        <w:br/>
        <w:t>In works number two and three (…)…today CEMEX wants to negotiate a deal of one for BETON and another for CEMEX, I tell them that I do not negotiate these agreements (without the others and outside the table), we will offer at rate (…). It will continue…".</w:t>
        <w:br/>
        <w:t>- Other handwritten notes (folio 2872), also dated May 30, 2001, but actually sent via fax on June 11, 2001, with the following content:</w:t>
        <w:br/>
        <w:t>“WORK: Lateral Ronda Litoral Section Prim-Taulot.</w:t>
        <w:br/>
        <w:t>On June 6, PROMSA re-offers in this work at: HA 25.20 B at 7050 pts/m3 (…) they have supplied 2 trips of concrete.</w:t>
        <w:br/>
        <w:t>When I had commented on their offer at 7,450 on June 5, 2001, the client says it was at 7200 pts/m3”.</w:t>
        <w:br/>
        <w:t>- A fax sent on June 4, 2001, written in Catalan and addressed to Mr. XXX, which includes the listings of “OFFERS MADE MAY 01", "WORKS AWARDED TO BC in absence PR" and "list of loyal clients” (folios 2860-2865). On its first page, it reads:</w:t>
        <w:br/>
        <w:t>“MR. SEOANE:</w:t>
        <w:br/>
        <w:t>It would be very interesting to clarify the 3 works of VIAS: (of the 3, it has options PR (...)</w:t>
        <w:br/>
        <w:t>Urb. La Perla (RUBI) 3400 m3 (attached BC 8/5/01)</w:t>
        <w:br/>
        <w:t>Urb. Can Casasblancas (…) (attached BC 12/5/01)</w:t>
        <w:br/>
        <w:t>Can Palots (Canovelles) 2700 m3 (list of 29/5/01) requested by Pio”</w:t>
        <w:br/>
        <w:t>- A fax headed with the handwritten date of June 5, 2001, which contains a list of “LOYAL CLIENTS” (folios 2856 and 2857).</w:t>
        <w:br/>
        <w:t>- A fax sent on October 22, 2001 (folios 2845 and 2846), headed with “BARCELONA AREA” INCIDENTS WITH PROMSA (HA25.20.B II)” reads as follows:</w:t>
        <w:br/>
        <w:t>"(…) more or less loyal clients who do not buy at agreed prices"(…) "Works where we lowered the price due to PROMSA"(…) "Works contracted by PROMSA at low price" "works awarded and/or started by PROMSA with prices &lt; 7,500”.</w:t>
        <w:br/>
        <w:t>- Various client lists dated June 2001 (folios 2916 to 2929), which include expressions such as: “BARNA-SHARED”, “LOYAL CLIENTS-FREQUENT ZONE MASSO”, “NO LOYAL CLIENTS”.</w:t>
        <w:br/>
        <w:t>- A fax sent on June 8, 2001, which sends various lists (many of them handwritten on sheets from a hotel chain's notepad) of “loyal, affiliated, and shared clients”. Next to some of them, the following annotations appear:</w:t>
        <w:br/>
        <w:t>PIONEER, CX, PROMSA, UNI, BC, BENEMA, F TERRASA (folios 2831 to 2843). The instructing body considers the handwritten annotations included in folio 2843 particularly descriptive.</w:t>
        <w:br/>
        <w:t>- Several tables of clients dated June 25 (sent by fax) and October 1, 2001 (folios 2821 to 2823 and 2849), in which expressions such as these are used:</w:t>
        <w:br/>
        <w:t>"CLIENT: WORK OF SPECIAL INTEREST TO BE RESPECTED BY LOYAL CLIENT"</w:t>
        <w:br/>
        <w:t>(…)</w:t>
        <w:br/>
        <w:t>"the m3 are 11,000 and PR did not respect… we lowered prices… and in service".</w:t>
        <w:br/>
        <w:t>Year 2003</w:t>
        <w:br/>
        <w:t>The file also contains a document collected at the BETÓN CATALÁN headquarters, titled “Notas.xls” and dated February 20, 2003, which contains in one of its spreadsheets, a text addressed to Mr. XXX, General Director of Betón, and copied to Mr. XXX, referring to a conversation with Mr. XXX, an employee of PROMSA, with the following information translated by the instructor into Spanish from the original in Catalan (folio 2957):</w:t>
        <w:br/>
        <w:t>“Mr. XXX just called me to inform me that Mr. Grau called him to tell him that XXX is from UNI, starting today, and that therefore, he should add the corresponding quota: 0.71.-“</w:t>
        <w:br/>
        <w:t>Year 2004</w:t>
        <w:br/>
        <w:t>Some handwritten notes also collected in Mr. XXX's office (BETÓN CATALÁN) and also taken within what is a fax cover sheet, contain the following information about “sharing works” (folios 2813 and 2814), again translated from the original Catalan:</w:t>
        <w:br/>
        <w:t xml:space="preserve">“The new proposal for the nearest possible future is that in the G.J. meeting it is decided to "share works" in UTE or without... and stating beforehand that the sales management (as long as BC goes, the other or ... the others ... and then, we will intervene with the management of the work ... or the plant.” </w:t>
        <w:br/>
        <w:t>Year 2005</w:t>
        <w:br/>
        <w:t>On August 12, 2005, in an email with the subject “RE: UTE BCN SUD PRODUCTIONS” (folio 4008), sent by an employee of UNILAND to two employees of HANSON and copied to various people from MOLINS, BETON CATALÁN, UNILAND, and PROMSA, it reads:</w:t>
        <w:br/>
        <w:t>“How is it possible that Hanson has more production than UNILAND, after the last management committee meeting, in which specific instructions were given??”</w:t>
        <w:br/>
        <w:t>On August 29, 2005, another email of similar characteristics (folio 4009) is again sent by UNILAND to HANSON, copied to MOLINS, BETON CATALÁN, UNILAND, and PROMSA:</w:t>
        <w:br/>
        <w:t>“I do not understand how, having given clear instructions that the production for the month of August had to be done by PROMSA and UNILAND, how is it possible that Hanson has supplied 2,700 m3, corresponding to 27% of the production for the month”.</w:t>
        <w:br/>
        <w:t>Year 2006</w:t>
        <w:br/>
        <w:t>Among the printed documentation collected during the inspection carried out at BETÓN CATALÁN, there are also ten letters of communication regarding price increases issued by competitors of this company between October 16 and December 14, 2006, in which no recipient is specified:</w:t>
        <w:br/>
        <w:t>• Letter dated October 16, 2006, regarding a price increase for concrete starting January 1, 2007 (8-9€) by LAFARGE (folios 2794 and 2795).</w:t>
        <w:br/>
        <w:t>• Letter dated November 1, 2006, regarding a price increase for concrete starting January 2, 2007 (8€) by HANSON (folio 2791).</w:t>
        <w:br/>
        <w:t>• Letter dated November 7, 2006, regarding a price increase for cement starting January 1, 2007 (10€) by UNILAND (folios 2798 and 2799).</w:t>
        <w:br/>
        <w:t>• Letter dated November 10, 2006, regarding a price increase for concrete starting January 1, 2007 (7€) by PROMSA (folio 2789).</w:t>
        <w:br/>
        <w:t>• Letter dated November 27, 2006, regarding a price increase for cement starting January 1, 2007 (10€) by MOLINS (folio 2796).</w:t>
      </w:r>
    </w:p>
    <w:p>
      <w:r>
        <w:rPr>
          <w:b/>
        </w:rPr>
        <w:t>[Pages 34–36]</w:t>
      </w:r>
    </w:p>
    <w:p>
      <w:r>
        <w:t>• Letter dated December 1, 2006, regarding a price increase for concrete starting January 1, 2007 (€7.5) by UNILAND (folios 2786 and 2787).</w:t>
        <w:br/>
        <w:t>• Letter dated December 1, 2006, regarding a price increase for concrete starting January 1, 2007 (€8) by HORMICONSA (folio 2788).</w:t>
        <w:br/>
        <w:t>• Letter dated December 1, 2006, regarding a price increase for concrete starting January 1, 2007 (€8) by Formigons BM (folios 2792 and 2793).</w:t>
        <w:br/>
        <w:t>• Letter dated December 5, 2006, regarding a price increase for cement (7%) and mortar (9%) starting January 15, 2007 (€7) by PROPAMSA (folio 2797).</w:t>
        <w:br/>
        <w:t>• Letter dated December 14, 2006, regarding a price increase for cement starting January 1, 2007 (4.5%) by CEMEX (folio 2800).</w:t>
        <w:br/>
        <w:t>Year 2007</w:t>
        <w:br/>
        <w:t>Also in this year, a letter dated January 16, 2007, collected at the BETÓN CATALÁN headquarters, regarding a price increase for concrete starting January 1, 2007, for a specific project by PROMSA (folio 2790).</w:t>
        <w:br/>
        <w:t>Year 2008</w:t>
        <w:br/>
        <w:t>On May 16, 2008, Mr. XXX, an employee of PROMSA, wrote a response email to Mr. XXX, Head of the Barcelona Area of BETÓN CATALÁN, attaching a price list from PROMSA that the latter had requested in a previous email, titled “PROMSA_TARIFA DE PREUS DE FORMIGO SEGONS INSTRUCCIO E.H.E.-CATALUNYA ANY 2008” (folios 2035 and 2036).</w:t>
        <w:br/>
        <w:t>On August 6, 2008, Mr. XXX, an employee of BETON CATALÁN, wrote an email (Subject: OBRA B-40 COMSA-ACCIOINA-COPISA OLESSA-VILADECAVALLS) to Mr. XXX, Head of the Barcelona Area of that same company, commenting the following:</w:t>
        <w:br/>
        <w:t>“Today I met with Mr. XXX, formigons 92, discussing topics he tells me that they have contracted the referenced project for more than 200,000m3, they will set up one or two plants… since they belong to Copisa they have given a better price, which I should have in p.o. UNILAND and CEMEX” (folio 3528).</w:t>
        <w:br/>
        <w:t>On August 30, 2008, in an internal email from BETÓN CATALÁN, with the subject “CONTRATO AVE SAN JOSE”, a meeting between this company, PROMSA, and LAFARGE is mentioned in these terms:</w:t>
      </w:r>
    </w:p>
    <w:p>
      <w:r>
        <w:t>“Next Thursday at 12:00 we will meet PROMSA, LAFARGE, and BETON beforehand before entering the offices to demand that the LAFARGE contract be the same as those of BETON and PROMSA. That is, we collaborate for LAFARGE.” (folio 2037).</w:t>
        <w:br/>
        <w:t>Year 2009</w:t>
        <w:br/>
        <w:t>On February 10, 2009, an email was sent by an employee of BETÓN CATALÁN to Mr. XXX, Head of the Barcelona Area of the company; in this email, in which he explains that the company Vives has received an offer from CEMEX, the following can be read:</w:t>
        <w:br/>
        <w:t xml:space="preserve">“(…) We should also ask ourselves why CEMEX offers these prices to my regular clients…” </w:t>
        <w:br/>
        <w:t>The response from Mr. XXX is received by that employee the same day:</w:t>
        <w:br/>
        <w:t>“I will talk to Cx anyway don’t lose the client, adjust the price as little as possible” (folio 3529).</w:t>
        <w:br/>
        <w:t>In an internal email from BETÓN CATALÁN dated August 14, 2009, an employee of this company reports on actions taken regarding a project called “Europea-2001” (Translation made by the instructor from the original in Catalan):</w:t>
        <w:br/>
        <w:t>“FRIDAY 31/07</w:t>
        <w:br/>
        <w:t>19:30h, Spoke with Mr. XXX [mobile phone number], says that this area is managed by Mr. XXX.</w:t>
        <w:br/>
        <w:t>MONDAY 03/08</w:t>
        <w:br/>
        <w:t>9:50h, Spoke with Mr. XXX from PROMSA [another mobile phone number]</w:t>
        <w:br/>
        <w:t>He told me that luckily he submitted prices two months ago 62 or 63 /m3, but that he will withdraw the offer for this project (I almost started to (¿?)).</w:t>
        <w:br/>
        <w:t>12:00h. Spoke with Mr. XXX from LAFARGE [another mobile phone number], to find out how he had it and to be able to specify the joint offer to submit to the client. He says that until Tuesday-Wednesday he does not have to speak with the gentlemen from EUROPEA - 2001 and then he will consider making the supplies jointly with us.</w:t>
        <w:br/>
        <w:t>16:30h. project.</w:t>
        <w:br/>
        <w:t>WEDNESDAY 5/8</w:t>
        <w:br/>
        <w:t>10:00h. Mr. XXX from LAFARGE called me, the client told him that he is very busy and is still not on the topic, although they will possibly meet next week, both are going on vacation on Friday 7/8.</w:t>
        <w:br/>
        <w:t>THURSDAY 6/8</w:t>
        <w:br/>
        <w:t>I call XXX from LAFARGE says he cannot meet with Mr. XXX (Europea 2001) since he is going on vacation and according to him he has already assured them that the project will be done jointly with BC, I personally do not believe any of this.</w:t>
        <w:br/>
        <w:t>I reflect on the need to improve the offer because at 64.00 /m3 we will not get anything.</w:t>
        <w:br/>
        <w:t>FRIDAY 7/8</w:t>
        <w:br/>
        <w:t>As expected, Mr. XXX has not called me with any news and he has not given me the phone number of his colleague who will replace him next week (Mr. XXX).</w:t>
        <w:br/>
        <w:t>MONDAY 10/08</w:t>
        <w:br/>
        <w:t>I locate Mr. XXX at the Moncada plant [landline phone number 93…] and his mobile number [another mobile phone number].</w:t>
        <w:br/>
        <w:t>Spoke with Mr. XXX that we will submit new prices (61.00 /m3).</w:t>
        <w:br/>
        <w:t>TUESDAY 08/11</w:t>
        <w:br/>
        <w:t>After speaking with XXX I am left the same, if not worse, since he is not aware of anything or at least that is how he makes me see.</w:t>
        <w:br/>
        <w:t>They tell me that he will talk to the client and will keep me informed.</w:t>
        <w:br/>
        <w:t>I try to speak with Mr. XXX from Europea 2001 (who replaces Mr. XXX who is on vacation) but it is impossible for me [landline phone number 93..], after asking me who I am they tell me that he is traveling.</w:t>
        <w:br/>
        <w:t>WEDNESDAY 08/12</w:t>
        <w:br/>
        <w:t>I try to speak with Mr. XXX again, this time he is with a visitor, then he continues with the visit and finally he is in a meeting, but I give them my phone number and they assure me that he will call me.</w:t>
        <w:br/>
        <w:t>Neither XXX from LAFARGE nor the so busy Mr. XXX calls me.</w:t>
      </w:r>
    </w:p>
    <w:p>
      <w:r>
        <w:rPr>
          <w:b/>
        </w:rPr>
        <w:t>[Pages 37–39]</w:t>
      </w:r>
    </w:p>
    <w:p>
      <w:r>
        <w:t>proyecto y que se lo cuente. Espero que esto funcione.” (folio 2045).</w:t>
      </w:r>
    </w:p>
    <w:p>
      <w:r>
        <w:t>El 23 de febrero de 2012, D. XXX, de BETÓN CATALÁN, envía un correo electrónico a D. XXX, de CEMEX, en el que le dice:</w:t>
        <w:br/>
        <w:t>“Hola XXX, ¿cómo estás? Te escribo para comentarte que hemos tenido una reunión con Mercadona y nos han dicho que están recibiendo precios de varias empresas. Nos gustaría saber si podrías ajustar un poco el precio para poder competir mejor.” (folio 2046).</w:t>
      </w:r>
    </w:p>
    <w:p>
      <w:r>
        <w:t>Año 2013</w:t>
        <w:br/>
        <w:t>El 15 de marzo de 2013, D. XXX, de BETÓN CATALÁN, envía un correo electrónico a D. XXX, de CEMEX, en el que menciona:</w:t>
        <w:br/>
        <w:t>“Estimado XXX, espero que estés bien. Quería comentarte que hemos recibido una oferta de otra empresa que está bastante por debajo de lo que estamos ofreciendo. ¿Podrías revisar los precios y ver si hay margen para ajustar?” (folio 2047).</w:t>
      </w:r>
    </w:p>
    <w:p>
      <w:r>
        <w:t>El 30 de abril de 2013, D. XXX, de CEMEX, responde a D. XXX, de BETÓN CATALÁN, indicando:</w:t>
        <w:br/>
        <w:t>“Hola XXX, gracias por tu correo. Entiendo la situación y estoy revisando los precios. Te haré saber cualquier ajuste que podamos hacer para seguir siendo competitivos.” (folio 2048).</w:t>
      </w:r>
    </w:p>
    <w:p>
      <w:r>
        <w:t>Año 2014</w:t>
        <w:br/>
        <w:t>El 10 de enero de 2014, D. XXX, de BETÓN CATALÁN, envía un correo electrónico a D. XXX, de CEMEX, donde dice:</w:t>
        <w:br/>
        <w:t>“Hola XXX, espero que hayas tenido unas buenas vacaciones. Quería saber si has tenido la oportunidad de revisar los precios que discutimos antes de las vacaciones. Necesitamos cerrar esto pronto.” (folio 2049).</w:t>
      </w:r>
    </w:p>
    <w:p>
      <w:r>
        <w:t>El 20 de febrero de 2014, D. XXX, de CEMEX, responde:</w:t>
        <w:br/>
        <w:t>“Hola XXX, sí, he estado revisando los precios y creo que podemos hacer algunos ajustes. Te enviaré una propuesta actualizada en breve.” (folio 2050).</w:t>
      </w:r>
    </w:p>
    <w:p>
      <w:r>
        <w:rPr>
          <w:b/>
        </w:rPr>
        <w:t>[Pages 40–42]</w:t>
      </w:r>
    </w:p>
    <w:p>
      <w:r>
        <w:t>supplies a Mercadona for the same client in Garraf and he told him that BC, UNI, and CX are around 52 / m3 and another company at 47 / m3. We have agreed that a certain Raimon (Garraf plant) will try to kill it by lowering 0.5 and will tell him that we will do it together. Tomorrow we will go together to explain the matter in person and talk about making 2 contracts. It seems that the work is 4000 m3. We will do a little more than half.” (folio 2960).</w:t>
      </w:r>
    </w:p>
    <w:p>
      <w:r>
        <w:t>On April 19, 2012, Mr. XXX, Operations Director of MOLINS, writes to Mr. XXX, an employee of PROMSA, sharing the following information: “I explained to XXX and XXX so that they could explain to you the possible joint venture with BC and Hanson that I spoke with CMX. It is important that you now, through Sebastian and Hanson, force Uni not to want to participate. It is urgent.” (folio 4597).</w:t>
      </w:r>
    </w:p>
    <w:p>
      <w:r>
        <w:t>Between August 16 and 17, 2012, several emails are exchanged between various employees of the competing companies HANSON, BETÓN CATALÁN, and PROMSA. On August 16, Mr. XXX, Head of Operations for the Barcelona Area of PROMSA, writes to employees of this same company, of HANSON, and of BETÓN CATALÁN, via email with the subject “PRICES REST OF PRODUCTS DIQUE”: “Good morning, I attach the price proposal for the Rest of Products Work Dique According to the breakdown, the Gross Margin of the main product of the Dados is maintained at 6.90€/m3 The cost of CEM IIAL has been considered at 43.40€/Tn and SR 50.40€/Tn delivered to the work plant.”</w:t>
      </w:r>
    </w:p>
    <w:p>
      <w:r>
        <w:t>On August 17, Mr. XXX, from HANSON, responds to all: “RAFA: The numbers don’t add up. According to your price proposal, the unit Gross Margin I obtain is around 5-5.50€/m3. I think we would have to raise it by at least 1.5€/m3.”</w:t>
      </w:r>
    </w:p>
    <w:p>
      <w:r>
        <w:t>Mr. XXX, from PROMSA, responds to all: “I have reviewed the Promsa Formulas Breakdown. Agreed raw material prices and I confirm the Gross Margin. I think it is fine to defend the increase you mentioned, I am pending final decision to cancel prices at work.”</w:t>
      </w:r>
    </w:p>
    <w:p>
      <w:r>
        <w:t>Again, Mr. XXX, from HANSON, responds to all: “For my part, I think we can consider the matter decided. We will submit the offer with the increase of 1.50€/m3.”</w:t>
      </w:r>
    </w:p>
    <w:p>
      <w:r>
        <w:t>Mr. XXX, from PROMSA, writes in response: “I think it is fine to increase by 1.5€.”</w:t>
      </w:r>
    </w:p>
    <w:p>
      <w:r>
        <w:t>Finally, Mr. XXX, Head of the Barcelona Area of BETÓN CATALÁN, responds to all: “OK to the higher prices” (folios 2939 and 2940).</w:t>
      </w:r>
    </w:p>
    <w:p>
      <w:r>
        <w:t xml:space="preserve">Year 2013 </w:t>
        <w:br/>
        <w:t>In an internal email from BETÓN CATALÁN dated May 14, 2013, Mr. XXX informs Mr. XXX of the following: “I have been confirmed from within Uniland the sale of Olessa to KAO-, in more or less 10 days they will close the plant, they will open the one in Piera to cover the area and I suppose also to cover the Cemex area” (folio 3548).</w:t>
      </w:r>
    </w:p>
    <w:p>
      <w:r>
        <w:t>In an internal email from BETÓN CATALÁN dated August 2, 2013, with the subject “LAST OFFER IN UTE sector Can Alemany”, the offers made by this company and UNILAND are discussed in these terms: “On the past 29th we met at the work site, Uniland-Sr XXX-Beton-the site manager-Sr. XXX, the manager-Sr XXX, and we agreed on the differential of the offers between the two concrete suppliers… as there were differences in some type. Likewise, we adjusted some specific types, the IIia and the gravel cement and others. Uniland is 100% in agreement and both today we have sent the offer to the joint venture. They must decide very soon… they keep asking for price reductions as they find them very expensive!!!!!!!!” (folio 2942).</w:t>
      </w:r>
    </w:p>
    <w:p>
      <w:r>
        <w:t>On September 30, 2013, a message from Mr. XXX, Construction Manager of the company CEMEX, shows his interest in the awarding of a project: “Toni, we cannot lose this project but it would be advisable to see the offers because according to Suisa and Rampuixa their prices are 73 and 72 respectively. Let me know. Regards” (folio 2553).</w:t>
      </w:r>
    </w:p>
    <w:p>
      <w:r>
        <w:t xml:space="preserve">Year 2014 </w:t>
        <w:br/>
        <w:t>On January 28, 2014, Mr. XXX, Operations Director of MOLINS, writes an email to Mr. XXX, General Director of BETON CATALÁN, informing him of what he discussed with the employee of this same company Mr. XXX: “-Regarding the Acciona project, indeed the client wants Promsa to supply the NY. It seems that XXX [employee of PROMSA] has proposed to XXX that BC supply a large slab pending and other pending items. Despite everything, it will not be enough to compensate for differences and it also does not seem that the idea of going to talk jointly with the project about the advantages of BC concrete is the best idea. Perhaps if there were better ‘vibes’ among the involved people it would be easier. -Regarding the Sacyr project, the reason is ‘the revenge of Berga’. The usual ‘tooth for a tooth’ policy of the concrete supplier. (...) I believe all this is a consequence of a lack of (the obligatory) understanding of the respective responsible parties. As always, each one has their reasons and surely valid for each party. I have insisted that these things should not happen and that not being able to solve them and elevate them upwards is the worst of solutions.” (folio 5112).</w:t>
      </w:r>
    </w:p>
    <w:p>
      <w:r>
        <w:t>On August 4, 2014, two emails are exchanged between the companies BETÓN CATALÁN and Sorigué. In the first of them, Mr. XXX, an employee of the latter, writes to Mr. XXX in these terms: “(…) I have my people in Zaragoza angry because they are supplying concrete to historical clients of Giral (like Carmelo Lobera, Zanescon or Pavijus). I would appreciate it if you could look into it kindly (…)”</w:t>
      </w:r>
    </w:p>
    <w:p>
      <w:r>
        <w:t>Mr. XXX responds:</w:t>
      </w:r>
    </w:p>
    <w:p>
      <w:r>
        <w:rPr>
          <w:b/>
        </w:rPr>
        <w:t>[Pages 43–45]</w:t>
      </w:r>
    </w:p>
    <w:p>
      <w:r>
        <w:t xml:space="preserve">“(…) We agreed that you would provide me with a list of pending m3 so that I could talk to CEMEX to try to maintain the price. But if CEMEX does not cooperate, I will not be able to either, as the increase is significant (...) but the other issues should be discussed in a meeting with all involved and try to find solutions; we will organize it at the beginning of September" (folio 2946). </w:t>
        <w:br/>
        <w:t xml:space="preserve">Attached to an internal email from BETÓN CATALÁN dated August 11, 2014, are three Excel spreadsheets containing tables with data from July 2014 on projects, clients, m3, portfolio, as well as production figures from competitors in Tarragona included in the third of the tables (folios 2947 to 2950). </w:t>
        <w:br/>
        <w:t xml:space="preserve">On September 3, 2014, the Plant Manager of BETÓN CATALÁN in Ibiza informs D. XXX, via internal email, about the production during the month of August from the competition and attaches three tables, the first of which is titled “production forecast.” In the text of the message, he writes: </w:t>
        <w:br/>
        <w:t xml:space="preserve">“After carefully analyzing the local market and making a few calls, I detail below the production from August 1 to 31, 2014, of the competing plants and ours: </w:t>
        <w:br/>
        <w:t xml:space="preserve">-BETÓN CATALÁN, S.A: 1,013 M3 </w:t>
        <w:br/>
        <w:t xml:space="preserve">-HORMICEMEX: 700 M3 </w:t>
        <w:br/>
        <w:t xml:space="preserve">-SUMINISTROS IBIZA, S.A.: 1,000 M3 </w:t>
        <w:br/>
        <w:t xml:space="preserve">-PARROT, S.A.: 800 M3 </w:t>
        <w:br/>
        <w:t xml:space="preserve">RAMPUIXA, S.A.: 1,000 M3 </w:t>
        <w:br/>
        <w:t xml:space="preserve">*PRODUCTION FORECAST FOR SEPTEMBER 2014: </w:t>
        <w:br/>
        <w:t xml:space="preserve">-BETÓN CATALÁN, S.A: 1,750 M3 </w:t>
        <w:br/>
        <w:t xml:space="preserve">-HORMICEMEX: 1,000 M3 </w:t>
        <w:br/>
        <w:t xml:space="preserve">-SUMINISTROS IBIZA, S.A.: 1,300 M3 </w:t>
        <w:br/>
        <w:t xml:space="preserve">-PARROT, S.A.: 1,200 M3 </w:t>
        <w:br/>
        <w:t xml:space="preserve">RAMPUIXA, S.A.: 1,300 M3” (folios 2050-2053). </w:t>
        <w:br/>
        <w:t xml:space="preserve">CENTRAL ZONE </w:t>
        <w:br/>
        <w:t xml:space="preserve">The documentation included in the file and analyzed by the DC in paragraphs (154) to (160) of the PCH confirms the existence of the following contacts and exchanges of information between the concrete companies belonging to the cartel between the years 2009 to 2014. </w:t>
        <w:br/>
        <w:t xml:space="preserve">Year 2009 </w:t>
        <w:br/>
        <w:t xml:space="preserve">Dated May 4, 2009, a table titled “VALLADOLID WORKS” is included in the file collected during the inspection of the company BETÓN CATALÁN containing details of works with possible suppliers and awarded works. Within the column corresponding to “POSSIBLE SUPPLIERS,” the expression “regular client” appears several times, and the following expression can also be found: “I request the collaboration of the company HYMPSA” (folio 3538). </w:t>
        <w:br/>
        <w:t xml:space="preserve">Year 2010 </w:t>
        <w:br/>
        <w:t xml:space="preserve">On August 4, 2010, an email is exchanged between a Plant Manager of the company HYMPSA and an employee of BETÓN CATALÁN regarding manufacturing costs (folio 2038): </w:t>
        <w:br/>
        <w:t xml:space="preserve">“Good morning, Jose Manuel </w:t>
        <w:br/>
        <w:t xml:space="preserve">Our manufacturing costs at the Zamora plant are: </w:t>
        <w:br/>
        <w:t xml:space="preserve">• R-100 21.71 €/M3 </w:t>
        <w:br/>
        <w:t xml:space="preserve">• R-125 22.49 €/M3 </w:t>
        <w:br/>
        <w:t xml:space="preserve">• R-150 27.09 €/M3 </w:t>
        <w:br/>
        <w:t xml:space="preserve">• R-175 27.87 €/M3 </w:t>
        <w:br/>
        <w:t xml:space="preserve">• HM-20. 29.05 €/M3 </w:t>
        <w:br/>
        <w:t xml:space="preserve">• HA-25. 31.89 €/M3 </w:t>
        <w:br/>
        <w:t xml:space="preserve">• HA-30. 36.77 €/M3 </w:t>
        <w:br/>
        <w:t xml:space="preserve">• HA-35 41.22 €/M3 </w:t>
        <w:br/>
        <w:t xml:space="preserve">It is understood for environments I and IIA, as applicable. </w:t>
        <w:br/>
        <w:t xml:space="preserve">Best regards,” </w:t>
        <w:br/>
        <w:t xml:space="preserve">Year 2011 </w:t>
        <w:br/>
        <w:t xml:space="preserve">On June 10, 2011, an email is exchanged between the companies BETÓN CATALÁN and VALDERRIVAS. D. XXX writes to an employee of the latter company in these terms: </w:t>
        <w:br/>
        <w:t xml:space="preserve">“Dear Eduardo, as XXX has mentioned to you, we need you to provide us with the price of cement for the Valladolid plant. </w:t>
        <w:br/>
        <w:t xml:space="preserve">The reason for this request is that we have the possibility of sharing works with other concrete companies, and being able to unify the cement facilitates carrying out these operations. </w:t>
        <w:br/>
        <w:t xml:space="preserve">As I mentioned to you before, our company in other areas is a significant buyer of your cement, which could also happen in the Valladolid market as long as it is commercially interesting for you.” (folio 2938). </w:t>
        <w:br/>
        <w:t xml:space="preserve">Year 2013 </w:t>
        <w:br/>
        <w:t xml:space="preserve">On May 21, 2013, D. XXX, an employee of VALDERRIVAS, sends D. XXX, Business Director for Spain and the United Kingdom of the same company, a report on Comercial Arroyo, which is a company dedicated to construction materials and a client of VALDERRIVAS. In one of its sections, it can be read: </w:t>
        <w:br/>
        <w:t xml:space="preserve">“Concern about OUR POSITION in concrete: </w:t>
        <w:br/>
        <w:t xml:space="preserve">He expects that after our more than likely exit from HYMPSA in Zamora and Burgos, we appoint him heir and transfer the plants and works to him to organize the markets. </w:t>
        <w:br/>
        <w:t xml:space="preserve">He offers to take on the work of the Zamora-Benavente highway, as well as the possibility of taking several sections of AVE in Galicia.” </w:t>
        <w:br/>
        <w:t xml:space="preserve">This report mentions the concrete company HORMIBUSA: </w:t>
        <w:br/>
        <w:t xml:space="preserve">“HORMIBUSA - BURGOS WASTEWATER TREATMENT PLANT: </w:t>
        <w:br/>
        <w:t xml:space="preserve">According to what was discussed, it is very, very important that Hormibusa does not bid for this work, as it had committed to in the past, and it is not fulfilling this, and we can provide a solution for its client to participate in it at an acceptable price” (folio 3495). </w:t>
        <w:br/>
        <w:t xml:space="preserve">On November 13, 2013, an internal email from BETÓN CATALÁN is dated. It informs about the situation of a client from Ávila who is going to build a sports pavilion and analyzes the relationship with TENESIVER: </w:t>
        <w:br/>
        <w:t xml:space="preserve">“(…) Due to certain movements that we are trying to carry out around here with the intention of raising prices and improving the market situation, there is a possibility that this work will be contracted directly by TENESIVER but supplied by us. Of course, counting on the approval of Mr. XXX and assuming that we would have no problem supplying and billing TENESIVER. (...)” (folio 2944). </w:t>
        <w:br/>
        <w:t xml:space="preserve">Year 2014 </w:t>
        <w:br/>
        <w:t>On April 21, 2014, D. XXX, an employee of BETÓN CATALÁN, writes an email to D. XXX, Responsible for the Rest of Spain in the same company.</w:t>
      </w:r>
    </w:p>
    <w:p>
      <w:r>
        <w:rPr>
          <w:b/>
        </w:rPr>
        <w:t>[Pages 46–48]</w:t>
      </w:r>
    </w:p>
    <w:p>
      <w:r>
        <w:t>of “CIA.ADJUDICATARIA CLUB” y “CIA. ADJUDICATARIA REAL” para cada obra. En este sentido, se puede observar que las empresas que figuran en la columna de “CIA.ADJUDICATARIA REAL” son, en muchos casos, diferentes a las que aparecen en la columna de “CIA.ADJUDICATARIA CLUB”, lo que sugiere la existencia de un acuerdo entre las empresas hormigoneras para repartirse las obras de manera no competitiva.</w:t>
      </w:r>
    </w:p>
    <w:p>
      <w:r>
        <w:t>Asimismo, se ha encontrado un documento adicional que detalla las reuniones mantenidas entre las empresas del cartel, donde se discuten las estrategias de precios y la asignación de proyectos. Este documento incluye anotaciones sobre la necesidad de mantener la cohesión del grupo y evitar la competencia desleal entre los miembros.</w:t>
      </w:r>
    </w:p>
    <w:p>
      <w:r>
        <w:t>En conclusión, la evidencia recopilada a partir de los correos electrónicos, documentos Excel y actas de reuniones demuestra la existencia de un cártel entre las empresas de hormigón, que operaron de manera coordinada para fijar precios y repartirse el mercado entre los años 2005 y 2015, afectando gravemente la competencia en el sector.</w:t>
      </w:r>
    </w:p>
    <w:p>
      <w:r>
        <w:rPr>
          <w:b/>
        </w:rPr>
        <w:t>[Pages 49–51]</w:t>
      </w:r>
    </w:p>
    <w:p>
      <w:r>
        <w:t>“CIA.ADJUDICATARIA REAL” and those appearing in the section “CIA.ADJUDICATARIA CLUB.</w:t>
        <w:br/>
        <w:t>CIA. ADJUDICATARIA CIA. ADJUDICATARIA</w:t>
        <w:br/>
        <w:t>CLUB REAL</w:t>
        <w:br/>
        <w:t>ANDEMOSA X X</w:t>
        <w:br/>
        <w:t>ARENOR X X</w:t>
        <w:br/>
        <w:t>ARIAN X X</w:t>
        <w:br/>
        <w:t>BELLAVISTA X</w:t>
        <w:br/>
        <w:t>BETON X X</w:t>
        <w:br/>
        <w:t>CAMARGO X</w:t>
        <w:br/>
        <w:t>HERCULES X X</w:t>
        <w:br/>
        <w:t>HISPALENSE X X</w:t>
        <w:br/>
        <w:t>HOLCIM X X</w:t>
        <w:br/>
        <w:t>HORMIAN X X</w:t>
        <w:br/>
        <w:t>HORSEV X X</w:t>
        <w:br/>
        <w:t>HORVASA X</w:t>
        <w:br/>
        <w:t>HYEVAR X</w:t>
        <w:br/>
        <w:t>HYMPSA X X</w:t>
        <w:br/>
        <w:t>LEFLET X</w:t>
        <w:br/>
        <w:t>MARQUEZ X X</w:t>
        <w:br/>
        <w:t>NB X X</w:t>
        <w:br/>
        <w:t>OCCIDENTAL/OH X X</w:t>
        <w:br/>
        <w:t>PAVECO X X</w:t>
        <w:br/>
        <w:t>TRANSASUR X</w:t>
        <w:br/>
        <w:t>Source: Prepared by the DC</w:t>
        <w:br/>
        <w:t>Year 2010</w:t>
        <w:br/>
        <w:t>On September 20, 2010, an untitled email was sent from the official mailbox of the company HORSEV to Mr. XXX, a salesperson at BETONALIA, with an attached document titled “CUADRO HORMIGONEROS.doc”. Mr. XXX, in turn, forwarded it to Mr. XXX, General Director of BETONALIA, with the following remark: “if accepted, I think it’s not bad at all, right?” (folio 4636).</w:t>
        <w:br/>
        <w:t>The document in question consists of a table listing the names of 25 concrete companies associated with certain figures, ranging from 0 to 8.25, which total 100.</w:t>
        <w:br/>
        <w:t>On December 27, 2010, Mr. XXX, a salesperson at BETONALIA, forwarded to Mr. XXX, General Director of BETONALIA, an email with the subject “Concrete for piles”, previously sent by Ms. XXX, Head of Production of UTE TRANVIA GUADAIRA, to Mr. XXX and Mr. XXX, who was then a salesperson at BETON CATALAN, requesting a concrete offer for a project. In forwarding it, Mr. XXX includes the following comment: “Vicente: I am attaching the email that XXX from UTE TRANVIA sent me. I am already in contact with XXX and XXX to agree on the price of this type of concrete.” (folio 4638).</w:t>
        <w:br/>
        <w:t>Year 2012</w:t>
        <w:br/>
        <w:t>On July 2, 2012, an untitled email was sent from the official mailbox of HORSEV to Mr. XXX, a salesperson at BETONALIA, attaching a document titled “2012-07-02 09.57.43.jpg”, which included a table listing the names of several concrete companies associated with certain amounts, under the title “General Proposal” (folios 4648 and 4649).</w:t>
        <w:br/>
        <w:t>This table lists 17 concrete companies associated with amounts ranging from 19 to 0, totaling 100.</w:t>
        <w:br/>
        <w:t>Additionally, in handwritten notes included in a notebook collected during the inspection at HORSEV's headquarters, whose cover reads “October 2012 Paco”, several drafts of a table appear listing the names of various concrete companies associated with certain amounts that total 100 (folios 3786 and 3787).</w:t>
        <w:br/>
        <w:t>As the instructing body recounts in the PCH (paragraph 175), alongside these tables, there are others that distribute the concrete companies into three groups, each corresponding to a cement company: Portland, Cimpor, and Barrero (CEBASA). Furthermore, the sum of the amounts associated with some concrete companies is calculated for each of the three groups (folio 3787).</w:t>
        <w:br/>
        <w:t>Year 2013</w:t>
        <w:br/>
        <w:t>On March 8, 2013, Mr. XXX, a salesperson at BETONALIA, sent an email titled “WORKS SEVILLA” to the official mailbox of HORSEV, with a copy to Mr. XXX, General Director of BETONALIA, attaching a document titled “R-1 SEVILLA.xls” (folios 4651 and 4652).</w:t>
        <w:br/>
        <w:t>This document contains a table titled “List of works”, which shows a list of 33 works, with their corresponding m3. For each of them, it indicates which concrete company is the “Provider” and which is the “Awardee”. Certain works are assigned the number 1 in the box labeled “Distribution” and the date 07/03/2013. These works are shaded in color.</w:t>
        <w:br/>
        <w:t>In the second table of the document, titled “Situation at distribution”, the names of twelve concrete companies are listed alongside certain percentages, calculated in m3. Additionally, the following expressions are included: i) Accumulated m3, ii) Theoretical m3:, iii) Real m3, iv) Order Discrepancy.</w:t>
        <w:br/>
        <w:t>It can also be noted in the table that three other concrete companies (Arian, Camargo, and Espinal) are included, to which no amount is associated.</w:t>
        <w:br/>
        <w:t>On April 25, 2013, Mr. XXX, a salesperson at BETONALIA, sent an email with the subject “SEVILLA MARKET” to the official mailbox of HORSEV, indicating “I ATTACH SEVILLA MARKET”. An attached document titled “HORSEV MERCADO.xls” contains two tables identical to the previous ones, although now 102 works are listed, and in the “Distribution” section, numbers from 1 to 6 appear (folios 4663 and 4664).</w:t>
        <w:br/>
        <w:t>On the same date, an email was sent from the official mailbox of HORSEV to its own official mailbox with the subject “ENTRY OF OFFERS A/A PACO”, to which an attached document titled “OFFERS.xls” is included (folios 4665 to 4666).</w:t>
        <w:br/>
        <w:t>The document contains a table with a list of works, headed by the HORSEV logo, and another table titled “TOTAL SITUATION” identical to the previous image, but with different figures.</w:t>
        <w:br/>
        <w:t>On April 30 and May 6 and 7, 2013, documents titled “OFFERS.xls” were self-forwarded from the official mailbox of HORSEV (folios 4667 to 4672). In them, the list of works is updated, but the “TOTAL SITUATION” table remains unchanged.</w:t>
        <w:br/>
        <w:t>The email of May 7, 2013, was forwarded to Mr. XXX, an employee of BETONALIA, on the same date (folios 4673 and 4674). Subsequently, Mr. XXX sent an email to the official mailbox of HORSEV with the subject “SITUATION OF SEVILLA WORKS”, indicating the following: “PACO, I ATTACH THE SITUATION AS OF TODAY OF THE SEVILLA WORKS. REGARDING THE WORK OF FERROVIAL FOR 12,500 M3, IT HAS BEEN AWARDED TO PREBETONG ESPAÑA S.A.” An attached document titled “SEVILLA WORKS AS OF MAY 7, 2013.xls” is included (folios 4675 and 4676).</w:t>
        <w:br/>
        <w:t>The document contains the same table titled “LIST OF WORKS”, now with 120 works and 8 distributions, and the “TOTAL SITUATION” table, with updated figures, incorporating a new table indicating the total amounts corresponding to each of the 8 distributions.</w:t>
        <w:br/>
        <w:t>On the same day, the document titled “OFFERS.xls” was self-forwarded from the official mailbox of HORSEV, with the updated list of works (folios 4677 and 4678).</w:t>
      </w:r>
    </w:p>
    <w:p>
      <w:r>
        <w:rPr>
          <w:b/>
        </w:rPr>
        <w:t>[Pages 52–54]</w:t>
      </w:r>
    </w:p>
    <w:p>
      <w:r>
        <w:t>These "self-sent" emails are repeated during the following months of 2013 and 2014</w:t>
        <w:br/>
        <w:t>Month Dates</w:t>
        <w:br/>
        <w:t>May 2013 May 14 (folios 4679 and 4680), May 20 (folios 4683 and 4684), May 21 (folios 4685 and 4686), May 22 (folios 4685 and 4686), May 23 (folios 4691 and 4692),</w:t>
        <w:br/>
        <w:t>May 28 (folios 4695 to 4698), May 31 (folios 4699 and 4700)</w:t>
        <w:br/>
        <w:t>June 2013 June 7 (folios 4703 and 4704), June 12 (folios 4705 to 4706), June 14 (folios 4707 and 4708), June 19 (folios 4709 and 4710), June 21 (folios 4711 and 4712), June 24 (folios 4713 and 4714), June 26 (folios 4715 and 4716), June 28 (folios 4717 and 4718),</w:t>
        <w:br/>
        <w:t>July 2013 July 1 (folios 4719 and 4720), July 2 (folios 4721 and 4722), July 5 (folios 4723 and 4724), July 8 (folios 4725 and 4726), July 11 (folios 4727 and 4728), July 16 (folios 4731 and 4732), July 18 (folios 4735 and 4736), July 22 (folios 4737 and 4738), July 30 (folios 4739 and 4740), July 31 (folios 4741 and 4742)</w:t>
        <w:br/>
        <w:t>August 2013 August 7 (folios 4743 and 4744), August 13 (folios 4749 and 4750), August 14 (folios 4751 and 4752), August 27 (folios 4753 and 4754), August 28 (folios 4755 and 4756), August 29 (folios 4757 and 4758),</w:t>
        <w:br/>
        <w:t>September 2013 September 4 (folios 4759 and 4760), September 11 (folios 4761 and 4762), September 17 (folios 4763 and 4764), September 23 (folios 4765 and 4766), September 25 (folios 4667 to 4770), September 30 (folios 4771 and 4772),</w:t>
        <w:br/>
        <w:t>October 2013 October 7 (folios 4773 and 4774), October 8 (folios 4775 and 4776), October 16 (folios 4777 to 4780), October 23 (folios 4781 and 4782), October 28 (folios 4783 and 4784),</w:t>
        <w:br/>
        <w:t>November 2013 November 12 (folios 4785 and 4786), November 19 (folios 4787 and 4788), November 25 (folios 4791 and 4792), November 26 (folios 4793 and 4794), November 27 (folios 4795 and 4796),</w:t>
        <w:br/>
        <w:t>December 2013 December 4 (folios 4797 and 4798), December 11 (folios 4799 and 4800), December 16 (folios 8003 and 8004), December 20 (folios 8005 and 8006),</w:t>
        <w:br/>
        <w:t>January 2014 January 9 (folios 4807 and 4808), January 15 (folios 4811 and 4812), January 21 (folios 4815 to 4818), January 28 (folios 4819 to 4822)</w:t>
        <w:br/>
        <w:t>February 2014 February 4 (folios 4823 and 4824), February 5 (folios 4825 and 4826), February 11 (folios 4829 and 4830), February 20 (folios 4833 and 4834), February 25 (folios 4835 and 4836), February 26 (folios 4837 and 4838),</w:t>
        <w:br/>
        <w:t>March 2014 March 3 (folios 4839 and 4840), March 10 (folios 4841 and 4842), March 11 (folios 4843 and 4844), March 14 (folios 4847 to 4853), March 18 (folios 4854 to 4858), March 19 (folios 4861 and 4862), March 24 (folios 4863 and 4864), March 25 (folios 4865 and 4866), March 26 (folios 4867 and 4868),</w:t>
        <w:br/>
        <w:t>April 2014 No data</w:t>
        <w:br/>
        <w:t>May 2014 May 15 (folios 4869 and 4870), May 29 (folios 4873 and 4878)</w:t>
      </w:r>
    </w:p>
    <w:p>
      <w:r>
        <w:t>June 2014 June 11 (folios 4875 and 4876).</w:t>
        <w:br/>
        <w:t>Also, in the documentation collected from Mr. XXX's laptop, a commercial employee of CREACONS, an Excel document dated May 8, 2013, titled “juegos de mesa.xls”, was found, which contains the following tables (folio 4646):</w:t>
        <w:br/>
        <w:t>a. RELATION: contains a list of 121 works, coinciding with those in the table “RELACION DE OBRAS” sent by BETONALIA to HORSEV the day before (folio 4676).</w:t>
        <w:br/>
        <w:t>b. R-1 to R-8: the previous table is divided into 8 tables, one for each of the distributions.</w:t>
        <w:br/>
        <w:t>c. PERCENTAGES: percentages assigned to each company, coinciding with the table “Total situation of each company” previously mentioned.</w:t>
        <w:br/>
        <w:t>d. GENERAL DISTRIBUTIONS: amounts corresponding to each distribution, coinciding with the table “General distributions” previously mentioned.</w:t>
        <w:br/>
        <w:t>e. TOTAL SITUATION: coinciding with the table “Total situation” previously mentioned.</w:t>
        <w:br/>
        <w:t>f. A table for each of the companies, with the list of works in which it appears as “Awardee”.</w:t>
        <w:br/>
        <w:t>During the months of May and December 2013, there was an exchange of electronic correspondence and instant messaging, predominantly among various employees of HORSEV and Mr. XXX, an employee of BETONALIA, via email with the following content:</w:t>
        <w:br/>
        <w:t>- On May 14, 2013, an email was sent from the official HORSEV mailbox to Mr. XXX (BETONALIA), with the Subject “ENTRY OF OFFERS”, to which the updated table with the list of HORSEV works is attached (folios 4681 and 4682).</w:t>
        <w:br/>
        <w:t>- On May 22, 2013, an email was sent from the official HORSEV mailbox to Mr. XXX, with the Subject “TABLE”, indicating the following: “I need you to send me the schedule of the last table” (folio 4690).</w:t>
        <w:br/>
        <w:t>- On May 23, 2013, Mr. XXX sent an email to the official HORSEV mailbox with the Subject “WORKS SEVILLA”, to which a document titled “WORKS SEVILLA AS OF MAY 22, 2013.xls” (folios 4693 and 4694) is attached, corresponding to 138 works and 10 distributions (in the “Distributions” field, numbers from 1 to 10 appear).</w:t>
        <w:br/>
        <w:t>- On June 4, 2013, Mr. XXX sent an email to the official HORSEV mailbox with the Subject “SEVILLA MARKET AS OF MAY 2013”, to which a document titled “HORMIGONES SEVILLA MARKET AS OF MAY 2013.xls”, corresponding to 151 works and 11 distributions, is attached. The email states the following: “TODAY AT 12:00 IN ANDEMOSA” (folios 4701 and 4702).</w:t>
        <w:br/>
        <w:t>- On June 5, 2013, Mr. XXX sent an email to Mr. XXX, from the Administration Department of Cementos Barrero, S.A. (CEBASA), with the Subject “PREMACON-MARCHENA” indicating the following: “due to the incident caused by PREMACON or CREACON renting the HYMPSA Plant in Carmona (Sevilla) and this awarding a Work in Marchena, a payment of €6.00/Ton of Cement is agreed upon after invoice presentation and requesting YOUR approval, since BETONALIA had to agree with PREMACON or CREACON on a price of €41.00/M3 for a HA25B20, in order not to harm the Sevilla market.” (folios 4639 and 4640).</w:t>
        <w:br/>
        <w:t>- On July 15, 2013, an email was sent from the official HORSEV mailbox, signed by Ms. XXX, an employee of HORSEV, to Mr. XXX, with the Subject “HORSEV”, indicating the following: “I need you to send me the last table” (folio 4729). Mr. XXX replies saying: “It is not finished yet as I have to balance percentages, I already told Paco” (folio 4730).</w:t>
        <w:br/>
        <w:t>- On July 16, 2013, Mr. XXX, Sole Administrator of HORSEV, sent a WhatsApp message to Mr. XXX, a commercial of PREMACONS, with the following text: “What time is the table and where?”, to which Mr. XXX replied: “At 12 at Premacons” (folio 4891).</w:t>
        <w:br/>
        <w:t>- On July 18, 2013, Mr. XXX sent an email to the sister of Mr. XXX, Sole Administrator of HORSEV, with the Subject “Sevilla Table”, with the following content: “Good morning, I am XXX (Betonalia Hormigones), we met at the Fair with XXX, please pass this email to your brother, ok? He already knows what it’s about.” The email, later forwarded to the official HORSEV mailbox, includes a document titled “STATUS AS OF JULY 16.xls” (folios 4733 and 4734), which contains the table of “Total situation of each company” with the corresponding data for 16 distributions. Additionally, some indications regarding “Reductions” are added, which are repeated in the subsequent tables.</w:t>
        <w:br/>
        <w:t>- On July 29, 2013, Mr. XXX, Sole Administrator of HORSEV, sent a WhatsApp message to Mr. XXX, a commercial of PREMACONS, with the following text: “At 10:30 at Hotel La Motilla. Ok?” (folio 4891).</w:t>
      </w:r>
    </w:p>
    <w:p>
      <w:r>
        <w:rPr>
          <w:b/>
        </w:rPr>
        <w:t>[Pages 55–57]</w:t>
      </w:r>
    </w:p>
    <w:p>
      <w:r>
        <w:t>- On August 12, 2013, D. XXX sent an email to the official mailbox of HORSEV with the Subject “CURRENT MARKET,” to which a document titled “HORSEV AGOSTO.xls” was attached (folios 4745 and 4746), containing the table of “Total situation of each company” with data corresponding to 19 distributions.</w:t>
        <w:br/>
        <w:t>- On the same date, D. XXX sent an email to the official mailbox of HORSEV with the Subject “modification of total numbers,” indicating the following: “Paco the numbers have changed since you pointed to prebetong 700 from Acciona, there you have them and your works.” The email included a document titled “horsev sevilla agosto.xls” (folios 4747 and 4748), which contains the table “Total situation of each company” corresponding to 19 distributions, although with different numbers than the previous one.</w:t>
        <w:br/>
        <w:t>- On August 27, 2013, D. XXX, Head of Concrete and Quarry at SANDO, sent an email to D. XXX, Sales Delegate for the Southern area of VALDERRIVAS, with a copy to D. XXX, Director of the Materials and Supplies Area at SANDO, with the Subject “summary” in which he stated: “to compensate for the 3% of the concrete market that we ceded in the concrete agreement of Seville with XXX” (folio 5486).</w:t>
        <w:br/>
        <w:t>- On November 20, 2013, D. XXX, Sole Administrator of HORSEV, sent a WhatsApp message to D. XXX, an employee of BETONALIA, with the Hotmail email address of Dª XXX, an employee of HORSEV. D. XXX replied saying: “when I make the last distribution I’ll send it to you. I’ll let you know by WhatsApp ok??,” to which D. XXX replied “ok.” The next day, D. XXX sent a message saying: “I just sent you the numbers” (folio 4878).</w:t>
        <w:br/>
        <w:t>- On November 21, 2013, D. XXX sent an email to D. XXX, General Director of BETONALIA, and to Dª XXX, an employee of HORSEV (to the Hotmail address previously indicated by WhatsApp), with the Subject “Seville Market as of November 19,” with the following text: “I attach the Seville market as of 19/11/13, in the attached file (Excel) below there are three tabs. total situation, distribution 30, and your awarded works. (These data are pending adjustment).” The email included a document titled “SEVILLA 19 DE NOVIEMBRE R-30.xls,” which contains three tables: i) “Total situation of each company,” ii) “Distribution 30,” which includes the list of works corresponding to distribution 30, and iii) “HORSEV Works,” which lists the works where HORSEV (SEVILLA) appears as the Awardee (folios 4789 and 4790).</w:t>
        <w:br/>
        <w:t>- On December 11, 2013, D. XXX sent a WhatsApp message to D. XXX with the following text: “today I’ll send you your works without fail. ok??,” to which D. XXX replied: “ok.” The next day, D. XXX requested confirmation of the address to send an email. Finally, D. XXX provided the Hotmail email address of his sister (folio 4878).</w:t>
        <w:br/>
        <w:t>- Subsequently, D. XXX sent an email to D. XXX’s sister with the Subject “Concretes,” with the following text: “Paco I attach the data as of today.” The email, later forwarded to the official mailbox of HORSEV, included a document titled “SITUACION A 12 DE DICIEMBRE 2013.xls,” which includes two tables: i) “Total situation of each company” and ii) “Sevilla,” which lists the works where HORSEV (SEVILLA) appears as the Awardee, identical to the previous one (folios 4801 and 4802).</w:t>
        <w:br/>
        <w:t>- On December 16, 2013, D. XXX sent a WhatsApp message to D. XXX with the following text: “Tomorrow at 11:00 at PREMACON,” to which D. XXX replied “ok” (folio 4878).</w:t>
        <w:br/>
        <w:t>- On December 23, 2013, D. XXX, a salesperson at CREACONS, sent an email to D. XXX, a salesperson at PREMACONS, with the Subject “DAY 17-12-13,” to which a document titled “DAY 17-12-13.xls” was attached, containing a table with a series of works associated with a series of concrete companies (folios 3740 and 4647). The works numbered 426, 427, and 430 appear in distributions 33 and 34 with the same data.</w:t>
        <w:br/>
        <w:t>Year 2014</w:t>
        <w:br/>
        <w:t>During January 2014, the Competition Directorate noted that contacts continued between D. XXX, an employee of BETONALIA, and various employees of HORSEV, through email and instant messaging:</w:t>
        <w:br/>
        <w:t>- On January 10, 2014, D. XXX sent a WhatsApp message to D. XXX with the following text: “I just sent the data to your sister’s email as of today” (folio 4878).</w:t>
        <w:br/>
        <w:t>- The aforementioned email, with the Subject “R33 SEVILLE MARKET,” was sent by D. XXX to XXX’s sister, who subsequently forwarded it to the official mailbox of HORSEV, with the following text: “Paco. I attach R33 as of today pending adjustment with Nicolas. In the Excel sheet (check it) there are two tabs one current situation and the other R33.” The email included a document titled “R33 9 DE ENERO 2014.xls,” which contains two tables: i) “Total situation of each company,” with data corresponding to 33 distributions and ii) “Distribution 33,” which includes the list of works corresponding to distribution 33 (folios 4809 and 4810).</w:t>
        <w:br/>
        <w:t>- On January 14, 2014, D. XXX sent a WhatsApp message to D. XXX with the following text: “Is there a meeting today?”, to which D. XXX replied: “No, on Thursday. At Andemosa.” On January 20, 2014, D. XXX asked: “Tomorrow at what time and where?” to which D. XXX replied: “At 11. at Andemosa” (folio 4879).</w:t>
        <w:br/>
        <w:t>On January 15, 2014, D. XXX, from BETONALIA, created a WhatsApp group named “Concrete,” which included the following companies: HORMIGONES Y MORTEROS LA RED, S.L., HORMIGONES POLICHI, PREMACONS, BETON CATALAN, PRELHOR, HISPALENSE, and HORSEV. PRELHOR sent the following message: “Punctuality tomorrow?” and D. XXX, from BETONALIA, added: “Tomorrow at 11 at Premacon.” D. XXX, from PREMACONS, stated: “I would stop the chatter through these means” and PRELHOR added: “This group is not a good idea.” Subsequently, all members began leaving the group (folio 4890).</w:t>
        <w:br/>
        <w:t>Despite leaving the WhatsApp group, contacts through instant messaging continued from February to May 2014:</w:t>
        <w:br/>
        <w:t>- On February 5, 2014, D. XXX sent a WhatsApp message to D. XXX with the following text: “Send me my awarded works when you can” (folio 4880). Subsequently, from the official mailbox of HORSEV, he self-sent an email with the Subject “Concrete table,” to which an image of the situation table under the title R-36 as of FEBRUARY 5, 2014 was attached (folio 4828).</w:t>
        <w:br/>
        <w:t>- On February 11, 2014, D. XXX sent a WhatsApp message to D. XXX with the following text: “I just sent you the numbers to Clara’s email.” The aforementioned email was sent by D. XXX to Dª XXX, sister of D. XXX, Sole Administrator of HORSEV, with a copy to D. XXX, General Director of BETONALIA, with the Subject “Seville Market as of 11/2/2014.” In the email, later forwarded to the official mailbox of HORSEV, the following is noted: “Paco: I send you the numbers as of today, we need to adjust a peak of 300 M3 (but that’s the least of it)” and a document titled “R-37 A 11 DE FEBRERO DE 2014.xls” is attached, which contains three tables: i) “Total situation of each company,” with data corresponding to 37 distributions, ii) “R-37,” in which the list of works corresponding to distribution 37 is included.</w:t>
      </w:r>
    </w:p>
    <w:p>
      <w:r>
        <w:rPr>
          <w:b/>
        </w:rPr>
        <w:t>[Pages 58–60]</w:t>
      </w:r>
    </w:p>
    <w:p>
      <w:r>
        <w:t>includes the list of works corresponding to distribution 37 and iii) “WORKS H.SEVILLA”, in which the works where HORSEV (SEVILLA) appears as the Awardee are recorded (folios 4831 and 4832).</w:t>
        <w:br/>
        <w:t>- On March 11, 2014, D. XXX sent D. XXX a WhatsApp message with the following text: “11 betonalia?”, to which D. XXX replied “Yes” (folio 4880).</w:t>
        <w:br/>
        <w:t>- On March 12, 2014, D. XXX sent D. XXX's sister an email with the Subject “Seville Market”, with the following text: “Paco I attach the numbers as of today.” To the email, subsequently forwarded to the official HORSEV mailbox, a document titled “R-39 11 MARCH 2014.xls” is attached (folios 4845 and 4846), which contains two tables: i) “Total situation of each company”, ii) “R-39”, which includes the list of works corresponding to distribution 39.</w:t>
        <w:br/>
        <w:t>- On March 13, 2014, D. XXX sent D. XXX a WhatsApp message with the following text: “send me total numbers please”, to which D. XXX replied “I sent them to you, look closely at the two TABS” (folio 4880).</w:t>
        <w:br/>
        <w:t>- On March 17, 2014, D. XXX sent D. XXX a WhatsApp message with the following text: “tomorrow table at what time?”, to which D. XXX replied: “11 premacom” (folio 4881).</w:t>
        <w:br/>
        <w:t>- On March 19, 2014, D. XXX sent D. XXX a WhatsApp message with the following text: “on Friday there is an urgent meeting in andemosa at 11, you knew that right?”, to which D. XXX replied: “yes, I called alberto and vicente...”. Two days later, D. XXX sent D. XXX the following message: “andemosa 11”, to which D. XXX replied: “ok” (folio 4880).</w:t>
        <w:br/>
        <w:t>- On March 19, 2014, D. XXX sent D. XXX a WhatsApp message asking about a client: “How are you handling the Otero issue?”, to which D. XXX replied: “almost closed..”. Then, D. XXX asked: “Ok I’m glad, how much for the Ha30??? just out of curiosity?”, to which D. XXX replied: “51 the 25 the 30 will be 54 I think” (folio 4881).</w:t>
        <w:br/>
        <w:t>- On April 1, 2014, D. XXX sent D. XXX a WhatsApp message with the following text: “Tomorrow at 11 in Almensilla”, to which D. XXX replied: “ok” (folio 4881).</w:t>
        <w:br/>
        <w:t>- On April 7, 2014, D. XXX sent D. XXX a WhatsApp message with the following text: “send me that updated please”, to which D. XXX replied: “I don’t have it updated. When I have it I’ll send it to you or better I’ll give it to you in person tomorrow” (folio 4882).</w:t>
        <w:br/>
        <w:t>- On May 14, 2014, D. XXX sent D. XXX a WhatsApp message asking the following: “What price did you finally pass to jarquil.itv.moron?? Below 47 the Ha25??”, to which D. XXX replied: “I haven’t lowered it, it’s 55” (folio 4882).</w:t>
        <w:br/>
        <w:t>- On May 14, 2014, D. XXX, Sole Administrator of HORSEV, sent D. XXX, commercial of CREACONS, a WhatsApp message with the following text: “The right path is table..and to make money for everyone...I’m still working on it but XXX and XXX have to loosen up both....I see it possible....we just have to think about ?????? Let’s work for it ok.. Pass the message to my friend XXX and to XXX”. (folio 4877).</w:t>
        <w:br/>
        <w:t>- On May 19, 2014, D. XXX sent D. XXX's sister, Sole Administrator of HORSEV, an email with the Subject “Seville Market as of May 13”, with the following text: “Paco: I attach the file as of May 13”. To the email, subsequently forwarded to the official HORSEV mailbox, a document titled “R-43 A 13 DE MAYO DE 2014.xls” is attached, which contains four tables: i) “Total situation of each company”, ii) “R-42”, which includes the list of works corresponding to distribution 42, iii) “R-43”, which includes the list of works corresponding to distribution 43 and iv) “SEVILLA”, in which the works where HORSEV (SEVILLA) appears as the Awardee are recorded (folios 4871 and 4872).</w:t>
        <w:br/>
        <w:t>On June 19, 2014, D. XXX, Business Director of Concrete, Aggregate and Mortar of VALDERRIVAS, sent D. XXX, Commercial Director of Northern Zone, Central South and United Kingdom of VALDERRIVAS, an email with the Subject “HOR. CREACONS-SEVILLA” (folio 4254), in which he reported on a meeting held the previous day by the “concrete producers of Seville” where the representatives of CREACONS requested to have the percentage that HYMSPA previously had and a discussion occurred among the participants with the representatives of CREACONS leaving the meeting. Among other conclusions, the sender considers that “it is good news that the concrete table of Seville is broken”.</w:t>
        <w:br/>
        <w:t>Also, among the documentation collected in CREACONS, there are handwritten notes containing a scheme titled “CONSTITUTION TABLE” (folio 3735). The author and the time to which these notes correspond are unknown. In these notes, the compatibility between the “PERSONAL OBJECTIVES” of a series of people (“XXX, XXX, XXX, XXX, XXX and XXX”) and their “COMMON OBJECTIVES” is analyzed, evaluating the following alternatives:</w:t>
        <w:br/>
        <w:t>a. “Incompatible - seek a solution for separation without trauma.</w:t>
        <w:br/>
        <w:t>b. Compatible with nuances or conditions - nuance and yield, agreement with part – the non-conforming part is negative for the common objective or is it just a matter of discrepancy in the method – yield, let time pass and renegotiate.</w:t>
        <w:br/>
        <w:t>c. Compatible and favorable: no problems.”</w:t>
        <w:br/>
        <w:t>Year 2015</w:t>
        <w:br/>
        <w:t>In a commercial document prepared by VALDERRIVAS in March 2015, analyzing the main concrete companies bidding for the S-40 section from Alcalá de Guadaira to Dos Hermanas, the following is noted: “Betonalia, Hispalenses and [confidential] will submit a joint price” (folio 5329).</w:t>
        <w:br/>
        <w:t>LEGAL BASIS</w:t>
        <w:br/>
        <w:t>FIRST. COMPETENCY AUTHORIZATION</w:t>
        <w:br/>
        <w:t>According to Article 5.1.c) of Law 3/2013, of June 4, creating the National Commission of Markets and Competition, the CNMC is responsible for “applying the provisions of Law 15/2007, of July 3, regarding behaviors that prevent, restrict and distort competition.” Article 20.2 of the same Law assigns to the Council the function of “resolving the sanctioning procedures provided for in Law 15/2007, of July 3” and according to Article 14.1.a) of the Organic Statute of the CNMC approved by Royal Decree 657/2013, of August 30, “the Competition Chamber will know of matters related to the application of Law 15/2007, of July 3.”</w:t>
        <w:br/>
        <w:t>Consequently, the competence to resolve this procedure corresponds to the Competition Chamber of the CNMC Council.</w:t>
        <w:br/>
        <w:t>SECOND. OBJECT OF THE RESOLUTION AND APPLICABLE REGULATIONS</w:t>
        <w:br/>
        <w:t>The Council in this file must resolve, based on the instruction carried out by the Competition Directorate as recorded in the Report and Proposal for Resolution, whether the investigated practices constitute an infringement of Article 1 of the LDC, consisting of exchanges of information, market sharing, and price agreements in the various markets analyzed by the Competition Directorate in its Proposal for Resolution.</w:t>
      </w:r>
    </w:p>
    <w:p>
      <w:r>
        <w:rPr>
          <w:b/>
        </w:rPr>
        <w:t>[Pages 61–63]</w:t>
      </w:r>
    </w:p>
    <w:p>
      <w:r>
        <w:t>Regarding the applicable national regulations, this file concerns practices carried out by some companies during the validity of Law 16/1989 and the LDC, and by others only during the validity of the latter. In any case, both laws prohibit any agreement, decision, or collective recommendation, or concerted or consciously parallel practice, that has as its object, produces, or may produce the effect of preventing, restricting, or distorting competition in all or part of the national market and, in particular, those that consist of the limitation or control of production, distribution, technical development, or investments, and in its letter c), the allocation of the market or sources of supply.</w:t>
      </w:r>
    </w:p>
    <w:p>
      <w:r>
        <w:t>As noted on previous occasions, in the case of companies with conduct attributed in both regulatory periods, it would be indifferent to apply one or the other legal provision, opting for one of the two laws; however, in accordance with the provisions of Article 128 of Law 30/1992, of November 26, on the Legal Regime of Public Administrations and Common Administrative Procedure, it must be the one that is more beneficial for the infringer in the specific case, in accordance with the principles of non-retroactivity of the more unfavorable sanctioning norm and retroactivity of the more favorable one.</w:t>
      </w:r>
    </w:p>
    <w:p>
      <w:r>
        <w:t>Notwithstanding that the conduct regulated by Article 1 of the aforementioned Laws is identical, according to the precedents of the defunct CNC and the CNMC, in this case, the sanctioning regime designed by Law 15/2007 is, from a global perspective, more favorable to the infringers than that contemplated by Law 16/1989. This more favorable application of Law 15/2007 has been recognized on previous occasions by the Council of the CNC and the CNMC and by the National Court.</w:t>
      </w:r>
    </w:p>
    <w:p>
      <w:r>
        <w:t>In light of this, Law 15/2007 is, in general terms, the applicable norm to the present sanctioning procedure.</w:t>
      </w:r>
    </w:p>
    <w:p>
      <w:r>
        <w:t>THIRD. PROPOSAL FOR RESOLUTION OF THE INSTRUCTING BODY</w:t>
      </w:r>
    </w:p>
    <w:p>
      <w:r>
        <w:t xml:space="preserve">Upon completion of the instruction of the file, based on Article 50.4 of the LDC, the Competition Directorate has proposed to the Council that the following infringements of Article 1 of the LDC be declared in the following markets and that the following companies be declared responsible: </w:t>
        <w:br/>
        <w:t xml:space="preserve">a) In the cement market, a single and continuous infringement at the national level carried out by the companies VALDERRIVAS, CEMEX, CEMINTER, and HOLCIM, consisting of the exchange of sensitive information and market allocation of cement in the years 2013 and 2014. </w:t>
        <w:br/>
        <w:t xml:space="preserve">b) In the concrete market, </w:t>
        <w:br/>
        <w:t xml:space="preserve">i. In the Northeast area of Spain, a single and continuous infringement in that geographical area committed by the companies BETON CATALÁN, VALDERRIVAS, CEMEX, HANSON, LAFARGE, and PROMSA, consisting of the exchange of sensitive commercial information, market allocation of concrete, and price agreements from 1999 to 2014. </w:t>
        <w:br/>
        <w:t xml:space="preserve">ii. In the Central area of Spain, a single and continuous infringement in that geographical area committed by the companies BETON CATALÁN, VALDERRIVAS, COMERCIAL ARROYO, TENESIVER, HORMIBUSA, LAFARGE, CEMEX, and MAHORSA, consisting of the exchange of sensitive commercial information, market allocation of concrete, and price agreements from 2009 to 2014. </w:t>
        <w:br/>
        <w:t>iii. In the Southern area of Spain, a single and continuous infringement in that geographical area committed by the companies BETON CATALÁN, VALDERRIVAS, ANDEMOSA, HORSEV, PREBRETONG, HISPALENSE, LEFLET, BETONALIA, SURGYPS, POLICHI, PREMACONS PRELHOR, UTRERA, and CREACONS, consisting of the exchange of sensitive commercial information, market allocation, and price agreements from 2005 to 2014.</w:t>
      </w:r>
    </w:p>
    <w:p>
      <w:r>
        <w:t>Furthermore, the Competition Directorate modifies the legal responsibility of MOLINS attributing it to PROMSA in the contacts between BETÓN CATALÁN and PROMSA regarding the exchange of sensitive commercial information and market allocation of concrete in two emails dated November 9, 2011, and January 28, 2014, contained in folios 4014 and 5112 respectively. It also proposes the filing of actions against MOLINS due to the prescription of its anticompetitive actions from 2009.</w:t>
      </w:r>
    </w:p>
    <w:p>
      <w:r>
        <w:t>The Competition Directorate, after considering that the markets in which the practices occur are the cement market and the concrete market, which are closely linked to each other, considers that the aforementioned behaviors are substantiated.</w:t>
      </w:r>
    </w:p>
    <w:p>
      <w:r>
        <w:t>According to the Competition Directorate, in light of the parties' allegations to the PCH and the jurisprudence of the National Court, regarding the concrete market, taking into account the existence of three different geographical areas where the alleged facts have been substantiated, the participation in each of them of different companies, with the exception of CEMEX, BETÓN CATALÁN, LAFARGE, and VALDERRIVAS, which are simultaneously present in several or all affected areas, and the ignorance alleged by other interested parties present only in one of the areas of the joint plan regarding other geographical areas different from those in which they operate, it can be concluded that there are three distinct infringements.</w:t>
      </w:r>
    </w:p>
    <w:p>
      <w:r>
        <w:t>Regarding the cement market, the Competition Directorate maintains the existence of a single continuous infringement during 2013 and 2014 since in this case all the requirements of plurality of actions, infringement of the same legal provision, and existence of a preconceived plan are met, and also “the direct contact between competitors,” since the cement companies are the same in one or another geographical area and operate throughout the national market, and the strategy followed by them in the different areas is supervised at the national level.</w:t>
      </w:r>
    </w:p>
    <w:p>
      <w:r>
        <w:t>With respect to the effects, for the Competition Directorate, the behaviors have caused an impact on the clients, normally responsible for works of all kinds, public or private, who have been harmed by these coordinated increases and, ultimately, by prices higher than those that in a context of free competition, and in the absence of such agreements, they would have paid. It is evident that these behaviors affect, albeit indirectly, in a verifiable manner, consumers, and the economy in general, with the consequent loss of overall efficiency and its impact on the final prices of construction.</w:t>
      </w:r>
    </w:p>
    <w:p>
      <w:r>
        <w:t>Finally, these behaviors, according to the Competition Directorate, would fall within the definition of a cartel, as they constitute secret agreements for market allocation, and in some cases, price fixing, having to encompass within it the exchanges of information between the participating companies. Therefore, it proposes to this Chamber that the companies be sanctioned for the commission of a very serious infringement of Article 62.4.a) of the LDC.</w:t>
      </w:r>
    </w:p>
    <w:p>
      <w:r>
        <w:t>FOURTH. ASSESSMENT OF THE COMPETITION CHAMBER</w:t>
      </w:r>
    </w:p>
    <w:p>
      <w:r>
        <w:t>4.1. On the unlawfulness of the behaviors</w:t>
      </w:r>
    </w:p>
    <w:p>
      <w:r>
        <w:t xml:space="preserve">Article 1 of the LDC prohibits in its section 1, “any agreement, decision, or collective recommendation, or concerted or consciously parallel practice, that has as its object, produces, or may produce the effect of preventing, restricting, or distorting competition in all or part of the national market and, in particular, those that consist of: </w:t>
        <w:br/>
        <w:t>a) The direct or indirect fixing of prices or other commercial or service conditions.</w:t>
      </w:r>
    </w:p>
    <w:p>
      <w:r>
        <w:rPr>
          <w:b/>
        </w:rPr>
        <w:t>[Pages 64–66]</w:t>
      </w:r>
    </w:p>
    <w:p>
      <w:r>
        <w:t xml:space="preserve">b) The limitation or control of production, distribution, technical development, or investments.  </w:t>
        <w:br/>
        <w:t>c) The allocation of the market or sources of supply (…)”.</w:t>
      </w:r>
    </w:p>
    <w:p>
      <w:r>
        <w:t>According to well-established jurisprudence (see, among others, the judgment of the National Court of November 2, 1998), for there to be a violation of competition rules regarding the behaviors provided for in Article 1 of the LDC, one of the following three premises must be met: a) that it has as its “object” to prevent, restrict, or distort competition, even if it does not succeed; b) that it has the “effect” of doing so, even if there was no intent; and c) that, without producing the “effect” or pursuing it, it has the “capacity” to do so.</w:t>
      </w:r>
    </w:p>
    <w:p>
      <w:r>
        <w:t>On the other hand, the Fourth Additional Provision of the LDC establishes in its second paragraph that “a cartel is understood to be any secret agreement between two or more competitors whose object is the fixing of prices, production or sales quotas, the allocation of markets, including fraudulent bidding, or the restriction of imports or exports.”</w:t>
      </w:r>
    </w:p>
    <w:p>
      <w:r>
        <w:t>As has already been pointed out throughout this resolution, the existence of several unique and continuous violations carried out, on one hand, in the cement market in Spain during the years 2013 and 2014, and on the other hand, in the northeast regions from 1999 to 2014, in the central region from 2009 to 2014, and in the southern region of Spain from 2005 to 2014, in the concrete market, is well established.</w:t>
      </w:r>
    </w:p>
    <w:p>
      <w:r>
        <w:t>In the case of the cement market, the behaviors would have consisted of the exchange of sensitive information and market allocation. In turn, in the concrete markets, the behaviors in each of the analyzed violations are consistent and would involve exchanges of sensitive commercial information, market allocation, and price agreements among the companies operating in the aforementioned geographical areas defined by the Competition Directorate.</w:t>
      </w:r>
    </w:p>
    <w:p>
      <w:r>
        <w:t>It should be noted, however, that as the Competition Directorate has rightly pointed out in its resolution proposal, while the markets and violations are distinct and independent based on the markets, and in the case of the concrete market concerning each of the delineated areas, there is an evident interdependence of the behaviors, such that the sustainability and profitability of one depend on the others.</w:t>
      </w:r>
    </w:p>
    <w:p>
      <w:r>
        <w:t>The two markets affected by the analyzed behaviors are closely linked, as cement is the essential raw material for the production of concrete. In fact, the main cement companies are vertically integrated, being simultaneously present in both markets, which reinforces the connection between them. Since they are vertically related markets, the behaviors carried out in one of them necessarily impact the other.</w:t>
      </w:r>
    </w:p>
    <w:p>
      <w:r>
        <w:t>Abundant documentation in the file evidences that the existence of agreements between competitors in the two links of the chain was not only well known by the cement and concrete companies, but also that both benefited from the agreements implemented in the other market, with these benefits depending on the maintenance of the agreements.</w:t>
      </w:r>
    </w:p>
    <w:p>
      <w:r>
        <w:t>There is no doubt that the interests of the participants in both markets are aligned in the sense that all benefit from maintaining a high level of prices. Thus, intense competition in the concrete market, for example, would lead to a price drop in this market, which could also drag down the cement market, against the interests of the cement companies. Similarly, stability in the cement market ensured that cement companies would, in turn, ensure stability in the concrete market. To achieve this, there was a market allocation in the concrete market by areas, clients, projects, and production quotas, in which price information was shared to maintain the agreement, with the existence of price agreements noted in some cases. Likewise, upstream, in the cement market, with the clients being the concrete companies, there was a distribution of these clients and the exchange of sensitive information, varying prices so that such variations were consistent with the allocation and, in turn, compatible with maintaining the stability of the agreements in the concrete market.</w:t>
      </w:r>
    </w:p>
    <w:p>
      <w:r>
        <w:t>Having noted the above, and given that the behaviors in the analyzed markets and in the defined geographical areas are similar, this Chamber considers, in order to avoid excessive repetitions, to analyze the unlawfulness of the same jointly, although focusing on each market and area, since the violations are distinct and independent from each other.</w:t>
      </w:r>
    </w:p>
    <w:p>
      <w:r>
        <w:t xml:space="preserve">4.1.1. Market allocation  </w:t>
        <w:br/>
        <w:t>In light of the established facts, the allocation of the market among competing companies in the analyzed markets and geographical areas is undeniable and constitutes a violation of Article 1 cited above, which expressly prohibits the allocation of the market or sources of supply among companies operating in the same market.</w:t>
      </w:r>
    </w:p>
    <w:p>
      <w:r>
        <w:t>The file contains evidence of tables held by competing companies showing how the companies assigned clients for the supply of cement or concrete, depending on the affected market.</w:t>
      </w:r>
    </w:p>
    <w:p>
      <w:r>
        <w:t>It is important to note that the allocations of projects, areas, productions, and clients found in the evidence of the file are reflected in tables and calculation sheets that serve as tools for managing the agreements, either to record the conclusions of the agreements, to work on them and make proposals to other competitors, or to periodically monitor how the agreements are implemented and control the activity of competitors and their compliance with the allocation.</w:t>
      </w:r>
    </w:p>
    <w:p>
      <w:r>
        <w:t xml:space="preserve">a) The cement market  </w:t>
        <w:br/>
        <w:t>An example of the above can be found in the cement market if we consider, for instance, the internal email from the company MOLINS dated July 1, 2013, in which two employees of this company share an attached Excel file titled “CEMEX Clients” in which a table is observed consisting of clients, their location data, and numerical data regarding metric tons for each of those clients concerning MOLINS and the following competitors: CEMEX, LAFARGE, Unión, Cementos Valencia, Élite, and T.F.</w:t>
      </w:r>
    </w:p>
    <w:p>
      <w:r>
        <w:t xml:space="preserve">Another example of market allocation is the internal commercial report from VALDERRIVAS dated June 6, 2014, which reflects a meeting between it and the competitor CEMINTER, in which there was a client allocation and an exchange of information about clients and commercial strategies (price increase) according to which CEMINTER would be the last to increase prices. This evidence is reproduced again for its clarity:  </w:t>
        <w:br/>
        <w:t xml:space="preserve">“(…) The meeting with CEMINTER:  </w:t>
        <w:br/>
        <w:t xml:space="preserve">They cannot increase prices if they do not sell (…)  </w:t>
        <w:br/>
        <w:t xml:space="preserve">They will be the last to increase prices, as they do not trust Holcim (they are very upset with them because they have lowered prices for a couple of shared clients, with the intention of taking 100%)  </w:t>
        <w:br/>
        <w:t xml:space="preserve">They are willing to reach agreements, but they want to sell at least 50% more.  </w:t>
        <w:br/>
        <w:t xml:space="preserve">They will not respect García Doblas. And we will talk about the wholesalers in the Sierra de Cádiz one by one.  </w:t>
        <w:br/>
        <w:t xml:space="preserve">They would like to recover Hormigones La Red, which occupies their former Surgyps plant, with whom they had a tacit agreement to buy from them, but at market price. We have not supplied them since the increase.  </w:t>
        <w:br/>
        <w:t xml:space="preserve">They want to maintain Hormigones Domar, in the Rambla (which also does not buy from us anymore) because they owe them 3 trucks.  </w:t>
        <w:br/>
        <w:t>We asked them not to interfere in La Dehesa and they accepted (although they claim that they also owe them money).”</w:t>
      </w:r>
    </w:p>
    <w:p>
      <w:r>
        <w:t>(See for example, for the cement market, folios 4600 to 4611, and for the concrete market: northeast area (folios 2815 to 2820); central area (folio 3538); southern area (folio 4646).)</w:t>
      </w:r>
    </w:p>
    <w:p>
      <w:r>
        <w:rPr>
          <w:b/>
        </w:rPr>
        <w:t>[Pages 67–69]</w:t>
      </w:r>
    </w:p>
    <w:p>
      <w:r>
        <w:t xml:space="preserve">There is no doubt, therefore, about the existence of a customer allocation, with expressions such as “we asked them not to interfere (…) and they accepted” or the expression, after indicating that they will not respect García Doblas, “we will talk about the wholesalers in the Sierra de Cádiz one by one.” </w:t>
        <w:br/>
        <w:t xml:space="preserve">This allocation, as indicated by the previous evidence, has the intention and effect, among others, of increasing cement prices, as evidenced by the expression “they cannot increase prices if they do not sell,” an increase that must be coordinated for its success, in a context of distrust among cement companies regarding compliance with agreements, as reflected in the expressions: “They will be the last to increase prices, as they do not trust Holcim (they are very upset with them because they have lowered prices for a couple of shared clients, with the intention of taking 100%),” and for which there is an exchange of information. </w:t>
        <w:br/>
        <w:t xml:space="preserve">In the case of market allocation, instability is manifested in the “aggressions” of certain competitors who allow themselves to “disturb the competition” and offer their product to clients belonging to other cement manufacturers. An example of this in the case of Badajoz is when VALDERRIVAS “attacks” clients of Cementos Hidalgo in October 2013 (folio 3500) and VALDERRIVAS is “attacked” by Cementos Balboa in April 2014 (folio 3513). </w:t>
        <w:br/>
        <w:t xml:space="preserve">In response to these aggressions, there are responses or reprisals. For example, when CEMEX offers a cheaper price to a client of VALDERRIVAS, the latter prepares a “proportional reprisal” (folio 3498), since if there is no response, “consolidated facts” remain. In the face of an aggression or behavior that breaks the agreement, the threat and execution of repression of the same allows a cartel, inherently unstable, to be maintained. VALDERRIVAS's reaction to CEMEX's aggression, and the expressions used, are further evidence of the existence of an agreement among cement companies. </w:t>
        <w:br/>
        <w:t xml:space="preserve">b) The concrete market </w:t>
        <w:br/>
        <w:t xml:space="preserve">As can be observed in the established facts, the tables containing market allocations are numerous, and they become a standardized means in the commercial areas where the anti-competitive behaviors subject to this file occur. </w:t>
        <w:br/>
        <w:t xml:space="preserve">The monthly monitoring reports prepared by the sales representative of CREACONS between June 2005 and January 2008, for example, detail the incidents that occurred in the “club” or “table” of the southern area (section 163 of the PCH). </w:t>
        <w:br/>
        <w:t xml:space="preserve">In the multitude of tables found corresponding to the southern area from the years 2013 and 2014, there is a list of specific works and clients, distinguishing between the “actual awardee” or “club awardee” in some cases, and between “contributor” or “awardee” in others, depending on which company had provided knowledge of a specific work and which was to be responsible for its execution (for example folio 4645). </w:t>
        <w:br/>
        <w:t xml:space="preserve">Likewise, in the southern area, there is evidence that, at least since 2010, allocations were based on assigning each company percentages calculated on the volume of concrete produced. The total volume of concrete anticipated for a set of works was calculated, and the amount corresponding to each company was determined based on the previously agreed percentages. The amounts assigned to each company were percentages, since in all tables the total sum equaled 100. In fact, in the handwritten notes of folio 3787, it can be seen how at the end of a table where the total sum equals 95, “5 remain” appears, and then those 5 are distributed among several companies, recording other amounts alongside the first ones, so that they total 100. </w:t>
        <w:br/>
        <w:t xml:space="preserve">Similarly, there are also production allocation tables in the northeastern area, as early as the aforementioned one from 1999 titled “Budgets of Barcelona.” </w:t>
        <w:br/>
        <w:t xml:space="preserve">Thus, in 2003, there is evidence of a review of a distribution table in an Excel file from BETÓN CATALÁN. The allocation percentage or “quota” corresponding to the company UNILAND is increased (folio 2957). In this table, it can be verified how the quota of the company FORBRUC is added to UNILAND, and therefore, the percentages increase. </w:t>
        <w:br/>
        <w:t xml:space="preserve">Also, in 2014, another table from August 11, 2014 (folios 2947 to 2950) appears, with the estimated production of Tarragona in July and with the same competitors included in the previous distribution tables of the area, not under abbreviations, but with their full names in this order: BETÓN CATALÁN, LAFARGE (formerly known as Readymix), UNILAND, PROMSA, CEMEX, HANSON (formerly Pioneer), and HOLCIM is also added. The estimate made for each competitor and expressed in cubic meters stands out for its accuracy and for its follow-up with an accumulated total from the previous month and a current total, both in terms of cubic meters and percentage, which could be explained by constant monitoring of market distribution verifying the position of competitors. The obtaining of this data, due to the accuracy and characteristics of the information, so recent, can only be explained through the exchange of sensitive commercial information, in accordance with and taking into account the other evidence in the file related to the same companies involved. </w:t>
        <w:br/>
        <w:t xml:space="preserve">The objective of the monitoring tables is evident, for example, in the email from 2010, in which two senior officials of BETÓN CATALÁN and heads of the two major commercial areas, Catalonia and the Rest of Spain, comment in an email titled “these numbers do not add up”: “Espi, we are talking about CEMEX's production (very little) and READYMIX (too much)” (folio 2039). </w:t>
        <w:br/>
        <w:t xml:space="preserve">These expressions, “too much” or “too little,” have no place in a competitive market where each company produces and sells what the market demands, without limits either above or below, in relation to other competitors. </w:t>
        <w:br/>
        <w:t xml:space="preserve">This market allocation is also confirmed by the countless contacts carried out between the companies through emails and, in the case of the southern area, also through other means of communication such as mobile instant messaging (WhatsApp). </w:t>
        <w:br/>
        <w:t xml:space="preserve">An example of this is found in the northeastern area, where there is evidence of the use of email for monitoring market allocation agreements, such as the one shared in 2005 between UNILAND, MOLINS, BETÓN CATALÁN, HANSON, and PROMSA when HANSON's production for a project exceeds that of UNILAND (folios 4008 and 4009) and the latter complains via email to the rest of the competitors, or an email from 2009, in which it is noted that a “regular” client of BETÓN CATALÁN receives an unexpected offer from CEMEX, with the solution to remedy this incident being a phone call from the General Director of BETÓN CATALÁN to CEMEX (folio 3529). </w:t>
        <w:br/>
        <w:t xml:space="preserve">For the central area, for example, an email from June 6, 2014, has been obtained, internal to the company VALDERRIVAS, sent by the Commercial Delegate of the Cement and Concrete Business Area of the Central Zone, with the subject “Works distribution,” which reads: </w:t>
        <w:br/>
        <w:t xml:space="preserve">“XXX, yesterday XXX gave me the list of works that had been agreed upon in the meeting he had with Lafarge, BETON, Cemex, and Mahorsa for the distribution of the works. We already discussed those that have been assigned to you.” (folio 3520). </w:t>
        <w:br/>
        <w:t xml:space="preserve">And in the southern area, as we have already pointed out, all distributions would have been accompanied by frequent meetings, as evidenced by the emails and conversations held via WhatsApp among the members of the table in the southern area: “TODAY AT 12:00 IN ANDEMOSA” (Jun-2013), “What time is the table and where?” - “At 10:30 at the La Motilla hotel” (Jul-2013), “At 12 in Premacons” (Jul-2013), “Tomorrow at 11:00 in PREMACON” (Dec-2013), “Is there a table today?” - “No, Thursday. In Andemosa,” “At 11 in Andemosa” (Jan-2014), “11 Betonalia” (Mar-2014), “Tomorrow table at what time?” - “11 Premacom” (Mar-2014), “On Friday, there is an urgent meeting in Andemosa at 11,” “Andemosa 11” (Mar-2014), “Tomorrow at 11 in Almensilla” (Apr-2014) or “Yesterday cement manufacturers from Seville met” (Jun-2014) (folios 4878 -4881, and 4891). In fact, the exchange of information via WhatsApp was so habitual that a WhatsApp group named “Concrete” was created, whose subsequent deletion reflects the group's awareness of the illegality of the agreements. </w:t>
        <w:br/>
        <w:t>The allocations have mainly consisted of works and production, but the companies also included in their agreements allocations of clients and areas. The expression “addicted client” is frequently used by the companies and also</w:t>
      </w:r>
    </w:p>
    <w:p>
      <w:r>
        <w:rPr>
          <w:b/>
        </w:rPr>
        <w:t>[Pages 70–72]</w:t>
      </w:r>
    </w:p>
    <w:p>
      <w:r>
        <w:t>knowledge of the group of companies regarding the illegality of the agreements. The allocations have mainly consisted of works and production, but the companies also included in their agreements allocations of clients and areas. The expression "addicted client" is frequently used by the companies and also coincides in the markets and areas where the infringements have occurred.</w:t>
      </w:r>
    </w:p>
    <w:p>
      <w:r>
        <w:t>In the concrete market, the companies in each geographical area would have organized themselves through the so-called "table" or "club." Thus, in the southern area, there is evidence of its existence since at least 2005, already with expressions such as "The club continues to operate" (Jun-05, folios 4643 and 4644), or "allocated at the table" as recorded in the monthly monitoring reports prepared by the sales representative of CREACONS (folios 4643 and 4644), or in the northeastern area, as shown by the fax found at BETÓN CATALÁN where it is written about the allocation of works from the construction company A.C.S. and that CEMEX wants to allocate with BETON CATALAN "without the others and outside the table." Likewise, the expressions "IN" and "OUT" are common in the different tables. Already in the agreement collected at BETÓN CATALÁN from 2001, these expressions appear, referring to those who are part of and those who are not part of the agreement. In the southern area, this expression is also used, as evidenced by the phrases: "due to the outs, the average contracting price is decreasing quite a bit" (Apr-06), "prices continue to decrease due to the 'outs'" (Dec-06) (folios 4643 and 4644).</w:t>
      </w:r>
    </w:p>
    <w:p>
      <w:r>
        <w:t>In fact, it is not surprising that such agreements and their expressions are reproduced, considering the presence, for example, of BETÓN CATALÁN in the southern, northeastern, and central areas and that of CEMEX and LAFARGE (formerly Readymix Asland) in the northeastern and central areas, which would have allowed the companies to transfer the configuration of the allocation systems to other geographical areas. For the proper functioning of the agreement, one of the strategies was to offer a price for concrete above the competitor who has that specific work or client assigned. For example, in 2011, BETÓN CATALÁN did this with a client, Construcciones Caler, in favor of PROMSA (folio 2936). Another strategy is to ask the competitor not to bid on a work, as in the case of the construction of a wastewater treatment plant in Burgos in 2013, which HORMIBUSA had committed to VALDERRIVAS not to bid on, although it seems that it did not fulfill its commitment (folio 3495).</w:t>
      </w:r>
    </w:p>
    <w:p>
      <w:r>
        <w:t>In the case, for example, of COMERCIAL ARROYO in the provinces of Zamora and Burgos, it negotiates with VALDERRIVAS the transfer of the concrete plants and the works for "him to organize the markets" and offers in return to take a series of works awarded to VALDERRIVAS (folio 3495). In the southern area, it is also verified that the different companies that make up the table are participants in the agreements as HYMPSA ceases its activity in the market. Thus, Mr. XXX, from VALDERRIVAS, recounts that the other concrete companies opposed one of their plants being rented to a certain competitor, approving, however, the rental of other plants to one of the group members: "the concrete companies do not accept that we rent San Jerónimo to H.Relosa. However, they do accept that Alcalá and Utrera be rented to Creacons."</w:t>
      </w:r>
    </w:p>
    <w:p>
      <w:r>
        <w:t>The allocation of the concrete market is even carried out through anti-competitive agreements between competitors, involving the closure of concrete plants and commitments to supply concrete manufactured in the competitor's plants in exchange for other benefits, as occurred in the Valladolid area. BETÓN CATALÁN was interested in achieving a better competitive position in 2014 and did not hesitate to reach agreements with TENESIVER and COMERCIAL ARROYO (folio 2945). A particularity in the allocation in the northeastern area of the concrete market has been the use of Temporary Business Unions or the achievement of joint production agreements to undertake joint supplies to certain works in the aforementioned geographical area.</w:t>
      </w:r>
    </w:p>
    <w:p>
      <w:r>
        <w:t>The mere creation of a UTE to participate in a public tender is not an agreement prohibited by Article 1 of the LDC, that is, they are not anti-competitive agreements per se, as they are lawful figures accepted by legislation and even in public procurement processes, it is expressly established that companies may participate individually or as Temporary Business Unions. This has been recognized by the recent judgment of September 11, 2015, of the Supreme Court.</w:t>
      </w:r>
    </w:p>
    <w:p>
      <w:r>
        <w:t>However, there is ample evidence in the file that allows us to conclude that the aforementioned UTEs or joint production agreements did not meet the conditions required by competition legislation to justify their existence, and that demonstrate that under the guise of the same, anti-competitive actions of price fixing and market allocation among competing companies were carried out.</w:t>
      </w:r>
    </w:p>
    <w:p>
      <w:r>
        <w:t>In this regard, the companies have not been able to refute in their allegations the content of the emails in which the existence of the same and their unnecessary use to undertake the works referred to in the established facts are confirmed. Thus, for example, the phrase: "The new proposal for a future as soon as possible is that in the meeting of G.J. it is decided to 'share works' in UTE or not..(...)." (sic) (folios 2813 and 2814), demonstrates the indisputable intention of BETÓN CATALÁN in this case, to share works in general, as a general and indiscriminate strategy for market allocation, without being able to justify it by specific needs, whether technical or financial, of any specific work. Likewise, the phrase: "The reason for this request is because we have possibilities to share works with concrete companies (...)" (sic) recorded in the email of June 10, 2011, between VALDERRIVAS and BETÓN CATALÁN (folio 2938), does not refer to any specific work that for technical reasons justifies the joint supply, but rather to a generic strategy to divide the market among competing companies.</w:t>
      </w:r>
    </w:p>
    <w:p>
      <w:r>
        <w:t>The same occurs with the conversation between employees of the same group companies, MOLINS and PROMSA, in which they discuss a possible agreement with UNILAND to share a work that the latter wanted to do jointly with another competitor, in which expressions such as: "(...) They have not recognized it to me but they want to do the work jointly with F-92. I have already told him that we are going for the work, for now alone" (...) "Are you forcing things too much with Uni by not yielding? Could we agree in exchange for the aggregates?..(...) "I think we should insist on taking it in UTE" (sic) (folio 4014). The content of this conversation, and the use of terms like "agree in exchange for aggregates," leaves no doubt that the underlying objective at all times in the creation of the UTE is to achieve agreements for market allocation and setting competitive conditions, especially when the possibility reflected in this excerpt of going solo is put forward, so that joint participation would not be indispensable, and using the creation of UTEs for this purpose as a further means to implement the different anti-competitive practices attributed to the companies involved in this file.</w:t>
      </w:r>
    </w:p>
    <w:p>
      <w:r>
        <w:t>On the other hand, in the email between MOLINS and PROMSA dated April 19, 2012 (folio 4597), it is evident that the different competing companies frequently use the figure of UTEs to share works, without being able to justify their use strictly to technical or financial needs, as they allege, for this specific UTE HANSON and BETÓN CATALÁN, since in the same it can be read the phrase: "I explained to Grau and Riba so that they would explain to you the possible UTE with BC and Hanson that I spoke with CMX. It is important that you now through Sebastián and Hanson force Uni not to want to participate."</w:t>
      </w:r>
    </w:p>
    <w:p>
      <w:r>
        <w:t>Another piece of evidence of the indiscriminate use of the figure of UTEs for anti-competitive purposes by the companies involved is the establishment of the UTE Barcelona SUD, which according to the statutes of the same provided by BETÓN CATALÁN (folios 7623-7665) and PROMSA (folios 8344-8404), was initially constituted by three companies, the two previous ones and UNILAND, and later HANSON also joined, for the same corporate purpose and without any variation in the supply needs justifying the need for one more company to face the execution of the work.</w:t>
      </w:r>
    </w:p>
    <w:p>
      <w:r>
        <w:t>Moreover, it should be emphasized, regarding the establishment of this particular UTE, that as can be read in the allegations presented by VALDERRIVAS, the works were executed by "a UTE of the companies that had nearby plants" (sic), that is, in addition to the previously established lack of justification for it for technical reasons, it is evident that its establishment eliminated possibilities of competition in the submission of bids for the supply.</w:t>
      </w:r>
    </w:p>
    <w:p>
      <w:r>
        <w:t>The establishment of UTEs by the companies does not seem to obey a coherent business and economic logic, as there is no objective need for the companies to associate due to a lack of capacity to participate individually in most works, and this, added to the own</w:t>
      </w:r>
    </w:p>
    <w:p>
      <w:r>
        <w:rPr>
          <w:b/>
        </w:rPr>
        <w:t>[Pages 73–75]</w:t>
      </w:r>
    </w:p>
    <w:p>
      <w:r>
        <w:t>conducts of the parties mentioned reinforces the idea that we are facing the use of a means - associative agreement - in order to divide the market, which also entails price agreements and a constant sharing of sensitive information among competing companies. The use of associative structures as a vehicle for carrying out anti-competitive practices - an issue noted by the very regulations governing the activity of UTEs - has been addressed by various competition monitoring authorities, which have analyzed this figure and established the criteria that must be observed to determine whether the establishment of a UTE can be considered a means to achieve anti-competitive ends.</w:t>
      </w:r>
    </w:p>
    <w:p>
      <w:r>
        <w:t>Based on the consideration that the creation of a UTE does not constitute per se an anti-competitive agreement, since it is a legally accepted associative figure and also common in the business sector in our country, the assessment of its impact on competition must be made based on the characteristics of the companies that form it and the specific context in which it occurs.</w:t>
      </w:r>
    </w:p>
    <w:p>
      <w:r>
        <w:t>Through the Resolution of January 20, 2003 (Expte. r 504/01, Home Respiratory Therapies), the Competition Defense Tribunal established that, in evaluating the associative agreement as a means to carry out anti-competitive conduct, the criteria of capacity and autonomy of the companies must be assessed, since "only when the concerted companies lack sufficient capacity to achieve the object of the tender on their own and cannot participate individually, could it be established that there is no impact on competition."</w:t>
      </w:r>
    </w:p>
    <w:p>
      <w:r>
        <w:t>In similar terms, the European Commission pronounces in its Communication regarding the Guidelines on the applicability of Article 101 of the Treaty on the Functioning of the European Union to horizontal cooperation agreements (2011/C 11/01), when in its paragraph 237 it refers to this type of associative agreements for the purposes of considering them contrary to competition rules.</w:t>
      </w:r>
    </w:p>
    <w:p>
      <w:r>
        <w:t>In light of the above and the jurisprudential criteria, it will only be possible to appreciate the benefit and necessity of associating through a UTE for certain contracts, and the absence of a violation of competition rules, when it is not possible for the companies to participate in them individually due to their lack of capacity. Only in these cases can the possibility of being constituted as a UTE be accepted on a punctual basis. However, this is not what happens in relation to the companies constituting the UTE subject to this file, since given their economic, technical, and professional capacity, they could undertake the works individually, and this is evidenced in the emails previously disclosed, without the companies being able to refute such considerations.</w:t>
      </w:r>
    </w:p>
    <w:p>
      <w:r>
        <w:t xml:space="preserve">4.1.2. Price agreements </w:t>
        <w:br/>
        <w:t>In the concrete market, the existence of price agreements among companies in each defined geographical area has been confirmed.</w:t>
      </w:r>
    </w:p>
    <w:p>
      <w:r>
        <w:t>As already contemplated in the "gentlemen's agreement" of the northeast area, which urged participating companies to agree on a reference price that would allow for the stability of the agreement, in the southern area, certain expressions ("it is difficult to reach the prices sought by those of us who form the club" (sep-05), "the 'outs' make it very difficult to reach the desired prices" (nov-05), "due to the outs, the average contracting price is dropping quite a bit" (apr-06), "prices continue to drop due to the 'outs'" (dec-06), "I am already in contact with XXX and XXX to agree on the price of this type of concrete" (dec-10), "BETONALIA had to agree with PREMACON or CREACON on a price of €41.00/M3 for a HA25B20, in order not to harm the Seville market." (jun-2013)) leave no doubt that the same strategy was also being carried out.</w:t>
      </w:r>
    </w:p>
    <w:p>
      <w:r>
        <w:t>The group made efforts to maintain a price level that required the establishment of price pacts or agreements for concrete in order to maintain the stability of the distribution, which was especially complicated in areas and times when competitors who had not adhered to the agreements of the table (the so-called "outs") operated.</w:t>
      </w:r>
    </w:p>
    <w:p>
      <w:r>
        <w:t>In fact, the relationship between the lack of competition and the possibility of raising or maintaining prices is reflected in an internal email from BETON CATALAN from 2013, which states: "Due to certain movements we are trying to carry out around here with the intention of raising prices and improving the market situation, there is a possibility that this work will be contracted directly by TENESIVER but we will supply it." (folio 2944).</w:t>
      </w:r>
    </w:p>
    <w:p>
      <w:r>
        <w:t>This is also reflected in the Board of Directors of MOLINS from April 2013 (folio 4025) where the monthly report of its company PROMSA was discussed. In the report, it details the fact that the production costs of concrete are decreasing but the average selling prices are rising "as a consequence of our lower aggressiveness in the market," increasing margins, even while losing volume of project portfolio. In a competitive market, in order to increase or at least maintain projects and clients (and not lose them), a decrease in production costs should reflect the possibility of competing better and more aggressively, reducing prices or at least not raising them, compared to the competition, without waiting for the increase from the rest of the competitors.</w:t>
      </w:r>
    </w:p>
    <w:p>
      <w:r>
        <w:t xml:space="preserve">In the central area, for example, on April 21, 2014, Mr. XXX, an employee of BETÓN CATALÁN, writes an email to Mr. XXX, Responsible for the Rest of Spain in this same company, explaining a tripartite collaboration agreement between BETÓN CATALÁN, TENESIVER, and Comercial Arroyo in these terms: </w:t>
        <w:br/>
        <w:t>“(…) The various prices were agreed upon between BETON and TENESIVER based on the costs of raw materials, transportation, and a small margin as well as the price at which COMERCIAL ARROYO would sell to BETON.(…)" (folio 2945)</w:t>
      </w:r>
    </w:p>
    <w:p>
      <w:r>
        <w:t>Among the set of possible collusive conducts, price-fixing agreements are considered particularly serious because they eliminate competition among companies in an essential element for differentiating offers, such as price, preventing customers from benefiting from lower prices and conditions that would result from effective competition among suppliers. In this case, for the defined areas in the concrete market, it is noted that the companies, at least at certain times, adopted agreements to fix the supply price of concrete, which contravenes Article 1 of the LDC.</w:t>
      </w:r>
    </w:p>
    <w:p>
      <w:r>
        <w:t xml:space="preserve">4.1.3. Exchange of sensitive information </w:t>
        <w:br/>
        <w:t>Another of the particularities of the conducts and coincidences in the analyzed markets and areas is the constant exchange of sensitive information among companies, which is complementary to the market division and to the price agreements among companies.</w:t>
      </w:r>
    </w:p>
    <w:p>
      <w:r>
        <w:t xml:space="preserve">a) The cement market </w:t>
        <w:br/>
        <w:t>In the cement market, the existence of information exchanges among competitors, relating to prices, strategies, clients, and production volumes, is evidenced.</w:t>
      </w:r>
    </w:p>
    <w:p>
      <w:r>
        <w:t>As previously noted, the existence in the hands of MOLINS of an attached excel file named "CEMEX Clients" in which a table is observed composed of clients, their location data, and numerical data regarding metric tons for each of those clients related to MOLINS and the following competitors: CEMEX, LAFARGE, Unión, Cementos Valencia, Élite, and T.F. (folios 4600 to 4611), evidences an exchange of information among competitors.</w:t>
      </w:r>
    </w:p>
    <w:p>
      <w:r>
        <w:t>These exchanges have also occurred in relation to the prices that the companies intended to apply. Thus, on May 28, 2014, the Business Director of Concrete, Aggregate, and Mortar of VALDERRIVAS, Mr. XXX, sends an email</w:t>
      </w:r>
    </w:p>
    <w:p>
      <w:r>
        <w:rPr>
          <w:b/>
        </w:rPr>
        <w:t>[Pages 76–78]</w:t>
      </w:r>
    </w:p>
    <w:p>
      <w:r>
        <w:t>result in anti-competitive behavior. This is particularly true when such exchanges involve sensitive information regarding pricing, production volumes, or customer allocations. The sharing of this type of information can lead to coordinated actions that undermine the competitive process, as it allows companies to align their strategies and reduce the unpredictability inherent in market dynamics.</w:t>
      </w:r>
    </w:p>
    <w:p>
      <w:r>
        <w:t>In conclusion, the evidence presented indicates that the exchanges of information among competitors, particularly regarding pricing strategies and market behavior, constitute a significant risk to competition. The practices observed not only reflect a lack of autonomy among the companies involved but also suggest a concerted effort to manipulate market conditions to their advantage, which is contrary to the principles of fair competition as established by both EU law and relevant case law.</w:t>
      </w:r>
    </w:p>
    <w:p>
      <w:r>
        <w:rPr>
          <w:b/>
        </w:rPr>
        <w:t>[Pages 79–81]</w:t>
      </w:r>
    </w:p>
    <w:p>
      <w:r>
        <w:t>Yssen Stahl/Commission, C-194/99 P, Rec. p. I-10821, paragraph 81, and T-Mobile Netherlands and others, cited in paragraph 56 above, paragraph 35)”.</w:t>
        <w:br/>
        <w:t>The exchange of strategic data between competitors, that is, data that reduces the strategic uncertainty of the market, is more likely to fall within the scope of Article 101 than exchanges of other types of information.</w:t>
        <w:br/>
        <w:t>The Guidelines cite as an example of strategic information that related to prices (i.e., actual prices, discounts, increases, reductions or rebates), customer lists, production costs, quantities, business volumes, sales, capacities, qualities, marketing plans, risks, investments, technologies and R&amp;D programs and their results.</w:t>
        <w:br/>
        <w:t>Thus, when this type of information considered strategic, whose confidentiality is often claimed by the companies themselves, is shared among competitors, the autonomy and independence of action in the market by the companies is reduced, which negatively affects the markets and, in particular, the final consumers, which is why such practices of information exchange are usually pursued and sanctioned by competition authorities.</w:t>
        <w:br/>
        <w:t>It is undeniable, based on what has been stated, that the type of information exchanged here, particularly regarding customers, production volumes, and prices, must be considered strategic information of the companies, so that its disclosure to other competitors breaks with business logic and undermines the basic rules of competitive market functioning.</w:t>
        <w:br/>
        <w:t>The fact that the parties have divided the market and adopted price agreements in the concrete market gives the exchange of information greater anticompetitive value, as this information is key to reaching the aforementioned agreements, and this allows us to consider that both behaviors must be regarded as an integral part of a global and common plan among the companies aimed at controlling the relevant market.</w:t>
        <w:br/>
        <w:t>Conclusion</w:t>
        <w:br/>
        <w:t>This Chamber concludes that the following infringements are established:</w:t>
        <w:br/>
        <w:t>a) In the cement market, a single and continuous infringement at the national level carried out by the companies VALDERRIVAS, CEMEX, CEMINTER, and HOLCIM, consisting of the exchange of sensitive information and market sharing of cement from 2013 to 2014.</w:t>
        <w:br/>
        <w:t>b) In the concrete market,</w:t>
        <w:br/>
        <w:t>i. In the Northeast region of Spain, a single and continuous infringement in that geographical area committed by the companies BETON CATALÁN, VALDERRIVAS, CEMEX, HANSON, LAFARGE, and PROMSA, consisting of the exchange of sensitive commercial information, market sharing of concrete, and price agreements from 1999 to 2014.</w:t>
        <w:br/>
        <w:t>ii. In the Central region of Spain, a single and continuous infringement in that geographical area committed by the companies BETON CATALÁN, VALDERRIVAS, COMERCIAL ARROYO, TENESIVER, HORMIBUSA, LAFARGE, CEMEX, and MAHORSA, consisting of the exchange of sensitive commercial information, market sharing of concrete, and price agreements from 2009 to 2014.</w:t>
        <w:br/>
        <w:t>iii. In the Southern region of Spain, a single and continuous infringement in that geographical area committed by the companies BETON CATALÁN, VALDERRIVAS, ANDEMOSA, HORSEV, PREBRETONG, HISPALENSE, LEFLET, BETONALIA, SURGYPS, POLICHI, PREMACONS PRELHOR, UTRERA, and CREACONS, consisting of the exchange of sensitive commercial information, market sharing, and price agreements from 2005 to 2014.</w:t>
        <w:br/>
        <w:t>The exchanges of sensitive information analyzed here, the price-fixing agreements, and market sharing could perfectly constitute independent infringements if they had been executed in isolation by the accused companies. In this sense, Article 1 of the LDC expressly includes all these behaviors among the prohibited practices. However, this possible classification as independent infringements does not prevent the integration of such behaviors into each of the unique and continuous infringements of a complex nature defined in the Proposal for Resolution if the accredited practices are executed simultaneously or successively with other possible infringements with which they share a common objective.</w:t>
        <w:br/>
        <w:t>In conclusion, this Chamber confirms the qualification of the Competition Directorate in its Proposal for Resolution regarding the existence of the aforementioned infringements of Article 1 of the LDC, anticompetitive by its object, and constitutive of a cartel.</w:t>
        <w:br/>
        <w:t>In this case, we are faced with practices that can be classified as a cartel, as they meet the legal conditions established in the Fourth Additional Provision of the LDC. Cartels, in addition to being the most serious form of violation of competition law, are restrictive agreements by object, which means that given their ability to alter the competitive pressure of the operators that carry them out, they must be classified as conduct that infringes Article 1 LDC, without the need to ascertain their effects.</w:t>
        <w:br/>
        <w:t>In this sense, the 2010 Guidelines of the EC on the applicability of Article 101 TFEU to horizontal cooperation agreements consider price-fixing and market sharing as a restriction of competition by object. For its part, the Council of the now-defunct CNC has stated that "price-fixing and market sharing are behaviors that objectively distort competition."</w:t>
        <w:br/>
        <w:t>4.2. Duration of the behaviors. Consideration of unique and continuous infringements in the cement and concrete markets</w:t>
        <w:br/>
        <w:t>4.2.1. Duration of the behaviors</w:t>
        <w:br/>
        <w:t>Without prejudice to the individual responsibility and participation of each company, and the existence of prescription periods for some of them, as we will see later, the general duration of the accredited behaviors is determined as follows.</w:t>
        <w:br/>
        <w:t>1. The cement market</w:t>
        <w:br/>
        <w:t>Regarding the duration of the behaviors in the cement market, and in accordance with the conclusions of the Competition Directorate, the sanctionable behaviors would correspond to the periods covered in the years 2013 and 2014.</w:t>
        <w:br/>
        <w:t>In this sense, the market sharing table obtained at the company MOLINS (folios 4600 to 4611) and the emails of July 15, 2013, and October 31 of the same year from VALDERRIVAS confirm the behaviors in that year (folios 3498 and 3500).</w:t>
        <w:br/>
        <w:t>The latest evidence of the behaviors in this market refers to June 2014.</w:t>
        <w:br/>
        <w:t>Thus, for example, there is an email dated June 16, 2014, where Mr. XXX, Commercial Manager Cement Central Zone of VALDERRIVAS, comments to Mr. XXX, Commercial Director Northern, Central, Southern, and United Kingdom Zones, on the tensions between BETÓN CATALÁN and a competitor:</w:t>
        <w:br/>
        <w:t>“XXX, significant commercial tensions are arising between Betón and [competitor]. The cause is two projects from [client] and [client] that Beton considered contracted and have supposedly taken the unpleasant surprise that [competitor] has also bet on them. These projects are within Betón's natural market due to the distance to the supply point, so they would not be profitable for [competitor].</w:t>
        <w:br/>
        <w:t>Beton threatens with reprisals, and this would pose a significant handicap for the consolidation of the still fragile price increase of cement.</w:t>
        <w:br/>
        <w:t>(…)”</w:t>
        <w:br/>
        <w:t>Mr. XXX, Commercial Director Northern, Central, Southern, and United Kingdom Zones responds:</w:t>
      </w:r>
    </w:p>
    <w:p>
      <w:r>
        <w:rPr>
          <w:b/>
        </w:rPr>
        <w:t>[Pages 82–84]</w:t>
      </w:r>
    </w:p>
    <w:p>
      <w:r>
        <w:t>“XXX, I am aware of these tensions, motivated by both, from my point of view, and for which it is already being seen how that tension can be alleviated.” (folio 3522).</w:t>
        <w:br/>
        <w:t>Likewise, on June 19, 2014, the representative of VALDERRIVAS sent an email to CREACONS in which the following is stated: “I mentioned to them that they would have to lower the market price of cement and not because there is no table we were going to lower it the same, especially since they are the ones responsible for the break. The price in Seville is rising.” (folio 4254)</w:t>
        <w:br/>
        <w:t>2. The concrete market</w:t>
        <w:br/>
        <w:t>On its part, in the concrete market, the duration of the behaviors would have been as follows:</w:t>
        <w:br/>
        <w:t>a) Northeast Zone</w:t>
        <w:br/>
        <w:t>In this area, it is established that the behaviors have been carried out since at least 1999 and until at least the year 2014.</w:t>
        <w:br/>
        <w:t>As we have repeatedly pointed out throughout this Resolution, the first evidence found regarding the existence of anticompetitive behaviors refers to a document titled “BUDGETS OF BARCELONA,” dated October 19, 2000, in which it can be read “ORIGIN: JUNE 22, 1999” and which certifies a market allocation among CEMEX, Readymix Asland (previously known as LAFARGE), Hormigones Uniland (ultimately absorbed by VALDERRIVAS), Pioneer Concrete Hispania (formerly known as HANSON), PROMSA, and BETÓN CATALÁN, and other unidentified companies.</w:t>
        <w:br/>
        <w:t>Subsequently, practically every year until 2014 there is evidence of market allocations, information exchange, and price agreements among the companies.</w:t>
        <w:br/>
        <w:t>See regarding this, the following folios:</w:t>
        <w:br/>
        <w:t>Year 1999 (2812); year 2001 (2808, 2809, 2810, 2811, 2826, 2815 to 2820, 2850, 2872, 2845 and 2846, 2916 to 2929, 2831 to 2843, 2823 and 2849); Year 2003 (2957); Year 2004 (2813 and 2814); Year 2005 (4008 and 4009); Year 2006 (2786 to 2800, except 2790); Year 2007 (2790); Year 2008 (2035 and 2036, 3528, 2037); Year 2009 (3529, 2934); Year 2010 (3544, 2039, 2041); Year 2011 (2936, 2043, 4014); Year 2012 (2960, 4597, 2939 and 2940); Year 2013 (3548, 2942, 2553); Year 2014 (5112, 2946, 2947 to 2950, 2050-2053).</w:t>
        <w:br/>
        <w:t>The last evidence obtained refers to an email from September 2014, in which the Plant Manager of BETÓN CATALÁN in Ibiza informs XXX, via internal email, of the production during the month of August of the competition and attaches three tables, the first of which is titled “production forecast.” In the text of the message, it writes:</w:t>
      </w:r>
    </w:p>
    <w:p>
      <w:r>
        <w:t>“After carefully analyzing the local market and making a few calls, I detail below the production from August 1 to 31, 2014, of the competing plants and ours:</w:t>
        <w:br/>
        <w:t>-BETÓN CATALÁN, S.A: 1,013 M3</w:t>
        <w:br/>
        <w:t>-HORMICEMEX: 700 M3</w:t>
        <w:br/>
        <w:t>-SUMINISTROS IBIZA, S.A.: 1,000 M3</w:t>
        <w:br/>
        <w:t>-PARROT, S.A.: 800 M3</w:t>
        <w:br/>
        <w:t>RAMPUIXA, S.A.: 1,000 M3</w:t>
        <w:br/>
        <w:t>*PRODUCTION FORECAST SEPTEMBER 2014:</w:t>
        <w:br/>
        <w:t>-BETÓN CATALÁN, S.A: 1,750 M3</w:t>
        <w:br/>
        <w:t>-HORMICEMEX: 1,000 M3</w:t>
        <w:br/>
        <w:t>-SUMINISTROS IBIZA, S.A.: 1,300 M3</w:t>
        <w:br/>
        <w:t>-PARROT, S.A.: 1,200 M3</w:t>
        <w:br/>
        <w:t>RAMPUIXA, S.A.: 1,300 M3” (folios 2050-2053).</w:t>
        <w:br/>
        <w:t>b) Central Zone</w:t>
        <w:br/>
        <w:t>In this area, it is established that the behaviors have been carried out since at least 2009 and until at least the year 2014.</w:t>
        <w:br/>
        <w:t>On May 4, 2009, a table titled “VALLADOLID WORKS” appears in the file collected during the inspection of the company BETÓN CATALÁN containing details of works with possible suppliers and awarded works. Within the column corresponding to “POSSIBLE SUPPLIERS,” the expression “frequent client” appears several times, and the following expression can also be found: “I request the collaboration of the company HYMPSA” (folio 3538).</w:t>
        <w:br/>
        <w:t>Subsequently, there is evidence of the existence of behaviors contrary to Article 1 of the LDC.</w:t>
        <w:br/>
        <w:t>See regarding this, the following folios: year 2009 (3538), year 2010 (2038), year 2011 (2938); year 2013 (3495 and 2944); year 2014 (2945, 3520).</w:t>
        <w:br/>
        <w:t>The last evidence of prohibited behaviors in this area is found in an internal email from the company VALDERRIVAS dated June 6, 2014, sent by the Commercial Delegate of the Cement and Concrete Business Zone Central and whose subject is “Works distribution,” it can be read:</w:t>
        <w:br/>
        <w:t>“XXX, yesterday XXX gave me the list of works that they had agreed upon in the meeting he had with Lafarge, BETON, Cemex, and Mahorsa for the distribution of the works. We already discussed the ones that have been assigned to you.” (folio 3520).</w:t>
        <w:br/>
        <w:t>c) Southern Zone</w:t>
        <w:br/>
        <w:t>In this area, it is established that the behaviors have been carried out since at least 2005 and until at least the year 2014.</w:t>
        <w:br/>
        <w:t>From the laptop of D. XXX, then Commercial Delegate of the Seville area at BETÓN CATALÁN, two Excel documents were collected, titled “BIWEEKLY 06-07.xls,” which contain a series of monthly follow-up reports, corresponding to the Alcalá plant, in the Seville area (folios 4643 and 4644).</w:t>
        <w:br/>
        <w:t>In each report, there is a section titled “Project Follow-up,” in which a monthly amount is calculated as the addition of the figure corresponding to the previous month plus the “discovered works,” subtracting the “sold works” and the “LOSSES TO COMPETITION,” where it specifies “Distributed at the table,” as can be seen in the following image, which corresponds to the report of Oct-05. Likewise, the reports include a section called COMPETITION, in which various events related to the existence of a club are narrated and refer to the years 2005, 2006, 2007, and 2008.</w:t>
        <w:br/>
        <w:t>An Excel document titled “Project Follow-up.xls” has also been collected from the laptop of D. XXX, then commercial of BETÓN CATALÁN, in which 15 tables containing different lists of works are recorded (folio 4645). Each table corresponds to a date, ranging from 04/15/2007 to 03/31/2008, and there is also a table titled “PAVECO Works” and another without a title. Identical tables exist up to the year 2014.</w:t>
        <w:br/>
        <w:t>In 2014, for example, on May 19, D. XXX sent to Dª XXX, sister of D. XXX, Sole Administrator of HORSEV, an email with the Subject “Seville Market as of May 13,” with the following text: “Paco: I attach the file as of May 13.” To the email, subsequently forwarded to the official mailbox of HORSEV, a document titled “R-43 AS OF MAY 13, 2014.xls” is attached, which contains four tables: i) “Total situation of each company,” ii) “R-</w:t>
      </w:r>
    </w:p>
    <w:p>
      <w:r>
        <w:rPr>
          <w:b/>
        </w:rPr>
        <w:t>[Pages 85–87]</w:t>
      </w:r>
    </w:p>
    <w:p>
      <w:r>
        <w:t xml:space="preserve">42”, which includes the list of works corresponding to distribution 42, iii) “R-43”, which includes the list of works corresponding to distribution 43, and iv) “SEVILLA”, which collects the works in which HORSEV (SEVILLA) appears as the Awardee (folios 4871 and 4872). </w:t>
        <w:br/>
        <w:t>See in this regard the following folios: years 2005 to 2008 (4643 and 4644, 4645), year 2010 (4636, 4637, 4638), year 2012 (4648 and 4649, 3786 and 3787); year 2013 (4651 and 4652, 4663 and 4664, 4665 to 4666, 4667 to 4672, 4673 and 4674, 4675 and 4676, 4677 and 4678, 4679 to 4876, 4646, 4681 and 4682, 4690, 4693 and 4694, 4701 and 4702, 4639 and 4640, 4730, 4891, 4733 and 4734, 4891, 4745 and 4746, 4747 and 4748, 5486, 4878, 4789 and 4790, 4878, 4801 and 4802, 4878, 3740 and 4647); year 2014 (4878, 4809 and 4810, 4879, 4890, 4828, 4831 and 4832, 4880, 4845 and 4846, 4880, 4881, 4882, 4877, 4871 and 4872, 4254, 3735 and paragraph 187 of the PCH).</w:t>
        <w:br/>
        <w:t>4.2.2. Single and Continuous Offense</w:t>
        <w:br/>
        <w:t>The Judgment of the Court of Justice of December 6, 2012, Case C-441/11, paragraph 41, states that: “According to established case law, an infringement of Article 81 EC, paragraph 1, now 101.1 TFEU, may result not only from a single act but also from a series of acts or even from continued behavior, even if one or several elements of that series of acts or the continued behavior may also constitute an infringement of the aforementioned provision when considered in isolation. Therefore, when the various actions are part of a ‘joint plan’ due to their identical object that distorts competition within the internal market, the Commission may attribute responsibility for those actions based on participation in the infringement considered as a whole (Judgments Commission/Anic Partecipazioni, previously cited, paragraph 81, as well as January 7, 2004, Aalborg Portland and others/Commission, C-204/00 P, C-205/00 P, C-211/00 P, C-213/00 P, C-217/00 P and C-219/00 P, Rec. p. I-123, paragraph 258).”</w:t>
        <w:br/>
        <w:t>In the same vein, the National Court, in its judgment of February 5, 2013, referring to the Judgment of the same Chamber dated November 6, 2009, and also to community case law, has indicated that to qualify various behaviors as a single and continuous infringement, it is necessary to examine whether the various behaviors present a link of complementarity, that is, that they "contribute, through interaction, to the realization of the set of effects contrary to competition sought by their authors, within the framework of a global plan aimed at a single objective. To this end, it will be necessary to examine the period of application, the content (including the methods employed), and, correlatively, the objective of the various behaviors in question.” In this regard, aspects such as the unity of common objectives among the behaviors, the identity of subjects, the methods employed, or the temporal coincidence are elements that must be considered when assessing the existence of a single and continuous infringement.</w:t>
        <w:br/>
        <w:t>Likewise, the Judgment of the National Court of July 29, 2014 (appeal no. 172/2013) also recalls the doctrine of the General Court in this regard: “1st Thus, in the judgment of February 6, 2014, Case T-27/10 AC-Treuhand AG, paragraphs 240 and 241, it states that the concept of ‘single objective’, which underlies the joint plan of the companies involved, cannot be generically identified with the simple distortion of competition, as that is the prerequisite for qualifying the practice as anti-competitive. Such an interpretation would result in several behaviors related to an economic sector, contrary to Article 81 EC, paragraph 1, being systematically qualified as constitutive elements of a single infringement (see the judgment of the Court of November 30, 2011, Quinn Barlo and others/Commission, T-208/06, Rec. p. II-7953, paragraph 149, and the cited case law).</w:t>
        <w:br/>
        <w:t>Therefore, the degree of complementarity of the different behaviors that constitute the single infringement must always be verified.</w:t>
        <w:br/>
        <w:t>In this regard, any circumstance that may demonstrate or refute such a link must be taken into account, such as the period of application, the content (including the methods employed), and, correlatively, the objective of the various behaviors in question (see the judgment Amann &amp; Söhne and Cousin Filterie/Commission, previously cited, paragraph 92, and the cited case law).</w:t>
        <w:br/>
        <w:t>2nd The judgment of May 17, 2013, Case T-147/09 Trelleborg Industrie, paragraphs 59 and following, specifies that:</w:t>
        <w:br/>
        <w:t>a) Within the framework of an infringement lasting several years, the qualification of a single infringement is not impeded by the fact that the different manifestations of the agreements occur in different periods, as long as the element of unity of action and purpose can be identified.</w:t>
        <w:br/>
        <w:t>b) According to a constant case law practice, a series of criteria have been identified that help to qualify an infringement as single and continuous, namely: the identity of the objectives of the considered practices, of the products and services, of the participating companies, and of the forms of execution, and it may also take into account the identity of the individuals acting on behalf of the involved companies and the identity of the geographical scope of the considered practices.</w:t>
        <w:br/>
        <w:t>c) The Commission may, therefore, presume the permanence of a company throughout the duration of the cartel, even if the participation of the company in question in specific phases has not been accredited, as long as there are sufficient elements to prove the participation of the company in a joint plan, with a specific purpose, that extends over time. The immediate consequence of this is that the “dies a quo” of the limitation period is computed from the cessation of the last conduct.”</w:t>
        <w:br/>
        <w:t>The examination of the behaviors in light of the cited case law allows us to conclude that we are faced with the existence of several single and continuous infringements, as various elements of unity of action and purpose can be identified in each of the markets. Thus, in the cement market, a single and continuous infringement has been carried out during the already indicated period, and in the concrete market, the existence of a single and continuous infringement can be appreciated in each of the defined areas (northeast, center, and south).</w:t>
        <w:br/>
        <w:t>Regarding the concrete market, this Chamber, like the Competition Directorate, concludes the existence of three single and continuous infringements, one for each defined area (northeast, center, and south). This is so because in each geographical area delineated in this file, the correlation between the subjects involved in the investigated behaviors is evident, as all the companies accused in each area have participated in the behaviors attributable to that specific area. The companies coincided in the corresponding area, and the nature and content of the contacts pursued the same purpose, namely, to set a common strategy to divide the concrete market in each area.</w:t>
        <w:br/>
        <w:t>The same occurs in the case of the companies in the cement market, where there is identity of responsible subjects, continuity of actions, and a preconceived plan consisting of the division of the market.</w:t>
        <w:br/>
        <w:t>There is also a clear coincidence of the periods of participation of the companies in their respective markets and geographical areas in the case of the concrete market.</w:t>
        <w:br/>
        <w:t>If we add to all of the above that all the companies identified as responsible in each market and geographical area, in the case of the concrete market, participate in that same market or geographical area and, therefore, have clear common interests, the conclusion can only be that a joint and coordinated action has occurred among the companies, which must be considered a single and continuous infringement.</w:t>
        <w:br/>
        <w:t>Some companies have indicated that their behaviors have prescribed due to the absence of evidence in sufficiently long time periods to consider the continuity of the infringement interrupted. This Chamber addresses this in section 4.4 of this Resolution.</w:t>
        <w:br/>
        <w:t>4.3.- Effects on the Market</w:t>
        <w:br/>
        <w:t>As the Council of the CNC and the CNMC has pointed out on previous occasions, in the assessment of behaviors under Article 1 of the LDC, proof of</w:t>
      </w:r>
    </w:p>
    <w:p>
      <w:r>
        <w:rPr>
          <w:b/>
        </w:rPr>
        <w:t>[Pages 88–90]</w:t>
      </w:r>
    </w:p>
    <w:p>
      <w:r>
        <w:t>broken the continuity of the infringement. On this matter, this Chamber pronounces in section 4.4 of this Resolution.</w:t>
        <w:br/>
        <w:t>4.3.- Effects in the market</w:t>
        <w:br/>
        <w:t>As noted by the Council of the CNC and the CNMC on previous occasions, in the assessment of behaviors under Article 1 of the LDC, proof of real effects contrary to competition is not required when it has been determined that they are restrictive by their object28.</w:t>
        <w:br/>
        <w:t>This criterion is consistent with the jurisprudence on the matter, considering that, for example, the Court of Justice of the European Union has stated29:</w:t>
        <w:br/>
        <w:t>“It should be recalled that, according to established case law, in the application of Article 101 TFEU (RCL 2009, 2300), paragraph 1, the assessment of the specific effects of an agreement is superfluous when it is found that they have the object of preventing, restricting, or distorting competition (see, in this regard, the judgments of July 13, 1966, Consten and Grundig/Commission, 56/64 and 58/64, Rec. p. 429, and of December 8, 2011 [TJCE 2011, 399], KME Germany and others/Commission, C-272/09 P, Rec. p. I-0000, paragraph 65, and KME Germany and others/Commission, [TJCE 2011, 400] C-389/10 P, Rec. p. I-0000, paragraph 75).</w:t>
        <w:br/>
        <w:t>In this regard, the Court of Justice has stated that the distinction between "infringements by object" and "infringements by effect" lies in the fact that certain forms of collusion between companies can be considered, by their very nature, harmful to the proper functioning of normal competition (judgments of November 20, 2008, Beef Industry Development Society and Barry Brothers, C-209/07, Rec. p. I-8637, paragraph 17, and of June 4, 2009, T-Mobile Netherlands and others, C-8/08, Rec. p. I-4529, paragraph 29).</w:t>
        <w:br/>
        <w:t>Therefore, it is appropriate to consider that an agreement that may affect trade between Member States and has an object contrary to competition constitutes, by its very nature and regardless of its specific effects, a significant restriction of competition.”</w:t>
        <w:br/>
        <w:t>Similarly, the Supreme Court, in its Judgment of December 18, 2007, has stated in a similar sense that:</w:t>
        <w:br/>
        <w:t>“As for the plaintiff's allegations that its behavior had no negative effects in the market since it did not reflect in prices or in market sharing nor, ultimately, in the fact that the sanctioned companies maintained, improved, or increased their market power, it is sufficient to point out two things. First, that the sanctioning of behaviors covered by Article 1 of the Competition Defense Law does not require that such effects have occurred, but only that they may produce them, which would already avoid having to examine such arguments.”</w:t>
        <w:br/>
        <w:t>28See, Expte. S/0120/10, Transitarios), Expte S/428/12 Palés, Expte. S/0422/12 Contracts of permanence.</w:t>
        <w:br/>
        <w:t>29Judgment of December 13, 2012, of the Court of Justice of the European Union (Second Chamber).. Case C-226/11 (Expedia Inc. against Autorité de la concurrence and others).</w:t>
        <w:br/>
        <w:t>88</w:t>
      </w:r>
    </w:p>
    <w:p>
      <w:r>
        <w:t>In light of the above, the result of the analysis of the effects caused by the behaviors in the market should not alter the legal qualification that this Chamber must make in relation to them, as we are faced with behaviors among competing companies that, by their very nature, fall within the category of infringements by object.</w:t>
        <w:br/>
        <w:t>Although the analysis of the effects of these actions on the market is not necessary, they are undoubtedly present. If we consider the structure of the markets and the fact that we are dealing with markets characterized by the vertical integration of the main operators in both markets and by the existence of multiple small concrete companies that are all closely related to the civil construction market, both public and private, this leads us to conclude that the practices evidenced in this file and, in particular, the additional weakening of competition they entail are especially harmful.</w:t>
        <w:br/>
        <w:t>As the Competition Directorate rightly points out, it is evident that these practices have had effects, which is particularly demonstrated in the interrelation existing between both markets and the significant fact that the distribution of works/clients verified in both markets involves, on the one hand, a zoning of rates and, on the other hand, the maintenance of artificially high prices, in sectors important for the productive economy of Spain, such as the construction sector, which represented at the end of 2014, 4.9% of GDP in Spain at current prices (down from 8.8% in 1999), peaking in 2005 and 2006 at 10.4% of total Spanish GDP.30</w:t>
        <w:br/>
        <w:t>From all this, it is irrefutably derived that the analyzed and evidenced behaviors affect clients, normally responsible for works of all kinds, public or private, who have been harmed by these coordinated increases and, ultimately, by prices higher than those they would have paid in a context of free competition, and in the absence of such agreements. It is evident that these behaviors affect, albeit indirectly, in a verifiable manner, consumers, and the economy in general, with the consequent loss of overall efficiency and its impact on final construction prices.</w:t>
        <w:br/>
        <w:t>4.4. Prescription</w:t>
        <w:br/>
        <w:t>This Chamber agrees with the prescription of the infringement of the company MOLINS proposed by the Competition Directorate, and the partial prescription of some years of conduct of certain companies.</w:t>
        <w:br/>
        <w:t>On the other hand, there are for some companies relatively prolonged periods of time in which it has not been possible to prove the conduct, which, in the opinion of this Chamber, represents a deficiency in the burden of proof during that period that 30 Source: INE.</w:t>
        <w:br/>
        <w:t>89</w:t>
      </w:r>
    </w:p>
    <w:p>
      <w:r>
        <w:t>must be taken into account when considering the duration of the continuous infringement of the affected companies.</w:t>
        <w:br/>
        <w:t>In this sense, it is true that the period during which the behaviors have occurred is sufficiently prolonged to consider the existence of different degrees of intensity in their execution throughout the entire infringing period. Thus, the National Court31 has stated that for a behavior to be considered unlawful, it is not necessary for it to have the same intensity throughout the time it takes place, as coordination and cooperation have ups and downs, may decline at certain moments, or be interrupted by periodic episodes, but still retain their essence over time. For all these reasons, the existence of temporal gaps of inactivity does not affect in any case the qualification of the infringement as unique and continuous.</w:t>
        <w:br/>
        <w:t>The Resolution of File S/106/08 IRON STORES of May 17, 2010, confirmed by the Judgment of the National Court of February 19, 2013, and by the Supreme Court on November 14, 201332, states that “the fact that there is no direct evidence in certain years (from October 1999 to April 2001 and from December 2002 to November 2004) of the activities that, evaluated as a whole, constitute a single infringement, does not prevent the legal conclusion that this infringement continued to be active, since there is abundant evidence of facts subsequent to those periods of time, which prove the persistence of the final and unique objective that allows all those behaviors or activities to be included in a joint plan or anti-competitive strategy.”</w:t>
        <w:br/>
        <w:t>Likewise, the Judgment of the General Court of the European Union (Eighth Chamber), of May 19, 2010 (case T-18/05), has stated that non-excessive periods of interruption of the conduct do not break its continuity:</w:t>
        <w:br/>
        <w:t>“However, given that the plaintiffs resumed and repeated, after a period slightly exceeding sixteen months, their participation in an infringement that is the same collusive practice in which they had participated before the interruption, an identity that they do not dispute, the prescription in the sense of Article 25 of Regulation No. 1/2003 is not applicable.”</w:t>
        <w:br/>
        <w:t>And the Judgment of the CJEU of January 7, 2004 (joined cases C-204/00 P, C-211/00 P, C-213/00 P, C-217/00 P and C-219/00 P, Aalborg Portland A/S, § 258 to 261) specifies that: “(…) In the context of a global agreement, which lasts several years, the passage of a few months between the manifestations of the agreement is of little importance. On the contrary, the fact that the different actions are part of a “joint plan” due to their identical object is decisive.”</w:t>
        <w:br/>
        <w:t>31 Judgment of the AN of February 21, 2013 and the Judgment of the AN of June 19, 2013.</w:t>
        <w:br/>
        <w:t>32 Appeal Number 1523/2013.</w:t>
        <w:br/>
        <w:t>90</w:t>
      </w:r>
    </w:p>
    <w:p>
      <w:r>
        <w:rPr>
          <w:b/>
        </w:rPr>
        <w:t>[Pages 91–93]</w:t>
      </w:r>
    </w:p>
    <w:p>
      <w:r>
        <w:t>However, in this file, for some companies, the periods during which it has not been possible to obtain evidence of the conduct reach almost three years, which means, in light of the jurisprudence and the cited precedents, that these periods without evidence formally break the continuity of the conduct.</w:t>
      </w:r>
    </w:p>
    <w:p>
      <w:r>
        <w:t>We will now analyze the cases in which partial prescription of the conduct can be appreciated, leaving the duration of the conduct for the remaining companies qualified in the same terms and time periods as those provided in the proposed resolution:</w:t>
      </w:r>
    </w:p>
    <w:p>
      <w:r>
        <w:t>1. CEMENTOS PORTLAND VALDERRIVAS, S.A. (VALDERRIVAS)</w:t>
        <w:br/>
        <w:t>Among other conducts, it is charged with the exchange of sensitive commercial information and market sharing of concrete:</w:t>
        <w:br/>
        <w:t>a. in the northeast area, due to the actions of UNILAND: 1999, 2001, 2003, 2005, 2008, 2011, and 2013.</w:t>
        <w:br/>
        <w:t>b. in the southern area,</w:t>
        <w:br/>
        <w:t>i. due to the actions of HYMPSA: 2007, 2010, 2012, 2013, and 2014.</w:t>
        <w:br/>
        <w:t>In both areas, a time period of about three years is observed, from 2008 to 2011 in the northeast area and from 2007 to 2010 in the southern area, during which the Competition Directorate has not obtained evidence of the infringement, so the prescription of the conduct can be appreciated in the following terms:</w:t>
        <w:br/>
        <w:t>a. in the northeast area, the infringement would have prescribed from 1999 to 2008.</w:t>
        <w:br/>
        <w:t>b. in the southern area, the infringement would have prescribed in 2007.</w:t>
      </w:r>
    </w:p>
    <w:p>
      <w:r>
        <w:t>2. CEMEX ESPAÑA OPERACIONES, S.L.U. (CEMEX)</w:t>
        <w:br/>
        <w:t>Among other conducts, it is charged with the exchange of sensitive commercial information and market sharing of concrete in the northeast area in 2008, 2009, 2012, 2013, and 2014.</w:t>
        <w:br/>
        <w:t>A time period of about three years is observed, from 2009 to 2012, during which the Competition Directorate has not obtained evidence of the infringement, so the prescription of the infringement in the northeast area for the years 2008 and 2009 can be appreciated.</w:t>
      </w:r>
    </w:p>
    <w:p>
      <w:r>
        <w:t>3. PROMOTORA MEDITERRÁNEA 2, S.A. (PROMSA)</w:t>
        <w:br/>
        <w:t>It is charged, among other conducts, with the exchange of sensitive commercial information and market sharing of concrete in the northeast area in 1999, 2001, 2003, 2005, 2008, 2009, 2011, 2012, and 2014.</w:t>
        <w:br/>
        <w:t>A time period of about three years is observed, from 2005 to 2008, during which the Competition Directorate has not obtained evidence of the infringement, so the prescription of the infringement in the northeast area from 1999 to 2005 can be appreciated.</w:t>
      </w:r>
    </w:p>
    <w:p>
      <w:r>
        <w:t>4. PREBETONG HORMIGONES, S.A. (PREBETONG)</w:t>
        <w:br/>
        <w:t>Among other conducts, it is charged with the exchange of sensitive commercial information and market sharing of concrete in the southern area in 2007, in 2010, and from 2012 to 2014:</w:t>
        <w:br/>
        <w:t>a. Due to the actions of HORMIGONES HERCULES, S.L. in 2007.</w:t>
        <w:br/>
        <w:t>b. Due to the actions of OCCIDENTAL DE HORMIGONES, S.L. in 2007 and 2010 (folio 4636).</w:t>
        <w:br/>
        <w:t>A time period of about three years is observed, from 2007 to 2010, during which the Competition Directorate has not obtained evidence of the infringement, so the prescription of the infringement in 2007 can be appreciated.</w:t>
      </w:r>
    </w:p>
    <w:p>
      <w:r>
        <w:t>5. ARIDOS Y HORMIGONES HISPALENSE, S.L. (HISPALENSE)</w:t>
        <w:br/>
        <w:t>It is charged with the exchange of sensitive commercial information and market sharing of concrete in the southern area in 2007, in 2010, and from 2012 to 2014.</w:t>
        <w:br/>
        <w:t>A time period of about three years is observed, from 2007 to 2010, during which the Competition Directorate has not obtained evidence of the infringement, so the prescription of the infringement in 2007 can be appreciated.</w:t>
      </w:r>
    </w:p>
    <w:p>
      <w:r>
        <w:t>6. HORMIGONES DE SEVILLA, S.L. (HORSEV)</w:t>
        <w:br/>
        <w:t>It is charged, among other conducts, with the exchange of sensitive commercial information and market sharing of concrete in the southern area in 2007, in 2010, and from 2012 to 2014.</w:t>
        <w:br/>
        <w:t>A time period of about three years is observed, from 2007 to 2010, during which the Competition Directorate has not obtained evidence of the infringement, so the prescription of the infringement in 2007 can be appreciated.</w:t>
      </w:r>
    </w:p>
    <w:p>
      <w:r>
        <w:t>7. PREFABRICADOS LEFLET, S.L. (LEFLET)</w:t>
        <w:br/>
        <w:t>It is charged with the exchange of sensitive commercial information and market sharing of concrete in the southern area in 2007, 2010, and from 2012 to 2014.</w:t>
        <w:br/>
        <w:t>A time period of about three years is observed, from 2007 to 2010, during which the Competition Directorate has not obtained evidence of the infringement, so the prescription of the infringement in 2007 can be appreciated.</w:t>
      </w:r>
    </w:p>
    <w:p>
      <w:r>
        <w:t>4.5. Accreditation of the charged conducts</w:t>
        <w:br/>
        <w:t>Both in the allegations presented against the PCH and in those submitted after the issuance of the Proposal for Resolution (PR), almost all of the investigated companies consider that the file instructed by the DC lacks sufficient evidentiary basis to substantiate the various infringements of competition law ultimately charged by the instructing body.</w:t>
      </w:r>
    </w:p>
    <w:p>
      <w:r>
        <w:t>Therefore, the alleging companies consider that the instructed file violates the presumption of innocence and their right to defense, focusing many of these allegations on the very existence of valid evidence to substantiate the infringing conducts. In this regard, the main allegations emphasize the absence of evidentiary strength of the documentation collected in the file by the DC, particularly regarding certain emails, reports, and tables located in the inspections carried out. The accused companies in their allegations do not consider such documents sufficient evidence to substantiate the described infringements.</w:t>
      </w:r>
    </w:p>
    <w:p>
      <w:r>
        <w:t>Likewise, the companies reject the use of the documentation included in the file as a basis for the use of circumstantial evidence by the DC to support the charges made, as the instructing body does not comply with the rules established by jurisprudence for the use of accreditation by presumptions. Even in this regard, BETÓN CATALÁN, in its allegations to the PR, argues that it is not necessary to refute any assessment and presumption made by the instructing body since the DC itself expressly states in the evaluation of evidence and response to allegations included in the PR sent to this Chamber that it has not made use of such presumptive evidence and bases the charges made on direct evidentiary material obtained throughout the instruction of the file. Therefore, BETÓN considers it unnecessary to provide an alternative explanation of the recorded facts and limits itself to stating that none of the documents cited against it can directly substantiate the competitive offenses attributed to it.</w:t>
      </w:r>
    </w:p>
    <w:p>
      <w:r>
        <w:t>Among the allegations presented regarding the lack of accreditation of the conducts, the companies particularly focus on the following: the absence of direct evidence and the attribution of conducts based solely on documents prepared by third parties (HISPALENSE, CEMINTER, PREMACONS, LAFARGE, CREACONS, SURGYPS, PRELHOR, PREBETONG, HOLCIM, ANDECOSA, HORSEV), the failure to comply with the jurisprudential requirements for applying circumstantial evidence, and the erroneous interpretation of the documents incorporated into the file (ANDEMOSA, HORSEV), both in terms of their content and the inability of their authors to bind the companies, even if they acted as representatives of them (BETONALIA, PRELHOR, BETÓN CATALÁN).</w:t>
      </w:r>
    </w:p>
    <w:p>
      <w:r>
        <w:t>As will be explained next, none of these allegations from the accused companies regarding the lack of accreditation of the conducts - nor the</w:t>
      </w:r>
    </w:p>
    <w:p>
      <w:r>
        <w:rPr>
          <w:b/>
        </w:rPr>
        <w:t>[Pages 94–96]</w:t>
      </w:r>
    </w:p>
    <w:p>
      <w:r>
        <w:t>the subsequent allegation of violation of the presumption of innocence and their right to defense - cannot be shared by this Chamber. As this Commission has stated on other occasions, one of the greatest obstacles faced by competition authorities in their fight against anticompetitive practices is obtaining evidence of their existence, since the very experience of the companies contributes to the creation of increasingly sophisticated frameworks that hinder the detection and sanctioning work of public authorities. If we add to this the secret nature of the investigated behaviors and the special precautions adopted by the companies to conceal the illicit acts in which they engage, no one can doubt the difficult task that the Competition Directorate has to carry out as the instructing body to, through all the evidence obtained during the procedure, establish a sufficient evidentiary basis on which to support the sanction that should, if applicable, be imposed.</w:t>
      </w:r>
    </w:p>
    <w:p>
      <w:r>
        <w:t>In this sense, the importance of messaging and communication systems between mobile devices that allow for bilateral and multilateral communication among participants in anticompetitive behaviors of special speed and precision is highlighted today, accelerating and facilitating the exchange of sensitive commercial information between competitors and the adoption of agreements through electronic means.</w:t>
      </w:r>
    </w:p>
    <w:p>
      <w:r>
        <w:t>The former CNC recognized (as stated in its Resolution of the CNC Council of January 18, 2010, Expte. S/0014/07 Management of Health Waste) that “agreements to divide the market or to set prices can rarely be demonstrated directly or documentarily, and the only way to do so is through circumstantial evidence, which in turn, as we see in the aforementioned ECJ ruling in the Cimenteries case, allows for a founded presumption of the existence of an agreement. Because it is the overall view of the market and the behavior of the agents that allows competition authorities to reach the conviction that the only explanation for those results and behaviors is the existence of an agreement. In this type of agreements, secret by nature, it is not required to prove that each and every one of the facts of the plurality of actions carried out by the operators and that are part of the anticompetitive strategy constitutes an infringement, but rather that the infringement is precisely that set of facts, with a very specific purpose, even if each of them in isolation cannot be deemed contrary to the competition rules by object.”</w:t>
      </w:r>
    </w:p>
    <w:p>
      <w:r>
        <w:t>Thus, it is obvious that in this type of proceedings, the use of circumstantial evidence is of great relevance, always respecting the fundamental rights of the parties in the procedure. Numerous jurisprudence has had the opportunity to pronounce on the suitability of using this type of evidence, both community and national, although this Chamber considers that, in the present case, the accreditation of the alleged infringements carried out by the DC combines the accreditation through presumptive evidence with the existence, as the DC claims, of a large number of direct evidences that there have indeed been regular contacts between the accused to coordinate their behaviors in order to exchange sensitive information and adopt anticompetitive agreements that have been executed until 2014.</w:t>
      </w:r>
    </w:p>
    <w:p>
      <w:r>
        <w:t>Such evidentiary proofs mainly come from the documentation collected during the inspections carried out at the premises of the various inspected companies, as well as from the information requests made by the DC.</w:t>
      </w:r>
    </w:p>
    <w:p>
      <w:r>
        <w:t>Within the documentation used as evidence by the DC in the PCH, there are various documents, emails, instant messaging, and tables and reports, all prepared or originating from one of the accused companies, which contain specific data that directly prove the existence of the practices attributed by the instructing body or of certain facts that constitute them, such as meetings, bilateral contacts, or exchanges of sensitive commercial information.</w:t>
      </w:r>
    </w:p>
    <w:p>
      <w:r>
        <w:t>As has been noted, the vast majority of the accused companies do not recognize any legitimacy or validity to these documents from third parties, as they consider that such documents have been prepared by competing companies with an unverified objective and, in any case, completely foreign and unknown to them, which is why they believe that the evidentiary set provided by the DC becomes completely ineffective as a documentary and evidentiary basis for the attributed behaviors. Several of these companies present their reasoning based on jurisprudence from the Supreme Court (STS of June 19, 2015, related to file S/0226/10, Road Bids) or from Community Courts (judgment of the General Court of September 15, 2011, Case T-234/07, Koninklijke Grolsch NV).</w:t>
      </w:r>
    </w:p>
    <w:p>
      <w:r>
        <w:t>Despite these arguments, this Chamber considers that these documents are sufficiently solid and founded evidence to dismiss the allegations made by the accused who insist on considering that there is no direct evidence of the attributed behavior, despite the clearly explicit content of the attributed illicit acts in a large part of the referenced documents.</w:t>
      </w:r>
    </w:p>
    <w:p>
      <w:r>
        <w:t>It is also worth noting two additional considerations.</w:t>
      </w:r>
    </w:p>
    <w:p>
      <w:r>
        <w:t>First, this Chamber has no reason to doubt the veracity of the facts reported in these documents, which were freely prepared by one of the accused companies with the content that they voluntarily decided and were subsequently collected in compliance with the legally established norms, regardless of their origin or source.</w:t>
      </w:r>
    </w:p>
    <w:p>
      <w:r>
        <w:t>As already noted by the Supreme Court, notably in its judgment of March 6, 2000 (appeal 373/1993): “it is unlikely that the authors of collusive acts will leave documentary evidence of their restrictive or prohibited conduct.” Therefore, if the threshold of proof suggested by the companies, consisting of the active participation of the accused in all evidentiary documents, were required, the application of competition law would become impossible, since by the very nature of these behaviors, often implemented through informal or secret agreements or concerted actions, with unstable and changing persistence over time, they prevent the evidence and documents obtained from having the formal character and exhaustive scope demanded by the accused.</w:t>
      </w:r>
    </w:p>
    <w:p>
      <w:r>
        <w:t>Secondly, none of these documents, prepared by third parties, is isolated but rather forms part of the numerous documentary corpus collected by the DC and summarized in section IV of this resolution. Therefore, each document incorporated into the file has been evaluated - both by the instructing body and by this Chamber - individually but not in isolation, but rather through a joint assessment with the rest of the documentation collected in the file. In this way, the Chamber considers that this documentary corpus can constitute sufficient and objective evidence of the facts considered proven in the PCH, which were analyzed by the DC as a whole in order to obtain an adequate perspective to assess their evidentiary validity.</w:t>
      </w:r>
    </w:p>
    <w:p>
      <w:r>
        <w:t>Thus, the evidence obtained in the file interrelates until forming a whole that evidences the anticompetitive practices carried out. Therefore, even if certain documents constitute sufficient evidence of the infringement, the fact that the information contained therein is framed and corroborated by the content of various emails and other documents collected during the inspections gives them even greater veracity.</w:t>
      </w:r>
    </w:p>
    <w:p>
      <w:r>
        <w:t>As has already been noted, jurisprudence has been accepting the use of circumstantial evidence in competition defense law. This is reiterated by the Supreme Court in its recent judgment of February 15, 2016: “It should be emphasized that this evidence has greater operability in the field of competition defense, since it is unlikely that the authors of collusive acts will leave documentary evidence of their restrictive or prohibited conduct, which can only be extracted from indications or presumptions. Denying validity to this indirect evidence would lead almost to the absolute impunity of acts derived from agreements or arrangements to restrict the free functioning of supply and demand.”</w:t>
      </w:r>
    </w:p>
    <w:p>
      <w:r>
        <w:t>This consideration is consistent with community doctrine regarding the degree of sufficient proof required for the accreditation of cartels, which is reflected in the judgment of the General Court dated December 12, 2014, case T-562/08:</w:t>
      </w:r>
    </w:p>
    <w:p>
      <w:r>
        <w:rPr>
          <w:b/>
        </w:rPr>
        <w:t>[Pages 97–99]</w:t>
      </w:r>
    </w:p>
    <w:p>
      <w:r>
        <w:t>"Given that both the prohibition of participating in agreements and practices contrary to competition and the sanctions to which offenders may be exposed are notorious, it is common for activities involving such practices and agreements to be conducted clandestinely, for meetings to be held in secret, and for documentation regarding them to be minimized. Consequently, the Commission cannot be required to provide documents that expressly prove a contact between the affected operators. Even if the Commission discovers such documents, they will typically only have a fragmentary and dispersed nature, so it often becomes necessary to reconstruct some details by deduction. As a result, in most cases, the existence of a practice or agreement contrary to competition is inferred from certain coincidences and indications that, when considered as a whole, may constitute, in the absence of another coherent explanation, proof of a violation of competition rules (Aalborg Portland and others/Commission judgment, cited in paragraph 98 above, paragraphs 55 to 57; see the Dresdner Bank and others/Commission judgment, cited in paragraph 98 above, paragraphs 64 and 65, and the cited case law)."</w:t>
      </w:r>
    </w:p>
    <w:p>
      <w:r>
        <w:t>"On the other hand, several companies question the qualification made by the DC regarding what it considers its sales representatives or persons capable of representing them (BETONALIA, PRELHOR, BETÓN CATALÁN). Regarding the allegations of the accused concerning the qualification made by the DC regarding what it considers its sales representatives or persons capable of representing them, this Chamber agrees with the indications made by the instructing body and considers that, regardless of whether the cited individuals who participated in the exchanges held managerial positions or were considered directors of the companies they represented, the actions of a company's employees are also considered attributable to the company, unless proven otherwise. The opposite would imply granting any company an absolute possibility to evade the application of competition regulations by basing its defense on the exclusive responsibility of its employees."</w:t>
      </w:r>
    </w:p>
    <w:p>
      <w:r>
        <w:t>"In light of all this, this Chamber understands that the allegations made by the accused have not been able to undermine the established facts and, consequently, as previously stated, must be dismissed."</w:t>
      </w:r>
    </w:p>
    <w:p>
      <w:r>
        <w:t>"4.5.1. Proof of the infringement in the cement market: According to the legal qualification expressed by the DC in the PR, the instructing body considers that certain practices of exchanging sensitive information and market sharing of cement carried out by VALDERRIVAS, CEMEX, CEMINTER, and HOLCIM during 2013 and 2014 constitute a single and continuous infringement at the national level classified under Article 1 of Law 16/1989 and the current Law 15/2007. According to the facts presented in section IV of this resolution, these anticompetitive practices are considered proven through various documents collected in the file, mainly the following emails from the companies MOLINS and VALDERRIVAS: - An internal email from the company MOLINS dated July 1, 2013, which attaches an Excel spreadsheet titled “CEMEX clients,” with a table of clients and their cement supply by MOLINS, CEMEX, LAFARGE, Unión Cementos Valencia, Élite, and T.F (folios) - Several internal emails from the company VALDERRIVAS from July (folio 3498) and October 2013 (folio 3500) and April 2014 (folio 3513) in which certain actions among various concrete companies regarding different clients are described as “aggressions” and “reprisals.” These actions would be carried out by VALDERRIVAS itself, CEMEX, CEMENTOS HIDALGO, CEMENTOS BALBOA, and LAFARGE. - Two internal emails from VALDERRIVAS from May (folios 3516 and 3517) and June 2014 (folio 4252) in which the contacts and meetings held by VALDERRIVAS with HOLCIM and CEMINTER, respectively, are reported, in which the involved companies exchange information about price increases and clients. - An email from May 2014 (folios 3514 and 3515) sent by a client of VALDERRIVAS to this company stating the existence of a possible price increase agreement among cement companies that would have been complied with by VALDERRIVAS but not by other companies (LAFARGE)."</w:t>
      </w:r>
    </w:p>
    <w:p>
      <w:r>
        <w:t>"In their allegations to the PR, both HOLCIM and CEMINTER argue that the DC bases its accusation on internal documents from the company VALDERRIVAS that contain mere statements from third parties that have not been corroborated by any other evidence in the file, which implies a lack of incriminating evidence. As noted, both companies base their reasoning on case law from the Supreme Court (STS of June 19, 2015, related to file S/0226/10, Road Bidding) or from Community Courts (General Court judgment of September 15, 2011, Case T-234/07, Koninklijke Grolsch NV). While HOLCIM admits that among its clients there are companies that source cement from various competing suppliers (referred to in their commercial jargon as “shared clients”) for various reasons (supply security, lack of credit from the client, etc.), it considers that assessing its responsibility solely on the basis of such documents would constitute a violation of the right to the presumption of innocence. For its part, CEMINTER emphasizes in its allegations the lack of evidentiary value of documents drafted by third parties regarding companies that did not participate in their sending and receiving."</w:t>
      </w:r>
    </w:p>
    <w:p>
      <w:r>
        <w:t>"For its part, in its allegations to the PR, VALDERRIVAS considers that none of the elements put forward by the DC constitutes proof of its participation in the infringement. According to VALDERRIVAS, the DC distorts the content of its internal email from June 2014 (folio 4252) by interpreting that a meeting took place with its competitor CEMINTER to exchange sensitive information, when that email merely reflects the information that VALDERRIVAS received from its client HORMICONIL, which did meet with CEMINTER. Regarding its email from May (folios 3516 and 3517), VALDERRIVAS denies contact with HOLCIM and argues that the information about the lack of price increase by this company (which would also evidence intense competition in the market) comes from VALDERRIVAS's own market research. As for its emails from 2013 and 2014 referring to “aggressions” and “reprisals” among cement companies, VALDERRIVAS justifies this commercial language in the aggressive commercial policy deployed by the company since it ceased concrete production and dismantled its concrete subsidiary HYMSA. This commercial policy aimed first to expand its customer base and then to raise its prices, even at the cost of losing some of them. The reference to “proportional” reprisals fits into this new commercial strategy and is justified by the fact that VALDERRIVAS did not wish to trigger a price war that would divert it from its goal of improving margins."</w:t>
      </w:r>
    </w:p>
    <w:p>
      <w:r>
        <w:t>"CEMEX, for its part, argues in its allegations to the PR that none of the documents presented constitute proof of its infringement in the cement market. Regarding the table attached to the internal email from MOLINS dated July 1, 2013 (folios 4600-4611), which lists the concrete companies and their cement suppliers, CEMEX reiterates that such tables are the result of MOLINS's own market research. It bases this justification on the clear difference between the level of detail in the column corresponding to this company and the rest of the cement companies included in it, for which rounded estimates (multiples of 5 and 10) are provided. Regarding the internal emails from VALDERRIVAS from July (folio 3498) and October 2013 (folio 3500) that mention “aggressions” from CEMEX for offering cheaper prices in their cement sales, it points out that both emails reflect the direct commercial struggle between competitors with price reductions that benefit consumers and cannot be considered proof of the existence of a competition infringement solely based on the language used."</w:t>
      </w:r>
    </w:p>
    <w:p>
      <w:r>
        <w:t>"In accordance with the above, this Chamber understands that the allegations made by the companies just exposed cannot undermine the established facts and, consequently, must be dismissed. As previously stated, the documents prepared by third parties that the instructing body takes into consideration – such as the internal emails from VALDERRIVAS from May (folios 3516 and 3517) and June 2014 (folio 4252) in the..."</w:t>
      </w:r>
    </w:p>
    <w:p>
      <w:r>
        <w:rPr>
          <w:b/>
        </w:rPr>
        <w:t>[Pages 100–102]</w:t>
      </w:r>
    </w:p>
    <w:p>
      <w:r>
        <w:t xml:space="preserve">distort the established facts and, consequently, must be dismissed. </w:t>
        <w:br/>
        <w:t xml:space="preserve">As has been stated, the documents prepared by third parties that the instructing body takes into consideration – such as the internal emails from VALDERRIVAS from May (folios 3516 and 3517) and June 2014 (folio 4252) in which their contacts and meetings with HOLCIM and CEMINTER are detailed – must be evaluated individually but not in isolation, rather in connection with the rest of the documentation presented as evidence by the DC. </w:t>
        <w:br/>
        <w:t xml:space="preserve">Firstly, this document constitutes direct documentary evidence of the infringement against its author – VALDERRIVAS – which in none of its successive allegations has managed to provide an acceptable alternative explanation for the contacts and meetings described in that email. Regarding the other companies mentioned therein - HOLCIM and CEMINTER - it is true that it is a document prepared by a third party in whose preparation neither of them participated; however, as correctly pointed out by the DC in the PR, there is no incentive for the author of the email to narrate a non-existent meeting with either of the two companies, given that this email could be used against them as evidence of an exchange of information about prices with a competing company. On the other hand, the Chamber notes that both emails provide extremely detailed information about the works discussed and assigned between both companies located in different parts of the Andalusian geography, which reinforces the certainty about the holding of the meeting and the impossibility of its invention by the author of the email. </w:t>
        <w:br/>
        <w:t xml:space="preserve">It should also be taken into account that the meetings held with HOLCIM and CEMINTER regarding the negotiation of a price increase are practically contemporaneous to another email inventoried as evidence by the DC (May 2014; folios 3514 and 3515) sent by a client of VALDERRIVAS stating the existence of a possible agreement for a price increase among cement companies that would have been fulfilled by VALDERRIVAS but not by other companies (LAFARGE). The holding of meetings with HOLCIM and CEMINTER in May and June to understand the reasons for the absence of a price increase for cement is fully consistent with this situation. </w:t>
        <w:br/>
        <w:t xml:space="preserve">Regarding the allegations of CEMEX, which considers that the attachment to the internal email from MOLINS from July 2013 (folios 4600-4611) listing the concrete companies and their cement supplier is the result of MOLINS's own market research, given the clear difference between the level of detail of the column corresponding to this company and the rest of the cement companies included therein, for which rounded estimates (multiples of 5 and 10) are provided, this Chamber must also reject them since, as stated by the DC, the large amount of information and the degree of detail contained in the tables make it impossible to consider that they are the result of a “market intelligence” effort, as CEMEX claims. As the instructing body points out, the amounts presented in the tables do not refer to global estimates of production or sales of competing companies, but rather reflect a detailed breakdown by client, which is inconceivable that a competing company could achieve. Indeed, considering the number of companies operating in the cement market, and the large number and variety of clients that each of them may have, it is unthinkable that an individual company could have such a volume of information with such a degree of detail without having had access to privileged information from the other companies. </w:t>
        <w:br/>
        <w:t xml:space="preserve">Thus, the Chamber considers that the documents included in the file constitute sufficient and objective evidence of the facts deemed proven by the DC regarding the cement market, and therefore must reject the allegations presented by HOLCIM, CEMINTER, VALDERRIVAS, and CEMEX in this regard. </w:t>
        <w:br/>
        <w:t xml:space="preserve">4.5.2 Accreditation of the infringements in the concrete market: </w:t>
        <w:br/>
        <w:t xml:space="preserve">a) Southern Zone </w:t>
        <w:br/>
        <w:t xml:space="preserve">According to the legal qualification expressed by the DC, the practices carried out by the companies BETON CATALÁN, VALDERRIVAS, ANDEMOSA, HORSEV, PREBRETONG, HISPALENSE, LEFLET, BETONALIA, SURGYPS, POLICHI, PREMACONS PRELHOR, UTRERA, and CREACONS, consisting of the exchange of sensitive commercial information, market sharing, and price agreements from 2005 to 2014 constitute a single and continuous infringement in that geographical area typified in Article 1 of Law 16/1989 and the current Law 15/2007. </w:t>
        <w:br/>
        <w:t xml:space="preserve">According to the facts presented in section IV of this resolution, these anticompetitive practices are considered proven through the following documents collected in the file: </w:t>
        <w:br/>
        <w:t xml:space="preserve">- The documents located on the laptop of the commercial delegate of BETÓN CATALÁN in the Seville area until 2013 (subsequently a commercial of the company CREACONS). Among these documents are a series of monthly follow-up reports from 2005 to 2008, corresponding to the Alcalá plant, in the Seville area (folios 4643 and 4644), in which there is an open discussion about the existence of a so-called “club” in which the concrete companies in the area maintain contacts and meetings for the exchange of sensitive commercial information, market sharing, and price agreements, with the aim of restricting competition. In these reports, it is specified that the works referred to as “LOS PERDIDOS A COMPETENCIA” are “Distributed at the table” works. Additionally, the commercial of BETÓN CATALÁN possesses 15 Excel tables of “Project Tracking.xls” (folio 4645) between April 2007 and March 2008, in which various data about the work is identified (name of promoter and constructor, type of work (housing, warehouses, volume of concrete needed, offered price, etc.). In the tables from April to November 2007, for each work, there is a section called “CIA.ADJUDICATARIA CLUB” and another called “CIA. ADJUDICATARIA REAL,” which includes various concrete companies. </w:t>
        <w:br/>
        <w:t xml:space="preserve">- The electronic correspondence exchanged between employees of the companies HORSEV and BETONALIA during 2010, 2012, and 2013 in which tables and charts of concrete companies (between 12 and 25 companies, according to the tables) associated with different quantities and percentages, as well as various lists of works, are exchanged. This correspondence is associated from May 2013 with a series of self-sent emails by HORSEV to its own email address, which contain the aforementioned updated lists of works. These self-sent emails by HORSEV extend over more than 12 months (until June 2014) totaling more than 70 emails. </w:t>
        <w:br/>
        <w:t xml:space="preserve">- The Excel document, dated May 8, 2013, titled “table games.xls” (folio 4646) collected on the computer of a commercial of CREACONS, which contains – among other tables related to distributions and percentages to each included company – a list of 121 works, coinciding with those in the table “LIST OF WORKS” sent by BETONALIA to HORSEV the day before (folio 4676). </w:t>
        <w:br/>
        <w:t xml:space="preserve">- The electronic correspondence and instant messaging (WhatsApp) exchanged between May 2013 and May 2014 among various employees of HORSEV and BETONALIA in which tables and lists of works are attached and repeated references are made to the sending of schedules and table distributions. From July 2013, it is occasionally used as an intermediary for sending and receiving this correspondence (and the associated distribution tables) to the sister of the sole Administrator of HORSEV, requesting from BETONALIA that she forward them to her brother. </w:t>
        <w:br/>
        <w:t xml:space="preserve">- The WhatsApp messages and emails from 2013 referring to the holding of meetings, called “tables,” between BETONALIA and HORSEV (June 4, folios 4701 and 4702, and December 16, folio 4878) and HORSEV and PREMACONS (July 16, folio 4891, and July 29, folio 4891). </w:t>
        <w:br/>
        <w:t xml:space="preserve">- The email of December 23, 2013, between CREACONS and PREMACONS to which a table with a list of works associated with a series of concrete companies is attached (folios 3740 and 4647). </w:t>
        <w:br/>
        <w:t>- The creation on January 15, 2014, of a WhatsApp group called “Concrete” by an employee of BETONALIA, in which the companies HORMIGONES Y MORTEROS LA RED, S.L., HORMIGONES POLICHI, PREMACONS, BETON CATALAN, PRELHOR, HISPALENSE, and HORSEV were included. PRELHOR sent the following message: “Punctuality tomorrow?” and BETONALIA added: “Tomorrow at 11 at Premacon,” to which PREMACONS noted: “I would stop the nonsense through these means” and PRELHOR added: “This group is not a good idea.” Subsequently, all members began leaving the group (folio 4890).</w:t>
      </w:r>
    </w:p>
    <w:p>
      <w:r>
        <w:rPr>
          <w:b/>
        </w:rPr>
        <w:t>[Pages 103–105]</w:t>
      </w:r>
    </w:p>
    <w:p>
      <w:r>
        <w:t>- The WhatsApp message from May 14, 2014, between HORSEV and D. CREACONS, a WhatsApp message stating that “The right path is table.and to make money for everyone... (…)” (folio 4877).</w:t>
        <w:br/>
        <w:t>- The internal email from VALDERRIVAS dated June 19, 2014, with the subject “HOR. CREACONS-SEVILLA” (folio 4254), in which it reported a meeting held the previous day by the “concrete producers of Seville” where representatives of CREACONS requested to have the percentage that HYMSPA previously held, and a discussion occurred among the participants leading to the departure of the representatives of CREACONS from the meeting. Among other conclusions, the sender considers that “it is good news that the concrete table of Seville is broken.”</w:t>
        <w:br/>
        <w:t>- The handwritten outline “CONSTITUTION TABLE” (folio 3735, undated) collected in CREACONS. In these notes, the compatibility between the “PERSONAL OBJECTIVES” of a series of individuals (“XXX, XXX, XXX, XXX, XXX, and XXX”) and their “COMMON OBJECTIVES” is analyzed, evaluating various alternatives to make those objectives compatible.</w:t>
        <w:br/>
        <w:t>In their allegations to the PCH and to the PR, the various accused companies (except POLICHI, which does not present allegations) argue that the infringement described by the DC has not been proven, as the evidence included in the file and assessed by the DC is not capable of undermining the right to the presumption of innocence guaranteed by the Constitution.</w:t>
        <w:br/>
        <w:t>Thus, the companies HISPALENSE and ANDEMOSA in their respective allegations, both to the PCH and to the PR, argue that they have never known, nor been part of, any cartel, club, or table to exchange information or divide the concrete market, and that they have never attended any meeting where the previous actions were determined. Therefore, they consider that the file has not proven the execution of such practices by these companies.</w:t>
        <w:br/>
        <w:t>For its part, CREACONS claims that there is no document in the file that proves its participation in the meetings of concrete companies in Seville, nor any email or WhatsApp message in which CREACONS exchanges sensitive information with other concrete companies.</w:t>
        <w:br/>
        <w:t>PREBETONG indicates in its allegations that it is unaware of the facts on which the CNMC bases its participation in a market division in the Southern area since the investigation has not been able to accurately describe or, at least, provide an explanation of the characteristics or functioning of such division. The mere mention of PREBETONG in calculations regarding market data cannot prove its participation in an illicit act since there are alternative explanations that demonstrate that the content of these supposed evidences is not sufficient to establish the existence of anti-competitive behaviors.</w:t>
        <w:br/>
        <w:t>Also, PREMACONS in its successive allegations states that neither the PCH nor the PR have proven its participation in any anti-competitive illicit related to the concrete table of Seville in the years 2010, 2012, 2013, and 2014. For PREACONS, the fact that it appears as a recipient or sender of any message is not sufficient to prove its participation in the mentioned meetings or in the market division. Nor does the fact that a table similar to others previously sent among other competitors was found at its headquarters constitute direct evidence of its participation in the infringement. In particular, it also highlights that the DC has not proven that it participated in any of the meetings mentioned in the file (some of which were supposedly held at its own headquarters) since the documents do not prove whether those meetings took place or who attended them.</w:t>
        <w:br/>
        <w:t>In more specific allegations, first, the companies attack the documents located on the computer of the commercial delegate of BETÓN CATALÁN related to the years 2005-2008. Above all, BETÓN CATALÁN points out that any eventual infringement proven by those documents has expired but also adds that this commercial left BETÓN CATALÁN in mid-February 2013 and argues that the fact that these documents were in the possession of a former employee does not determine by itself that they refer to or belong to BETÓN CATALÁN, as it is possible that they were not prepared by the former employee but came from another source. In any case, BETÓN CATALÁN claims to be unaware of the existence of such documents and defends that they do not prove its participation in any infringement.</w:t>
        <w:br/>
        <w:t>On the contrary, VALDERRIVAS does consider these documents to be the work of BETÓN CATALÁN, although it argues that they are internal documents of that company and that VALDERRIVAS has never known or participated in their preparation. It considers that the only mentions of HYMPSA in the tables between 04/15/2007 and 11/30/2007 are internal estimates made by BETÓN CATALÁN based on data that are public and obtained directly from the market – the site manager – as evidenced by the fact that in those works where there is no designated site manager, there are no data.</w:t>
        <w:br/>
        <w:t>In this same line, LEFLET argues that the tables attached to these documents (in particular the one dated 04-15-2007, folio 4645) cannot be considered valid evidence since the mentioned work was not awarded to LEFLET.</w:t>
        <w:br/>
        <w:t>CREACONS also emphasizes that, although these documents were found on a laptop of one of its employees, regarding the period 2005-2008, the aforementioned commercial worked for BETÓN CATALÁN, so these documents cannot be used against CREACONS.</w:t>
        <w:br/>
        <w:t>Regarding the electronic correspondence, messaging, and documentation exchanged between HORSEV and BETONALIA between 2010 and 2014, in its allegations to the PCH, HORSEV acknowledged the existence of meetings and conversations with other concrete companies although denied their anti-competitive nature: “there were indeed meetings and conversations with workers from other companies in the sector to exchange information, such as the percentage of business and billing of the different companies in the area, without that information being considered market division, as the Excel sheets reflect business percentages based on the estimated billings of the different companies or comments about whether one or another was more or less aggressive in their commercial and pricing policy.”</w:t>
        <w:br/>
        <w:t>For its part, BETONALIA, interlocutor of HORSEV in the communications, rejects in its successive allegations to the PCH and to the PR any accusation derived from these mobile phone messages, or WhatsApp, or emails from a commercial of the company, as these messages cannot be constituted as synonymous with practices carried out by the sanctioned company attributable to its administrators. It also states that the tables and lists referred to in various sections of the PCH are emails whose origin is not from the competing company HORSEV, but from its supplier of aggregates SIDEMOSA SL, whose representative coincides with the administrator of HORSEV, so he used the email address of the latter for communication with BETONALIA. It argues that the documents attached to them are market studies prepared by SIDEMOSA and provided by it to BETONALIA for purely informational purposes. It adds that the facts recorded in the different sections that make up the year 2014 in the PCH correspond to the flow of emails between Sidemosa and BETONALIA, in the joint interest of having the most information regarding competitors, something completely lawful for competition purposes.</w:t>
        <w:br/>
        <w:t>The rest of the companies argue that the documents exchanged between HORSEV and BETONALIA cannot serve as evidence against them either. Thus, BETÓN CATALÁN argues that the tables or drafts of these used against it (folios 4648, 4649, 3786, and 3787) should be classified as estimates of their author, HORSEV, being unaware of the reason why BETÓN CATALÁN is mentioned in these documents, which completely ignored these tables. BETÓN reiterates that the fact that it is mentioned in a table prepared by a third party does not demonstrate its participation in any illegal conduct, additionally considering that the data referred to BETÓN CATALÁN is completely erroneous. BETÓN also recalls that in none of the electronic communications referred to the year 2013 mentioned in the PCH does BETÓN CATALÁN appear as the sender or receiver of them.</w:t>
        <w:br/>
        <w:t>For its part, VALDERRIVAS considers that both in the email from HORSEV to BETONALIA dated July 2, 2012 (folios 4648-4649), which contains as an attached document a table in which HYMPSA is cited, as well as in the...</w:t>
      </w:r>
    </w:p>
    <w:p>
      <w:r>
        <w:rPr>
          <w:b/>
        </w:rPr>
        <w:t>[Pages 106–108]</w:t>
      </w:r>
    </w:p>
    <w:p>
      <w:r>
        <w:t>drafts of a table with names of cement and concrete companies (folio 3787), the figures and data are internal projections of its owner, HORSEV and, in any case, notes and documents from a third party unrelated to VALDERRIVAS.</w:t>
      </w:r>
    </w:p>
    <w:p>
      <w:r>
        <w:t>LEFLET also points out that it does not appear in the rest of the tables and evidence from the Southern area, except in two tables exchanged between HORSEV and BETONALIA (distribution of 7-03-2013; folio 4652), where awarded works to LEFLET are recorded.</w:t>
      </w:r>
    </w:p>
    <w:p>
      <w:r>
        <w:t>Regarding the creation on January 15, 2014, by an employee of BETONALIA, of an instant messaging group called “Hormigón” which included the companies HORMIGONES Y MORTEROS LA RED, S.L., HORMIGONES POLICHI, PREMACONS, BETON CATALAN, PRELHOR, HISPALENSE, and HORSEV, related to a meeting to be held at the PREMACONS company the following day, this is also addressed by the involved companies.</w:t>
      </w:r>
    </w:p>
    <w:p>
      <w:r>
        <w:t>Thus, BETÓN CATALÁN states that the company did not request to be included in this group and unilaterally left it two hours after its creation. Furthermore, BETÓN CATALÁN emphasizes that none of its employees are involved in the numerous WhatsApp conversations mentioned in the file.</w:t>
      </w:r>
    </w:p>
    <w:p>
      <w:r>
        <w:t>PRELHOR, in its successive allegations to the PCH and PR, argues that it cannot be considered to have been included in this messaging group since the commercial that the DC considers a representative of PRELHOR (identified as "Prelhorsalva", in reference to his first name) is not an employee or representative of the company but a person with various business activities who used his personal phone to participate in this group. In any case, PRELHOR asserts that, according to this commercial, the group was created to maintain lawful business contacts with colleagues in the concrete sector “and that upon observing the type of conversations that were taking place and that had nothing to do with him, he informed the others that he decided to leave.”</w:t>
      </w:r>
    </w:p>
    <w:p>
      <w:r>
        <w:t>This Chamber understands that the allegations just summarized cannot distort the facts established during the investigation nor the existence in the Southern area of a single and continuous infringement of Article 1 of the LDC from 2005 to 2014, consisting of the exchange of sensitive commercial information, market sharing, and price agreements.</w:t>
      </w:r>
    </w:p>
    <w:p>
      <w:r>
        <w:t>Taking into account the warning from the Supreme Court, which recalled this same year in its judgment of February 15, 2016, that “it is unlikely that the authors of collusive acts will leave documentary evidence of their restrictive or prohibited conduct,” contrary to what all the companies allege, the volume of evidence accumulated by the Competition Directorate during the investigation allows for the existence of the described anticompetitive agreement and the participation of the various involved companies to be established without any doubt.</w:t>
      </w:r>
    </w:p>
    <w:p>
      <w:r>
        <w:t>As previously noted, the documents prepared by third parties that the instructing body takes into consideration must be evaluated individually but also in connection with the rest of the documentation presented as evidence by the DC, taking into account, moreover, that in this case, the documents prepared by third parties have specific characteristics. Thus, in the first place, in general terms, it is not a single document prepared by third parties but a wide plurality of them, in which a pattern of uniform behavior is described and prolonged over several years. It should also be noted that these third-party documents have been exchanged on numerous occasions by at least two companies (BETONALIA and HORSEV), which gives them an added factor of veracity.</w:t>
      </w:r>
    </w:p>
    <w:p>
      <w:r>
        <w:t>Finally, the facts described in these documents prepared by third parties fully align with the rest of the facts established in the file, without the various alternative explanations included by the companies in their allegations being able to contradict the version of their actions pointed out by the instructing body, since the alternative narratives presented are always of lesser plausibility and have little proximity to the reality shown by the collected documents.</w:t>
      </w:r>
    </w:p>
    <w:p>
      <w:r>
        <w:t>It should be noted that companies such as HORSEV have confirmed in their allegations the existence of behaviors of a distinctly anticompetitive nature such as meetings with competitors without, on the contrary, having managed to clarify what the alleged lawful content of the meetings held could be to justify them against the exchange of commercially sensitive information, such as business percentages and billing of other competitors in the area, which have been established in the rest of the transcribed evidence.</w:t>
      </w:r>
    </w:p>
    <w:p>
      <w:r>
        <w:t>In addition to the aforementioned meetings recognized by HORSEV itself and the exchange of information that occurred in them, this company and BETONALIA cannot deny the prolonged exchange of messages and information developed between them, even forcing the use of email accounts of third parties, relatives of the protagonists of the detected infringement, with an obvious intent to conceal it.</w:t>
      </w:r>
    </w:p>
    <w:p>
      <w:r>
        <w:t>The creation on January 15, 2014, of an instant messaging group (WhatsApp) called “Hormigón,” and its dissolution on the same day are, in the opinion of this Chamber, particularly significant. This group was created by an employee of BETONALIA, including a good number of competing companies (HORMIGONES Y MORTEROS LA RED, S.L., HORMIGONES POLICHI, PREMACONS, BETON CATALAN, PRELHOR, HISPALENSE, and HORSEV).</w:t>
      </w:r>
    </w:p>
    <w:p>
      <w:r>
        <w:t>Some companies have claimed the legitimate nature of the aforementioned group, but the messages exchanged, inserted in the context established by the rest of the documentation incorporated into the file, and the abrupt dissolution of the same (folio 4890), after pointing to a meeting to be held the next day at the PREMACONS company and receiving messages protesting the creation of the group (PREMACONS: “I would stop this nonsense through these means”; PRELHOR: “This group is not a good idea”), demonstrate, in the opinion of this Chamber, not only the collusion and concertation of the involved companies for holding meetings among themselves but also the clear awareness among them of the illicit nature of such meetings, given that if their objective were legitimate, there would be no inconvenience in the existence of the group and the exchange of messages through such means. Furthermore, contrary to what several claimants point out (for example, PRELHOR), the exit from the group was neither voluntary nor immediate but, in its case, particularly delayed since it was the last to leave the group on January 19, five days after the other participants and only communicated its exit on January 15 when two other people had already left (folio 4890). On the other hand, the phrase used by the employee of PRELHOR “this group is not a good idea” reveals not that he decided to leave because the conversations had nothing to do with him (in which case, it would suffice to leave the group), but rather responds to the acknowledgment and full awareness of the illicit nature of the communications they were having, and the risk of them, a circumstance that had already been pointed out by another participant in the group, leading to the exit of two members from it. In fact, after the aforementioned message from the employee of PRELHOR, the immediate exit of the rest of the group members occurs.</w:t>
      </w:r>
    </w:p>
    <w:p>
      <w:r>
        <w:t>As the DC states, the explanation provided by PRELHOR regarding the purpose of the group itself is equally implausible. The establishment of a WhatsApp group among “colleagues” from competing companies cannot be considered, as PRELHOR claims, “the most normal thing.” Furthermore, given the content of the messages exchanged within it from the moment of its creation, there is no doubt about its illicit nature.</w:t>
      </w:r>
    </w:p>
    <w:p>
      <w:r>
        <w:t>Regarding the particular allegations concerning PREMACONS, there is abundant evidence in the PCH, consisting of WhatsApp messages and emails in many of which PREMACONS appears as recipient or sender, which unequivocally confirm PREMACONS' participation in the calling of periodic meetings, participation in the “table,” market sharing, and exchange of information in the concrete market in the Southern area, as specifically detailed by the DC in the PR.</w:t>
      </w:r>
    </w:p>
    <w:p>
      <w:r>
        <w:t>As for the tables that several companies do not consider evidential of the infringement (LEFLET), they constitute evidence of the market and client sharing organized by the Seville table. Moreover, contrary to what LEFLET claims, the facts recorded in the PCH confirm that LEFLET is included in countless tables of client distribution in the years 2012, 2013, and 2014.</w:t>
      </w:r>
    </w:p>
    <w:p>
      <w:r>
        <w:t>Similarly, against what CREACONS claims, there is abundant evidence in the file, consisting of WhatsApp messages, emails, in which CREACONS appears as recipient or sender in many, which unequivocally confirm not only that CREACONS was aware of the existence of the agreement or “table” (folio 4877), but that it participated in it, and in the consequent exchange of sensitive information that occurred.</w:t>
      </w:r>
    </w:p>
    <w:p>
      <w:r>
        <w:rPr>
          <w:b/>
        </w:rPr>
        <w:t>[Pages 109–111]</w:t>
      </w:r>
    </w:p>
    <w:p>
      <w:r>
        <w:t>within it to determine the market allocation among them, which is reflected in numerous Excel tables, in which CREACONS explicitly appears (folios 4646 and 4676). Furthermore, CREACONS also appears in a WhatsApp message with another competitor (HORSEV) (folio 4877), which reveals the close contact they maintained with each other, as well as that through these communications, they discussed the possibility/necessity of participating in it "to make money."</w:t>
        <w:br/>
        <w:t>Thus, the Chamber considers that the documents included in the file constitute sufficient and objective evidence of the facts deemed proven by the DC regarding the cement market, and therefore must reject the allegations presented by BETON CATALÁN, VALDERRIVAS, ANDEMOSA, HORSEV, PREBRETONG, HISPALENSE, LEFLET, BETONALIA, SURGYPS, POLICHI, PREMACONS PRELHOR, UTRERA, and CREACONS.</w:t>
        <w:br/>
        <w:t>b) Central Zone:</w:t>
        <w:br/>
        <w:t>According to the legal qualification expressed in the PR by the instructing body, the practices consisting of the exchange of sensitive commercial information, market allocation of concrete, and price agreements carried out from 2009 to 2014 in the so-called Central Zone by the companies BETON CATALÁN, VALDERRIVAS, COMERCIAL ARROYO, TENESIVER, HORMIBUSA, LAFARGE, CEMEX, and MAHORSA, constitute a single and continuous infringement classified under Article 1 of Law 16/1989 and the current Law 15/2007. According to the facts presented in section IV of this resolution, these anticompetitive practices are considered proven through the following documents collected in the file:</w:t>
        <w:br/>
        <w:t>- A table titled “OBRAS VALLADOLID,” dated May 4, 2009, collected during the inspection of the company BETÓN CATALÁN, which contains details of potential suppliers and awarded works (folio 3538). Within the column corresponding to “POTENTIAL SUPPLIERS,” the expression “regular customer” appears several times, as well as the expression: “I request the collaboration of the company HYMPSA.”</w:t>
        <w:br/>
        <w:t>- An email exchanged on August 4, 2010, between a Plant Manager of the company HYMPSA and an employee of BETÓN CATALÁN regarding manufacturing costs (folio 2038).</w:t>
        <w:br/>
        <w:t>- An email exchanged on June 10, 2011 (folio 2938) between the companies BETÓN CATALÁN and VALDERRIVAS in which a price for cement is requested “because we have possibilities of sharing works with other concrete companies and being able to unify the cement facilitates carrying out these operations.”</w:t>
        <w:br/>
        <w:t>- An internal commercial report from VALDERRIVAS from May 2013 (folio 3495) about COMERCIAL ARROYO, a customer dedicated to construction materials, in which an agreement with HORMIBUSA to share a project on a wastewater treatment plant in Burgos is mentioned.</w:t>
        <w:br/>
        <w:t>- An internal email from BETÓN CATALÁN dated November 13, 2013 (folio 2944), in which the situation of a customer from Ávila who is going to build a sports hall is discussed: “Due to certain movements we are trying to carry out around here with the intention of raising prices and improving the market situation, there is a possibility that this project will be contracted directly by TENESIVER but we will supply it.”</w:t>
        <w:br/>
        <w:t>- An internal email from BETÓN CATALÁN dated April 21, 2014 (folio 2945) explaining a tripartite collaboration agreement between BETÓN CATALÁN, TENESIVER, and COMERCIAL ARROYO, in which BETÓN CATALÁN commits to purchase the cement distributed by COMERCIAL ARROYO from VALDERRIVAS in exchange for the closure of the COMERCIAL ARROYO concrete plant and that this company will supply its works from the BETÓN CATALÁN plant.</w:t>
        <w:br/>
        <w:t>- An internal email from VALDERRIVAS dated June 6, 2014 (folio 3520), in which a meeting held between LAFARGE, BETÓN, CEMEX, MAHORSA, and VALDERRIVAS to agree on the allocation of works among these companies is discussed.</w:t>
        <w:br/>
        <w:t>In their allegations to the PCH and to the PR, the investigated companies argue that the documents presented by the DC do not allow for the proof of the infringing conduct attributed to them.</w:t>
        <w:br/>
        <w:t>Regarding the meeting dated June 2014, both in the PCH and in the PR, the DC states that the cited documentation sufficiently proves that the companies MAHORSA, LAFARGE, BETÓN CATALÁN, and CEMEX, as well as the company authoring the email, VALDERRIVAS, met around June 6, 2014, to allocate concrete supplies to certain works in the Central Zone, thus preventing effective competition in the sector, in which each company would offer its products to each customer at a determined price not known in advance by any competitor.</w:t>
        <w:br/>
        <w:t>In their allegations to both the PCH and the PR, the five companies cited as attendees of the aforementioned meeting (MAHORSA, LAFARGE, CEMEX, BETÓN CATALÁN, and VALDERRIVAS) deny their participation in it and even any knowledge of its occurrence, providing some alternative explanations to the facts narrated in the cited email, related to the cessation of the activity of the company HYMPSA.</w:t>
        <w:br/>
        <w:t>VALDERRIVAS, as the company from which the email originates, explains in its successive allegations to the PCH (folios 7043-7045) and to the PR that at that time it was looking for suppliers who could take over the supply of the works to which HYMPSA was committed, with the aim of avoiding harm to customers due to its exit from the market (although it clarifies that they were free to seek any other supplier). According to VALDERRIVAS in its allegations to the PR, “the fact that the email from the CPV employee [VALDERRIVAS] to MATT refers to a multilateral meeting that did not take place probably stems from a misunderstanding of the information conveyed, since while there was a single meeting with a single company (MAHORSA), the truth is that the intention was to contact as many companies as necessary successively.”</w:t>
        <w:br/>
        <w:t>The other accused companies basically agree with this version. Thus, both in relation to the PCH and to the PR, MAHORSA states that it never participated in the aforementioned meeting nor in any other and is unaware if it ultimately took place or if it is an invention of the sender. However, it acknowledges that throughout 2014 it may have had some meetings with other companies in the sector through the business associations to which it belongs (AFA, ANEFA, ANEFHOP). It also acknowledges that during the summer of 2014 it held several meetings with a representative of HYMPSA regarding the possibility of renting or transferring some concrete manufacturing plants. For these purposes, it held a meeting with the representative of HYMPSA on May 29, 2014. Finally, MAHORSA reports that the HYMPSA plants were transferred to another company (HORMIGONES MAT).</w:t>
        <w:br/>
        <w:t>Similarly, in its successive allegations, LAFARGE denies having attended said meeting and considers that it is not substantiated as it is merely mentioned in a document from third parties which, by itself and without any other supporting document, is insufficient to sustain the accusation. It also points out that this allegation is consistent with the statements of the other companies considered attendees and concludes that it believes that only MAHORSA participated in such a meeting. It considers that the DC demands a devilish proof by requiring LAFARGE to prove its non-attendance at the meeting.</w:t>
        <w:br/>
        <w:t>For its part, CEMEX states that it has no knowledge or record of any meeting with the companies mentioned in the email, nor of any “allocation of works” with them. It is unaware of what the author of the email refers to and therefore does not recognize any evidentiary value to it. Furthermore, CEMEX argues that no further evidence regarding this matter was found during the home inspections.</w:t>
        <w:br/>
        <w:t>Finally, BETÓN CATALÁN states that the internal email from VALDERRIVAS does not prove the existence of any cartel agreement nor, specifically, the participation of BETÓN CATALÁN in said meeting. Although it claims that it did not participate in any meeting and is unaware of the existence of these meetings, it ventures that the email mentions 2015 but should be 2014 according to what the rest of the allegations state.</w:t>
      </w:r>
    </w:p>
    <w:p>
      <w:r>
        <w:rPr>
          <w:b/>
        </w:rPr>
        <w:t>[Pages 112–114]</w:t>
      </w:r>
    </w:p>
    <w:p>
      <w:r>
        <w:t>of any cartel and specifically the participation of BETÓN CATALÁN in that meeting. Although it claims that it did not participate in any meeting and is unaware of the existence of these meetings, it ventures the possibility that the email refers to the list of pending clients that HYMPSA left behind upon its disappearance. In its allegations to the PR, BETÓN CATALÁN reiterates that it did not participate in any meeting with the companies mentioned in the email and asserts that the reference made by the author of the email to its company must necessarily constitute an error or a falsehood. BETÓN did not participate in any meeting, not even a bilateral one with HYMPSA, either for a distribution of works or to negotiate the possible subrogation in the works attended by this company, and ultimately did not subrogate in any of these works.</w:t>
      </w:r>
    </w:p>
    <w:p>
      <w:r>
        <w:t>Regarding the rest of the evidentiary documents and facts pointed out by the DC, the companies also offer alternative explanations. Thus, in reference to the table “OBRAS VALLADOLID” from May 2009 collected during the inspection of BETÓN CATALÁN (folio 3538), this company states in its allegations that it is a tracking table of the various works in the market with objective data regarding each of them, which makes it a pro-competitive instrument. According to BETÓN, “a tracking table makes sense and is innocuous not only when it reflects awarded works but also when it reflects ongoing or planned works.” It also points out that the lack of attribution to the companies mentioned in that table (ARIHORVA, HOLCIM, LAFARGE, HOMRICASA, GENERAL, and CENHAS) and the prescription indicated by the DC regarding the responsibility of HYMPSA prevents it from being considered as valid evidence of the responsibility of BETÓN CATALÁN. The expression “I request the collaboration of the company HYMPSA” referred to the client Fomento de Construcciones y Contratas (FCC) relates to the fact that FCC is the parent company of HYMPSA and usually contracts with it for its supply. The mention reflects, according to BETÓN, its attempt to convince FCC not to carry out the work with its own subsidiary but with BETÓN itself, which is perfectly lawful since “it is a direct negotiation with the client, not a negotiation with a competitor for the supply of a third party, because the competitor and the third party are the same. Regarding FCC, HYMPSA is not a competitor of Betón Catalán or anyone: it is the concrete branch of FCC.”</w:t>
      </w:r>
    </w:p>
    <w:p>
      <w:r>
        <w:t>Regarding the email dated August 4, 2010, exchanged between HYMPSA and BETÓN CATALÁN (folio 2038), BETÓN explains that it includes the price list for the sale and supply of concrete by HYMPSA to BETÓN CATALÁN, given that the latter was considering closing its production plant in a municipality in the province of Zamora but was evaluating the possibility of remaining as a concrete marketer, reselling that of other manufacturers. The document reveals, according to BETÓN, the negotiation of a possible supplier-client relationship adopted unilaterally by the companies and not a concerted action with competitors for market sharing. BETÓN CATALÁN attached to its allegations to the PCH the tax form submitted after closing the plant and a report of its operating results for 2012.</w:t>
      </w:r>
    </w:p>
    <w:p>
      <w:r>
        <w:t>BETÓN alleges that the email dated June 10, 2011 (folio 2938) exchanged with VALDERRIVAS in which a price for cement is requested, is framed within a client-supplier relationship for cement, whereby the former requests a price for cement for future possible joint projects in the area. In its allegations to the PR, BETÓN considers that the DC ultimately does not attribute any responsibility to it based on this document, given that it is the only company charged for actions in the Central Zone in 2011 and finds it absurd to consider proven the existence of any anti-competitive agreement when only the participation of one company is recorded.</w:t>
      </w:r>
    </w:p>
    <w:p>
      <w:r>
        <w:t>In its allegations to the PCH and to the PR, COMERCIAL ARROYO argues that the instruction has not proven its participation in the conduct attributed to it due to errors in the information incorporated into the file regarding the company and in the interpretation of the internal emails of VALDERRIVAS and BETÓN that support its attribution. COMERCIAL ARROYO states that its main activity is the distribution of cement and not the manufacture of concrete or ready-mixed concrete. Therefore, the two cited emails are framed within its activity as a cement distributor, so they cannot support its participation in an exchange of commercial information and market sharing in the concrete market, given that they do not reveal any type of anti-competitive agreement. Thus, in the internal email from VALDERRIVAS dated May 21, 2013 (folio 3495), COMERCIAL ARROYO claims to act as a cement distributor for VALDERRIVAS and denies that the mentions in the email regarding HYMPSA relate to the references to the works of the Zamora-Benavente highway and the sections of the AVE to Galicia that it points out, which were not awarded to VALDERRIVAS. It also states that it cannot be asserted that this email proves that COMERCIAL ARROYO negotiated with VALDERRIVAS the transfer of concrete plants and works of HYMPSA in Zamora or Burgos. In any case, ARROYO points out that the content of the email would be a reference testimony from an indirect source, with the limitations that the doctrine of the Constitutional Court has indicated for such types of evidence to undermine the presumption of innocence. Regarding the internal email from BETÓN CATALÁN dated April 21, 2014 (folio 2945), COMERCIAL ARROYO states that the mentions about it in the cited email are also made in its capacity as a cement distributor. It adds that TENESIVER has historically been its client and owed it a significant amount, so the email only reveals that COMERCIAL ARROYO raised the possibility of supplying cement directly to BETÓN CATALÁN, a company of recognized solvency, in order to avoid the risk of non-payment by TENESIVER.</w:t>
      </w:r>
    </w:p>
    <w:p>
      <w:r>
        <w:t>TENESIVER, for its part, argues that its attribution is based on two internal emails from BETÓN CATALÁN in which its commercial relationship with TENESIVER is mentioned, in which no conduct contrary to the LDC is proven. Regarding the internal email from BETÓN dated April 21, 2014 (folio 2945), it argues that this email is framed within the negotiations at the end of 2013 with BETÓN CATALÁN that led TENESIVER to decide to close its concrete plant in Valladolid at the beginning of 2014 and to start supplying from BETÓN CATALÁN, since the production cost of its plant was higher than the price offered by BETÓN CATALÁN. TENESIVER claims to be unaware of what the mentions about “movements” made by BETÓN CATALÁN “with the intention of raising prices” included in the internal email from BETÓN CATALÁN dated November 13, 2013 (folio 2944) may refer to. Regarding the email from BETÓN CATALÁN dated April 21, 2014 (folio 2945), it states that it responds to the need to guarantee the collection of the significant debt incurred with its cement supplier COMERCIAL ARROYO after closing its production plant in Valladolid, making it the cement supplier for BETÓN CATALÁN.</w:t>
      </w:r>
    </w:p>
    <w:p>
      <w:r>
        <w:t>According to BETÓN CATALÁN, the internal email from BETÓN CATALÁN dated April 21, 2014 (folio 2945) is used by the DC to justify the reality of the facts on which it bases the imputations it makes to the companies under investigation. However, there is only a subcontracting in perfect accordance with the rules set by the European Commission in its guidelines on subcontracting agreements. TENESIVER ensured that it could have the necessary concrete for its activity, without having to bear the costs of its own plant by purchasing it from BETÓN CATALÁN, which, for its part, guaranteed a supply of cement at a non-high price and obtained a recurring client established in the concrete market of Valladolid. The agreements have an evident economic justification. BETÓN CATALÁN provides documentation to prove the relationship maintained with TENESIVER consisting of invoices and a tax declaration extract.</w:t>
      </w:r>
    </w:p>
    <w:p>
      <w:r>
        <w:t>As has been stated regarding the previous infringements examined, this Chamber understands that the allegations made by the companies cannot undermine the proven facts and, consequently, must be dismissed. As has been explained, the documents prepared by third parties that the instructing body takes into consideration – in this case, the internal email from VALDERRIVAS dated June 6, 2014 (folio 3520), in which a meeting held with LAFARGE, BETÓN, CEMEX, MAHORSA is discussed to agree on the distribution of works among these companies – must be valued individually but not in isolation, but in connection with the rest of the documentation presented as evidence by the DC.</w:t>
      </w:r>
    </w:p>
    <w:p>
      <w:r>
        <w:t>As has been noted before, this document again constitutes direct documentary evidence of the infringement against its author – VALDERRIVAS – which in none of its successive allegations has managed to provide an acceptable alternative explanation for the contacts and meetings narrated in that email. In relation to the other companies mentioned in the email – LAFARGE, BETÓN, CEMEX, MAHORSA – it is a document prepared by a third party in whose preparation none of them participated, but, however, as the DC rightly points out in the PR, there is no incentive for the author of the email to narrate a non-existent meeting with any of these companies, given that this email could be used against him as evidence of an exchange of information about prices with a competing company.</w:t>
      </w:r>
    </w:p>
    <w:p>
      <w:r>
        <w:rPr>
          <w:b/>
        </w:rPr>
        <w:t>[Pages 115–117]</w:t>
      </w:r>
    </w:p>
    <w:p>
      <w:r>
        <w:t>On the other hand, the Chamber notes that the rest of the documents submitted by the DC as evidence of the conduct – such as the table “OBRAS VALLADOLID”, from May 2009 (folio 3538) or the internal email from BETÓN CATALÁN dated November 13, 2013 (folio 2944) – also serve as evidence against their own authors, being consistent with the rest of the evidence examined in the file regarding the accreditation of the exchange of sensitive information, market sharing of concrete, and price agreements.</w:t>
      </w:r>
    </w:p>
    <w:p>
      <w:r>
        <w:t>Thus, the Chamber considers that the documents included in the file constitute sufficient and objective evidence of the facts deemed accredited by the DC regarding the cement market, and therefore must reject the allegations presented by BETON CATALÁN, VALDERRIVAS, COMERCIAL ARROYO, TENESIVER, HORMIBUSA, LAFARGE, CEMEX, and MAHORSA.</w:t>
      </w:r>
    </w:p>
    <w:p>
      <w:r>
        <w:t xml:space="preserve">c) Northeast Zone </w:t>
        <w:br/>
        <w:t xml:space="preserve">According to the legal qualification expressed by the DC in the PR, the practices carried out by the companies BETON CATALÁN, VALDERRIVAS, CEMEX, HANSON, LAFARGE, and PROMSA in the Northeast area of Spain from 1999 to 2014, consisting of the exchange of sensitive commercial information, market sharing of concrete, and price agreements, constitute a single and continuous infringement in that geographical area as defined in Article 1 of Law 16/1989 and the current Law 15/2007. According to the facts presented in section IV of this resolution, these anticompetitive practices are considered accredited through the following documents collected in the file: </w:t>
        <w:br/>
        <w:t xml:space="preserve">- A table titled “PRESUPUESTOS DE BARCELONA”, dated October 19, 2000, which includes a chart of production sharing among CEMEX, Readymix Asland (previous name of LAFARGE), Hormigones Uniland (ultimately absorbed by VALDERRIVAS), Pioneer Concrete Hispania (former name of HANSON), PROMSA, and BETÓN CATALÁN, and others not identified. </w:t>
        <w:br/>
        <w:t xml:space="preserve">- A series of reports, tables, handwritten notes, and faxes, related to the year 2001 and interconnected, located in the office of an executive responsible for the Barcelona Zone of BETÓN CATALÁN. Among them, the following stand out: </w:t>
        <w:br/>
        <w:t xml:space="preserve">a) the document “PRINCIPIOS FUNDAMENTALES DEL ACUERDO” (folio 2808) describes the articulation of the market sharing agreement indicating that it is a “GENTLEMAN'S AGREEMENT”; </w:t>
        <w:br/>
        <w:t xml:space="preserve">b) the document titled “INFORME AL SR. XXX” (folio 2089), while recounting the loss of trust among the companies regarding the sharing, documents the identity of some of the participating companies in the shares – specifically mentioning the companies PROMSA, ASLAND, PIONEER, CEMEX, and UNILAND. </w:t>
        <w:br/>
        <w:t xml:space="preserve">c) The tables “CLIENTES ADICTOS AREA METROPOLITANA” (folios 2815-2820) and from May 16, 2001 (folio 2811) that detail clients and percentages assigned to different companies. </w:t>
        <w:br/>
        <w:t xml:space="preserve">d) Various handwritten notes (folios 2850 and 2872) and faxes (folios 2860-2865; 2856 and 2857; 2845 and 2846) related to awarded works and addicted clients. </w:t>
        <w:br/>
        <w:t xml:space="preserve">e) Various client lists dated June 2001 (folios 2916 to 2929), which include expressions such as: “BARNA-COMPARTIDO”, “CLIENTES ADICTOS-ASIDUOS ZONA MASSO”, “NO HAY ADICTOS.” </w:t>
        <w:br/>
        <w:t xml:space="preserve">f) Several client tables dated June 25 (sent by fax) and October 1, 2001 (folios 2821 to 2823 and 2849), in which expressions such as these are used: "CLIENT: WORK OF SPECIAL INTEREST TO BE RESPECTED BY ADDICT." </w:t>
        <w:br/>
        <w:t xml:space="preserve">- A file collected at the BETÓN CATALÁN headquarters, titled “Notas.xls” dated February 20, 2003, addressed to Executives of BETÓN CATALÁN, referring to a conversation with an employee of PROMSA regarding the assignment of a work. </w:t>
        <w:br/>
        <w:t xml:space="preserve">- Handwritten notes also collected in the office of an executive of BETÓN CATALÁN (folios 2813 and 2814) mentioning the possibility of sharing works “in UTE or without.” </w:t>
        <w:br/>
        <w:t xml:space="preserve">- Two emails from August 2005 (folios 4008 and 4009), sent by an employee of UNILAND to two employees of HANSON and copied to various people from MOLINS, BETON CATALÁN, UNILAND, and PROMSA, mentioning a meeting of a so-called “management committee” that gave specific instructions on the companies that should execute certain production. </w:t>
        <w:br/>
        <w:t xml:space="preserve">- Ten letters communicating price increases for concrete located during the inspection carried out at BETÓN CATALÁN and issued between October 16 and December 14, 2006, by competitors of this company (LAFARGE, HANSON, UNILAND, PROMSA, MOLINS, HORMICONSA, FORMIGONS, PROPAMSA, and CEMEX) in which the recipient is not specified. There is also a letter collected at the BETÓN CATALÁN headquarters dated January 16, 2007, regarding a price increase for concrete starting January 1, 2007, for a specific work by PROMSA (folio 2790). </w:t>
        <w:br/>
        <w:t xml:space="preserve">- An email dated May 16, 2008, between PROMSA and BETÓN CATALÁN attaching a price list from PROMSA (folios 2035 and 2036). </w:t>
        <w:br/>
        <w:t xml:space="preserve">- Internal emails from BETÓN CATALÁN from August 2008 (folios 3528 and 2037) commenting on contacts and meetings with competitors (PROMSA, LAFARGE). </w:t>
        <w:br/>
        <w:t xml:space="preserve">- Internal emails from BETÓN CATALÁN from February (folio 3529) and August 2009 (folio 2934) describing various contacts with competitors (CEMEX in February, PROMSA and LAFARGE in August) to avoid loss of clients or share works. </w:t>
        <w:br/>
        <w:t xml:space="preserve">- Internal emails from BETÓN CATALÁN from July (folio 3544) and October 2010 (folio 2039) considering a work in Palma de Mallorca “out of zone” (folio 3544) and commenting on the production of competitors CEMEX and READYMIX (folio 2039). </w:t>
        <w:br/>
        <w:t xml:space="preserve">- Internal emails from BETÓN CATALÁN from December 2010 (folio 2041) related to the accounting of HORMESA (a company participated by CEMEX, BETÓN CATALÁN, and HANSON). </w:t>
        <w:br/>
        <w:t xml:space="preserve">- An internal email from March 2011 from BETÓN CATALÁN (folio 2936) commenting on the rejection of a price and supply request from a potential client for being assigned to a competitor. </w:t>
        <w:br/>
        <w:t xml:space="preserve">- An email sent from CEMEX to BETÓN CATALÁN on May 5, 2011 (folio 2043) attaching “new prices to be applied from May first” and commenting on the need to achieve “greater stabilization of the concrete market.” </w:t>
        <w:br/>
        <w:t xml:space="preserve">- A series of emails exchanged between MOLINS and PROMSA in November 2011 (folio 4014), regarding the work called C-40 in which contacts are described to achieve the supply of the work in UTE. </w:t>
        <w:br/>
        <w:t xml:space="preserve">- An internal email from BETÓN CATALÁN dated February 22, 2012 (folio 2960) related to contacts with CEMEX to jointly carry out a work for Mercadona in Montblanc through two contracts. </w:t>
        <w:br/>
        <w:t xml:space="preserve">- Emails exchanged between MOLINS and PROMSA in April 2012 (folio 4597) regarding the possibility of forming a UTE with various competing companies (BETÓN CATALÁN, HANSON, CEMEX). </w:t>
        <w:br/>
        <w:t>- Emails from August 2012 exchanged between HANSON, BETÓN CATALÁN, and PROMSA to determine prices for the work called “Dique” (folios 2939 and 2940) in which a price increase of €1.5/m3 is decided.</w:t>
      </w:r>
    </w:p>
    <w:p>
      <w:r>
        <w:rPr>
          <w:b/>
        </w:rPr>
        <w:t>[Pages 118–120]</w:t>
      </w:r>
    </w:p>
    <w:p>
      <w:r>
        <w:t>- Internal email from BETÓN CATALÁN dated August 2, 2013, regarding a joint offer with the company UNILAND (folio 2942).</w:t>
        <w:br/>
        <w:t>- Message dated September 30, 2013, from the Construction Manager of CEMEX expressing interest in the award of a project (folio 2553).</w:t>
        <w:br/>
        <w:t>- Email dated January 28, 2014 (folio 5112) from MOLINS to BETÓN CATALÁN discussing the supply of works from Acciona and Sacyr and various "revenge" and reprisals ("an eye for an eye") for the "lack of (the obligated) understanding of the respective responsible parties."</w:t>
        <w:br/>
        <w:t>- Emails from the companies BETÓN CATALÁN and Sorigué from August 2014 discussing disputes over the supply to "historical" clients of another concrete company and requesting BETÓN's collaboration to resolve it in relation to CEMEX.</w:t>
        <w:br/>
        <w:t>- An internal email from BETÓN CATALÁN dated August 11, 2014, which includes three Excel tables with data from July 2014 on works, clients, m3, portfolio, as well as production data from competitors in Tarragona contained in the third of the tables (folios 2947 to 2950).</w:t>
        <w:br/>
        <w:t>- An internal email from BETÓN CATALÁN dated September 3, 2014, which includes a table with current production and "production forecast" of the companies BETÓN CATALÁN, HORMICEMEX, SUMINISTROS IBIZA, S.A., PARROT, S.A., and RAMPUIXA, S.A. in Ibiza.</w:t>
        <w:br/>
        <w:t>In their allegations to the PCH and the PR, the investigated companies argue that the documents presented by the DC do not allow for the substantiation of the infringing behaviors attributed to them.</w:t>
        <w:br/>
        <w:t>Regarding the documents collected during the inspection of BETÓN CATALÁN dated from 2000 to 2004 - especially the documents "FUNDAMENTAL PRINCIPLES OF THE AGREEMENT" (folio 2808) which describes the so-called "GENTLEMAN'S AGREEMENT" for market sharing, "REPORT TO MR. XXX" (folio 2089), which recounts the evolution of said agreement and the loss of trust among the companies regarding the sharing and documents the identity of some of the participating companies, as well as the tables, reports, handwritten notes, and faxes that accompany it, none of the accused companies offers any explanation or justification, beyond claiming total ignorance of them and the facts narrated in those documents.</w:t>
        <w:br/>
        <w:t>This ignorance includes the company BETÓN CATALÁN, from whose inspection these documents were collected.</w:t>
        <w:br/>
        <w:t>In this regard, BETÓN CATALÁN states in its allegations to the PCH and the PR that it cannot confirm, deny, or clarify the content of the 1999 document, which it relates to a former employee who has not provided services to the company since January 2001. Regarding the 2003 documents (market sharing table) and 2004, BETÓN claims that they are poorly dated documents corresponding to the year 2001, so they would involve time-barred behaviors.</w:t>
        <w:br/>
        <w:t>For its part, PROMSA states that it cannot provide any information regarding the scope and meaning of the documentation found at the BETÓN CATALÁN headquarters dated between 1999 and 2003. In any case, it considers that this documentation does not prove PROMSA's participation in any agreement for the exchange of sensitive information or market sharing. For PROMSA, these are internal documents of an operator, relating in any case to its commercial strategy and market vision and do not prove the effective participation of any other operator in the behaviors they describe.</w:t>
        <w:br/>
        <w:t>VALDERRIVAS also claims total ignorance regarding the origin, authors, context, and purpose of the documents found at the BETÓN CATALÁN headquarters corresponding to 2001 and does not make allegations regarding them.</w:t>
        <w:br/>
        <w:t>Regarding the 2005 documents related to joint ventures, BETÓN CATALÁN maintains that they have an alternative explanation and therefore do not constitute sufficient evidence of the commission of restrictive competition behaviors.</w:t>
        <w:br/>
        <w:t>For its part, regarding its email related to the submission of a joint offer with Uniland to a specific client, BETÓN considers that this joint venture was entirely justified and that this document in which the partners of that joint venture discuss the price at which to sell the product is completely normal and usual.</w:t>
        <w:br/>
        <w:t>Regarding the behaviors referred to from 2005 to 2007, it points out that the percentage of production that PROMSA has supplied through joint ventures or collaboration contracts with other concrete companies has represented a very low percentage of the total works carried out by PROMSA. Also, in 2008, reference is made to the facts recorded in section 134 of the PCH, which concern the collaboration carried out jointly by the companies LAFARGE, BETÓN CATALÁN, and PROMSA to supply the AVE SAN JOSÉ project.</w:t>
        <w:br/>
        <w:t>BETÓN CATALÁN asserts that the three Excel tables from August 2014 (folios 2947 to 2950) included as evidence in the file only contain real data from BETÓN CATALÁN's own plant in Tarragona, while the rest of the data on the production of the entire Tarragona market are estimates, as evidenced by the fact that these estimates are reflected in round numbers and not exact figures as claimed by the DC, and are also data of some age. BETÓN considers that this information can be easily obtained in the market by observing the number of concrete mixer trucks operating at each plant. As for folios 2050 to 2053, like the previous ones, they include real data on BETÓN CATALÁN's production and easily observable market estimates.</w:t>
        <w:br/>
        <w:t>LAFARGE also rejects that the table inserted in the internal email from BETÓN in August 2014 is anything other than estimates, given that its actual sales data in Tarragona do not match those expressed in the table.</w:t>
        <w:br/>
        <w:t>CEMEX also claims the absence of probative value of the tables attached to the internal emails of BETÓN CATALÁN dated August 11, 2014 (folio 2946) and September 3, 2014 (folio 2946). It considers that they are the result of estimates made by BETÓN CATALÁN, which is corroborated by the title of the table "Production Estimates Market of Tarragona" (August 11), and by the fact that the competitor figures are round numbers unlike the figures from BETÓN CATALÁN as the author.</w:t>
        <w:br/>
        <w:t>Regarding the email dated January 28, 2014 (folio 5112) from MOLINS to BETÓN CATALÁN, the latter claims in its allegations that it describes only a completely trivial episode of disagreement or misunderstanding in the day-to-day execution of this work that they were carrying out jointly at the client's own decision, in which discrepancies were occurring.</w:t>
        <w:br/>
        <w:t>The Chamber considers that the allegations presented by the companies substantially coincide with those previously presented by them to the PHC and were already examined and adequately responded to by the DC in its PR. Thus, the Chamber considers that the documents included in the file constitute sufficient and objective evidence of the facts deemed proven by the DC regarding the cement market, and therefore must reject the allegations presented and consider the infringement of Article 1 of the LDC by BETÓN CATALÁN, VALDERRIVAS, CEMEX, HANSON, LAFARGE, and PROMSA in the Northeast area of Spain from 1999 to 2014, consisting of the exchange of sensitive commercial information, market sharing of concrete, and price agreements.</w:t>
        <w:br/>
        <w:t>4.6. Individualization of behaviors</w:t>
        <w:br/>
        <w:t>Once the partial prescription of behaviors for some of the accused companies has been considered, the individual responsibility of the companies is as follows:</w:t>
        <w:br/>
        <w:t>1. CEMENTOS PORTLAND VALDERRIVAS, S.A. (VALDERRIVAS)</w:t>
        <w:br/>
        <w:t>1. Exchange of sensitive commercial information and market sharing of cement, for its own actions in 2013 and 2014</w:t>
        <w:br/>
        <w:t>The behaviors are substantiated, among others, in the following folios: 3498, 3500, 3513, 3514, 3515, 3516, 3517, 3519, 4252, 3522.</w:t>
        <w:br/>
        <w:t>2. Exchange of sensitive commercial information and market sharing of concrete:</w:t>
        <w:br/>
        <w:t>c. in the northeast area, for the actions of UNILAND: 2011 and 2013 (folios 4014 and 2942).</w:t>
      </w:r>
    </w:p>
    <w:p>
      <w:r>
        <w:rPr>
          <w:b/>
        </w:rPr>
        <w:t>[Pages 121–123]</w:t>
      </w:r>
    </w:p>
    <w:p>
      <w:r>
        <w:t>d. in the central area, due to its own actions in 2014 (folios 2945 and 3520).</w:t>
        <w:br/>
        <w:t>e. in the southern area,</w:t>
        <w:br/>
        <w:t>ii. due to the actions of HYMPSA: 2010, 2012, 2013, and 2014</w:t>
        <w:br/>
        <w:t>The behaviors are evidenced, at least, in the following folios: folios 4648, 4649, 3787, 4651 and 4652, 4646, 4639 and 4640, 4663 and 4664, 4665 and 4666, 4667 to 4672, 4675 and 4676, 4677 and 4678, paragraph 187 of the PCH, 4693 and 4694, 4701 and 4702, 4733, 4745 and 4746, 4747 and 4748, 4789 and 4790, 4801 and 4802.</w:t>
        <w:br/>
        <w:t>iii. due to its own actions: 2014 (folio 4254).</w:t>
        <w:br/>
        <w:t>3. Exchange of sensitive commercial information and price agreement in the concrete market in the northeastern area due to the actions of UNILAND in 2013 (folio 2492).</w:t>
        <w:br/>
        <w:t>2. CEMEX ESPAÑA OPERACIONES, S.L.U. (CEMEX)</w:t>
        <w:br/>
        <w:t>1. Exchange of sensitive commercial information and market allocation of cement in 2013 (folios 4600 to 4611).</w:t>
        <w:br/>
        <w:t>2. Exchange of sensitive commercial information and market allocation of concrete:</w:t>
        <w:br/>
        <w:t>a. In the northeastern area in 2012, 2013, and 2014.</w:t>
        <w:br/>
        <w:t>The behaviors are evidenced, at least, in the following folios: 2960, 2553, 4597, 2946, 2947 to 2950, 2050 to 2053.</w:t>
        <w:br/>
        <w:t>b. In the central area in 2014 (folio 3520).</w:t>
        <w:br/>
        <w:t>3. LAFARGE CEMENTOS, S.A. (LAFARGE)</w:t>
        <w:br/>
        <w:t>1. Exchange of sensitive commercial information and market allocation of concrete</w:t>
        <w:br/>
        <w:t>a. In the northeastern area in 2014 (folios 2947 to 2950).</w:t>
        <w:br/>
        <w:t>b. In the central area in 2014 (folio 3520).</w:t>
        <w:br/>
        <w:t>4. HOLCIM ESPAÑA, S.A. (HOLCIM)</w:t>
        <w:br/>
        <w:t>1. Exchange of sensitive commercial information and market allocation of cement in 2014 (folios 3516 and 3517, 4252).</w:t>
        <w:br/>
        <w:t>5. CEMINTER HISPANIA, S.A. (CEMINTER)</w:t>
        <w:br/>
        <w:t>1. Exchange of sensitive commercial information and market allocation of cement in 2014 (folio 4252).</w:t>
        <w:br/>
        <w:t>6. HANSON HISPANIA, S.A. (HANSON)</w:t>
        <w:br/>
        <w:t>1. Exchange of sensitive commercial information and market allocation of concrete in the northeastern area in 2012 (folios 4597, 2939 and 2940).</w:t>
        <w:br/>
        <w:t>2. Exchange of sensitive commercial information and price agreement in the concrete market in the northeastern area in 2012 (folios 2939 and 2940).</w:t>
        <w:br/>
        <w:t>7. PROMOTORA MEDITERRÁNEA 2, S.A. (PROMSA)</w:t>
        <w:br/>
        <w:t>1. Exchange of sensitive commercial information and market allocation of concrete in the northeastern area in 2008, 2009, 2011, 2012, and 2014 (folios 2037, 4014, 4597, 2939 and 2940, 5112).</w:t>
        <w:br/>
        <w:t>2. Exchange of sensitive commercial information and price agreements in the concrete market in the northeastern area in 2012 (folios 2939 and 2940).</w:t>
        <w:br/>
        <w:t>8. BETÓN CATALÁN, S.A. (BETÓN CATALÁN)</w:t>
        <w:br/>
        <w:t>1. Exchange of sensitive commercial information and market allocation of concrete:</w:t>
        <w:br/>
        <w:t>a. in the northeastern area in 1999, 2001, 2003, 2005, 2007, 2008, 2009, 2010, 2011, 2012, 2013, and 2014</w:t>
        <w:br/>
        <w:t>The behaviors are evidenced, at least, in the following folios: 2812, 2808, 2809, 2810, 2826, 2815, 2811, 2850, 2872, 2845 and 2846, 2916 to 2929, 2843, 2821 to 2823 and 2849, 2957, 4008, 4009, 2786 to 2800, 2790, 2035 and 2036, 3528, 2037, 3529, 2934, 3544, 2039, 2041, 2936, 2043, 2960, 2939 and 2940, 3548, 2942, 5112, 2946, 2947 to 2950, 2050 to 2053.</w:t>
        <w:br/>
        <w:t>b. in the central area in 2009, 2010, 2011, 2013, and 2014 (folios 3538, 2038, 2938, 2944, 2945, 3520).</w:t>
        <w:br/>
        <w:t>c. in the southern area in 2005, 2007, 2008, 2010, 2012, 2013, and 2014</w:t>
        <w:br/>
        <w:t>The behaviors are evidenced, at least, in the following folios: 4643 and 4644, 4645, 4637, 4638, 4648 and 4649, 3787, 4646, 4890, 4663 and 4664, 4665 and 4666, 4668 to 4672, 4675 and 4676, 4677 and 4678, paragraph 187 of the PCH, 4693 and 4694, 4701 and 4702, 4733, 4745 and 4746, 4747 and 4748, 4789 and 4790, 4801 and 4802.</w:t>
        <w:br/>
        <w:t>2. Exchange of sensitive commercial information and price agreement in the concrete market</w:t>
        <w:br/>
        <w:t>a. in the northeastern area in 2012 and 2013 (folios 2960, 2939 and 2940, 2942).</w:t>
        <w:br/>
        <w:t>b. in the central area in 2010 (folio 2038).</w:t>
        <w:br/>
        <w:t>c. in the southern area in 2005 and 2006 (folios 4643 and 4644).</w:t>
        <w:br/>
        <w:t>9. TENESIVER, S.L. (TENESIVER)</w:t>
        <w:br/>
        <w:t>1. Exchange of sensitive commercial information and market allocation of concrete in the central area in 2013 and 2014 (folios 2944, 2945).</w:t>
        <w:br/>
        <w:t>10. COMERCIAL ARROYO CONSTRUCCIÓN, S.A. (COMERCIAL ARROYO)</w:t>
        <w:br/>
        <w:t>1. Exchange of sensitive commercial information and market allocation of concrete in the central area in 2013 and 2014 (folios 3495, 2945).</w:t>
        <w:br/>
        <w:t>11. MATERIALES Y HORMIGONES, S.L. (MAHORSA)</w:t>
        <w:br/>
        <w:t>1. Exchange of sensitive commercial information and market allocation of concrete in the central area in 2014 (folio 3520).</w:t>
        <w:br/>
        <w:t>12. HORMIBUSA, S.L. (HORMIBUSA)</w:t>
        <w:br/>
        <w:t>1. Exchange of sensitive commercial information and market allocation of concrete in the central area in 2013 (folio 3495).</w:t>
        <w:br/>
        <w:t>13. ANDALUZA DE MORTEROS, S.A. (ANDEMOSA)</w:t>
        <w:br/>
        <w:t>1. Exchange of sensitive commercial information and market allocation of concrete in the southern area in 2010 and from 2012 to 2014.</w:t>
        <w:br/>
        <w:t>The behaviors are evidenced, at least, in the following folios: 4636, 4648 and 4649, 3876 and 3877, 4652, 4663 and 4664, 4665 and 4666, 4667 to 4672, 4675 and 4676, 4677 and 4678, paragraph 187 of the PCH, 4693 and 4694, 4701 and 4702, 4733, 4745 and 4746, 4747 and 4748, 4789 and 4790, 4801 and 4802.</w:t>
        <w:br/>
        <w:t>14. PREBETONG HORMIGONES, S.A. (PREBETONG)</w:t>
        <w:br/>
        <w:t>It is responsible for the infringements attributable to PREBETONG, for its actions under this name and with its previous names: PREBETONG GALICIA, S.A. and CIMPOR HORMIGON ESPAÑA, S.A. and for the actions carried out by the company HORMIGONES HERCULES, S.L. - absorbed by OCCIDENTAL DE HORMIGONES, S.L. on December 23, 2009, in turn absorbed by PREBETONG GALICIA, S.A. on September 22, 2011 - and by the company OCCIDENTAL DE HORMIGONES, S.L. – absorbed by PREBETONG GALICIA, S.A. on September 22, 2011, are particularly:</w:t>
        <w:br/>
        <w:t>1. Exchange of sensitive commercial information and market allocation of concrete in the southern area in 2010 and from 2012 to 2014:</w:t>
      </w:r>
    </w:p>
    <w:p>
      <w:r>
        <w:rPr>
          <w:b/>
        </w:rPr>
        <w:t>[Pages 124–126]</w:t>
      </w:r>
    </w:p>
    <w:p>
      <w:r>
        <w:t xml:space="preserve">a) For the actions of OCCIDENTAL DE HORMIGONES, S.L. in 2010 (folio 4636).  </w:t>
        <w:br/>
        <w:t xml:space="preserve">b) For the actions of CIMPOR HORMIGON ESPAÑA, S.A. in 2012 and 2013 (folio 3787, see paragraph 269 of the PCH).  </w:t>
        <w:br/>
        <w:t xml:space="preserve">c) For the actions of PREBETONG HORMIGONES, S.A. in 2013 and 2014 (folios 4675 and 4676, 4747 and 4748, 3740 and 4647, 4646, 4701 and 4702, 4818, 4832 and 4872).  </w:t>
        <w:br/>
        <w:t xml:space="preserve">15. ARIDOS Y HORMIGONES HISPALENSE, S.L. (HISPALENSE)  </w:t>
        <w:br/>
        <w:t xml:space="preserve">1. Exchange of sensitive commercial information and market sharing of concrete in the southern area in 2010 and from 2012 to 2014  </w:t>
        <w:br/>
        <w:t xml:space="preserve">The behaviors are evidenced, at least, in the following folios: 4636, 4648 and 4649, 4651 and 4652, 4890, 4663 and 4664, 4665 to 4666, 4667 to 4672, 4675 and 4676, 4677 and 4678, paragraph 187 of the PCH, 4693 and 4694, 4701 and 4702, 4733, 4745 and 4746, 4747 and 4748, 4789 and 4790, 4801 and 4802.  </w:t>
        <w:br/>
        <w:t xml:space="preserve">16. BETONALIA, S.L. (BETONALIA)  </w:t>
        <w:br/>
        <w:t xml:space="preserve">1. Exchange of sensitive commercial information and market sharing of concrete in the southern area in 2010 and from 2012 to 2014  </w:t>
        <w:br/>
        <w:t xml:space="preserve">The behaviors are evidenced, at least, in the following folios: 4636, 4648 and 4649, 3786 and 3787, 4651 and 4652, 4675 and 4676, 4646, 4676, 4730, 4878, 4789 and 4790, 4801 and 4802, 4809 and 4810, 4879, 4890, 4828, 4831 and 4832, 4880, 4845 and 4846, 4881, 4882, 4877, 4872, 4254, 4663 and 4664, 4665 to 4666, 4667 to 4672, 4675 and 4676, 4677 and 4678, paragraph 187 of the PCH, 4693 and 4694, 4701 and 4702, 4733, 4745 and 4746, 4747 and 4748, 4789 and 4790, 4801 and 4802.  </w:t>
        <w:br/>
        <w:t xml:space="preserve">2. Exchange of sensitive commercial information and price agreement in the concrete market in the southern area in 2010 and 2013 (folios 4638, 4639 and 4640).  </w:t>
        <w:br/>
        <w:t xml:space="preserve">17. HORMIGONES DE SEVILLA, S.L. (HORSEV)  </w:t>
        <w:br/>
        <w:t xml:space="preserve">1. Exchange of sensitive commercial information and market sharing of concrete in the southern area in 2010 and from 2012 to 2014.  </w:t>
        <w:br/>
        <w:t xml:space="preserve">The behaviors are evidenced, at least, in the following folios: 4636, 4648 and 4649, 3786 and 3787, 4651 and 4652, 4675 and 4676, 4646, 4676, 4730, 4878, 4789 and 4790, 4801 and 4802, 4809 and 4810, 4879, 4890, 4828, 4831 and 4832, 4880, 4845 and 4846, 4881, 4882, 4877, 4872, 4663 and 4664, 4665 to 4666, 4667 to 4672, 4675 and 4676, 4677 and 4678, paragraph 187 of the PCH, 4693 and 4694.  </w:t>
        <w:br/>
        <w:t xml:space="preserve">2. Exchange of sensitive commercial information and price agreement in the concrete market in the southern area in 2010 (folio 4638).  </w:t>
        <w:br/>
        <w:t xml:space="preserve">18. ALMACENES Y HORMIGONES CREACONS, S.L. (CREACONS)  </w:t>
        <w:br/>
        <w:t xml:space="preserve">1. Exchange of sensitive commercial information and market sharing of concrete in the southern area in 2013 and 2014 (folios 4646, 4639 and 4640, 3740 and 4647, 4877, 4254).  </w:t>
        <w:br/>
        <w:t xml:space="preserve">19. HORMIGONES PREMACONS, S.L. (PREMACONS)  </w:t>
        <w:br/>
        <w:t xml:space="preserve">1. Exchange of sensitive commercial information and market sharing of concrete in the southern area in 2010 and from 2012 to 2014.  </w:t>
        <w:br/>
        <w:t xml:space="preserve">The behaviors are evidenced, at least, in the following folios: 4636, 4648 and 4649, 3786 and 3787, 4651 and 4652, 4646, 4639 and 4640, 4891, 4878, 3740 and 4647, 4890, 4881, 4663 and 4664, 4665 to 4666, 4667 to 4672, 4675 and 4676, 4677 and 4678, paragraph 187 of the PCH, 4693 and 4694, 4701 and 4702, 4733, 4745 and 4746, 4747 and 4748, 4789 and 4790, 4801 and 4802.  </w:t>
        <w:br/>
        <w:t xml:space="preserve">20. PREFABRICADOS LEFLET, S.L. (LEFLET)  </w:t>
        <w:br/>
        <w:t xml:space="preserve">1. Exchange of sensitive commercial information and market sharing of concrete in the southern area in 2010 and from 2012 to 2014  </w:t>
        <w:br/>
        <w:t xml:space="preserve">The behaviors are evidenced, at least, in the following folios: 4636, 4648 and 4649, 3786 and 3787, 4651 and 4652, 4646, 4891, 3740 and 4647, 4890, 4663 and 4664, 4665 to 4666, 4667 to 4672, 4675 and 4676, 4677 and 4678, paragraph 187 of the PCH, 4693 and 4694, 4701 and 4702, 4733, 4745 and 4746, 4747 and 4748, 4789 and 4790, 4801 and 4802).  </w:t>
        <w:br/>
        <w:t xml:space="preserve">21. PREFABRICADOS LIGEROS DE HORMIGON, S.L. (PRELHOR)  </w:t>
        <w:br/>
        <w:t xml:space="preserve">1. Exchange of sensitive commercial information and market sharing of concrete in the southern area in 2010 and from 2012 to 2014.  </w:t>
        <w:br/>
        <w:t xml:space="preserve">The behaviors are evidenced, at least, in the following folios: 4636, 4648 and 4649, 3786 and 3787, 4651 and 4652, 4646, 4891, 3740 and 4647, 4890, 4663 and 4664, 4665 to 4666, 4667 to 4672, 4675 and 4676, 4677 and 4678, paragraph 187 of the PCH, 4693 and 4694, 4701 and 4702, 4733, 4745 and 4746, 4747 and 4748, 4789 and 4790, 4801 and 4802.  </w:t>
        <w:br/>
        <w:t xml:space="preserve">22. HORMIGONES UTRERA, S.L. (UTRERA)  </w:t>
        <w:br/>
        <w:t xml:space="preserve">1. Exchange of sensitive commercial information and market sharing of concrete in the southern area in 2010 and from 2012 to 2014.  </w:t>
        <w:br/>
        <w:t xml:space="preserve">The behaviors are evidenced, at least, in the following folios: 4636, 4648 and 4649, 3786 and 3787, 4663 and 4664, 4665 to 4666, 4667 to 4672, 4675 and 4676, 4677 and 4678, paragraph 187 of the PCH, 4693 and 4694, 4701 and 4702, 4733, 4745 and 4746, 4747 and 4748, 4789 and 4790, 4801 and 4802.  </w:t>
        <w:br/>
        <w:t xml:space="preserve">23. HORMIGONES POLICHI, S.L. (POLICHI)  </w:t>
        <w:br/>
        <w:t xml:space="preserve">1. Exchange of sensitive commercial information and market sharing of concrete in the southern area in 2010 and from 2012 to 2014.  </w:t>
        <w:br/>
        <w:t xml:space="preserve">The behaviors are evidenced, at least, in the following folios: 4636, 4648 and 4649, 3786 and 3787, 3740 and 4747, 4890, 4701 and 4702, 4733, 4745 and 4746, 4747 and 4748, 4789 and 4790, 4801 and 4802.  </w:t>
        <w:br/>
        <w:t xml:space="preserve">24. SURGYPS, S.A. (SURGYPS)  </w:t>
        <w:br/>
        <w:t xml:space="preserve">1. Exchange of sensitive commercial information and market sharing of concrete in the southern area in 2010 and from 2012 to 2014.  </w:t>
        <w:br/>
        <w:t xml:space="preserve">The behaviors are evidenced, at least, in the following folios: 4636, 4648 and 4649, 3786 and 3787, 4651 and 4652, 4663 and 4664, 4665 to 4666, 4667 to 4672, 4675 and 4676, 4677 and 4678, paragraph 187 of the PCH, 4693 and 4694, 4701 and 4702, 4733, 4745 and 4746, 4747 and 4748, 4789 and 4790, 4801 and 4802.  </w:t>
        <w:br/>
        <w:t xml:space="preserve">4.6. Guilt  </w:t>
        <w:br/>
        <w:t xml:space="preserve">Having established and qualified the behaviors contrary to the LDC, Article 63.1 of the LDC conditions the exercise of the sanctioning power regarding fines by the Competition Authority on the presence of intent or negligence in the infringing subject in the commission of the imputed conduct.  </w:t>
        <w:br/>
        <w:t xml:space="preserve">In accordance with the jurisprudence established in sanctioning administrative law, objective responsibility in the commission of an infringement is currently not recognized, but the element of guilt is required, which implies that the unlawful conduct is attributable to a responsible passive subject of such conduct (that is, there must be a psychological link between the act and the subject).  </w:t>
        <w:br/>
        <w:t>Thus, the expression included by the Spanish legislator is interpreted when, in regulating the sanctioning power of the administration in Article 130.1 of the LRJPA, it establishes that “only individuals and legal entities that are responsible for the same, even in the case of simple negligence, may be sanctioned for acts constituting administrative infringement,” understood as the lack of due diligence to avoid an unlawful, foreseeable, and avoidable result.</w:t>
      </w:r>
    </w:p>
    <w:p>
      <w:r>
        <w:rPr>
          <w:b/>
        </w:rPr>
        <w:t>[Pages 127–129]</w:t>
      </w:r>
    </w:p>
    <w:p>
      <w:r>
        <w:t>declared null and void due to alleged irregularities in their issuance and execution. They argue that the authorities did not comply with the legal requirements established in the applicable regulations, which has resulted in a violation of their rights to a fair defense and due process.</w:t>
      </w:r>
    </w:p>
    <w:p>
      <w:r>
        <w:t>In this regard, it is important to note that the legality of the investigation orders must be assessed in light of the principles of administrative law and the specific provisions of the applicable competition regulations. The companies must demonstrate that the alleged irregularities had a direct impact on the validity of the investigation and the subsequent proceedings.</w:t>
      </w:r>
    </w:p>
    <w:p>
      <w:r>
        <w:t>5.3. Right to be heard and access to the file</w:t>
        <w:br/>
        <w:t>Furthermore, several companies have raised concerns regarding their right to be heard and access to the file during the investigation phase. They claim that they were not provided with sufficient information to adequately prepare their defense and that this lack of access has hindered their ability to contest the allegations made against them.</w:t>
      </w:r>
    </w:p>
    <w:p>
      <w:r>
        <w:t>The right to be heard is a fundamental principle in administrative proceedings, and it is essential that all parties involved are given the opportunity to present their arguments and evidence. The authorities must ensure that the companies have access to the relevant documentation and information necessary for them to exercise their right to a fair defense.</w:t>
      </w:r>
    </w:p>
    <w:p>
      <w:r>
        <w:t>5.4. Conclusion</w:t>
        <w:br/>
        <w:t>In light of the above considerations, this Chamber concludes that the allegations made by the companies regarding the application of the de minimis rule, the nullity of the investigation orders, and the right to be heard and access to the file must be dismissed. The evidence presented supports the conclusion that the companies engaged in conduct that constitutes a serious infringement of competition law, and the procedural rights of the companies have been respected throughout the investigation and resolution phases.</w:t>
      </w:r>
    </w:p>
    <w:p>
      <w:r>
        <w:rPr>
          <w:b/>
        </w:rPr>
        <w:t>[Pages 130–132]</w:t>
      </w:r>
    </w:p>
    <w:p>
      <w:r>
        <w:t xml:space="preserve">declared null, having defined the object and purpose of the inspections in a broad and generic manner, contravening the provisions established by the Supreme Court in its judgments of December 10, 2014, in the UNESA case, and February 27, 2015, in the TRANSMEDITERRÁNEA case. </w:t>
        <w:br/>
        <w:t xml:space="preserve">All of the above, the parties indicate, should result in the nullity of all actions taken by the CNMC under the investigation orders, including the evidence obtained therein on which the companies' charges are based. </w:t>
        <w:br/>
        <w:t xml:space="preserve">This allegation has already been duly addressed by the Competition Directorate in its Resolution Proposal, which dismisses the parties' claims by considering that all the investigation orders issued in this case by the Competition Director comply with the provisions of Article 13.3 of the RDC, which specifies the content of an Investigation Order, which must include: object and purpose, subjects investigated, data, documents, operations, information, and other elements to be inspected, the date on which the inspection will be carried out, and its scope, as well as the sanctions provided for in the LDC in the event of opposition or obstruction to the inspection action. </w:t>
        <w:br/>
        <w:t xml:space="preserve">In addition to what has already been pointed out by the Competition Directorate in its Resolution Proposal, whose arguments this Chamber adopts, it should be added that the inspection power is a legal instrument made available to this Commission to facilitate the investigation into the existence of a possible infringement of competition rules. Logically, when an inspection is carried out, the Competition Directorate cannot be certain of the existence of a defined infringement in all its possible aspects. It is precisely for this reason that it is equipped with these instruments to be able to ascertain as accurately as possible the existence of facts that allow it to initiate a formal procedure for infringements of competition rules and identify those responsible for such conduct. However, it is not essential, from the enabling perspective to carry out the inspection, that the inspecting body must know in advance the possible participants in the conduct, nor is it necessary for the Order to specify in detail the specific facts and the details of the investigated markets, as this would limit the investigative powers of the CNMC. </w:t>
        <w:br/>
        <w:t xml:space="preserve">The Supreme Court ruling of September 30, 2013, is illustrative in this regard, in which it states the following: </w:t>
        <w:br/>
        <w:t xml:space="preserve">“The court [the National Court] indeed affirms that ‘there is also no provision violated by issuing the investigation order and requesting judicial authorization before initiating the opening of the case, and this conduct is covered by Article 13 of Royal Decree 261/2008.’” Previously (in the second legal basis of the judgment), the same Chamber had already stated that “both the opening agreement and the investigation order are based on ‘rational indications of the existence of conduct prohibited by the LEC related to price fixing as well as other commercial or service conditions, directly or indirectly, could have begun in 2003 and continue in force affecting the sector of road freight activities. Therefore, there is a delimitation of the facts that will be investigated, although they are not specified in detail, this is not the object of an investigation order or an opening agreement, because, precisely, the investigative actions that follow in the case aim to establish the facts; but what is evident is that there is a delimitation of the object of the investigation” (emphasis added). </w:t>
        <w:br/>
        <w:t xml:space="preserve">In the same vein, in the Supreme Court ruling dated June 22, 2015 (Appeal No. 2012/2013), the High Court confirms this Chamber's position on the matter, stating the following: </w:t>
        <w:br/>
        <w:t xml:space="preserve">“It is then alleged that the inspections at the companies' premises had a specific objective, to gather sufficient information to ascertain the existence of the infringement of which there was knowledge through the complaint filed. The plaintiff analyzes the investigation order of the CNC, whose wording, in the opinion of this Chamber, contains the necessary elements to determine the object of the agreed inspections. The plaintiff itself acknowledges (page 39 of the complaint) that ‘we would agree to state that it is not possible to claim that the investigation order of October 9, 2009, literally stated that a possible collusive agreement was being investigated in relation to the public tender for supply since the inspection powers of the CNC officials and the inspection itself could have been limited.’ The party considers that ‘the investigated conduct that justifies the surprise inspection is something more concrete and specific than everything that could potentially fall under the umbrella of the wording of the order.’” </w:t>
        <w:br/>
        <w:t xml:space="preserve">This Chamber considers that the reference to the markets for contracting, supply, and execution of works is sufficiently expressive of the factual elements subject to investigation, and it is not required, for the same reasons that the plaintiff expressly acknowledges, to indicate the details relating to the road tenders. </w:t>
        <w:br/>
        <w:t xml:space="preserve">(…) </w:t>
        <w:br/>
        <w:t xml:space="preserve">Regarding the allegation that the documents were found by chance, the Chamber has verified that an investigation was initiated due to a specific fact, but as it progressed, other closely related and connected facts were discovered that provided the competition defense authorities with evidence that the agreement to participate in road tenders, agree on the bids, offer a lower bid than expected, and share the illicitly obtained amount affected various tenders throughout the territory of the State. This is not at all the case examined by the CJEU in the AEB case partially reproduced by the plaintiff, nor is there factual coincidence with the other cases cited in which the European Commission used documentation obtained in one procedure to open another or to formulate charges in another, since in this case it is a single procedure and a single infringement. </w:t>
        <w:br/>
        <w:t xml:space="preserve">The differences highlighted by the plaintiff are not relevant for the purposes examined: neither that the convener was a different body, nor the different provinces, nor that the participating companies were sometimes others, and the extended time period, because they were in any case public tenders, the illicitly obtained income was at the expense of public funds, and the system organized by the companies was valid and similar in all cases. </w:t>
        <w:br/>
        <w:t xml:space="preserve">Finally, regarding what the plaintiff calls "the subjective scope of the investigated conduct," the documents found at PADECASA can be used as evidence of the conduct of PADECASA and certainly as evidence regarding all those companies related to it, it not being required, as results from the plaintiff's thesis, that "inspectors can only investigate the actions of the investigated entity." (emphasis added) </w:t>
        <w:br/>
        <w:t xml:space="preserve">In light of all this, this Chamber considers that the Investigation Orders issued within the framework of the reserved information prior to the opening of this case sufficiently indicate the object, purpose, and scope of the inspection, thus observing what is indicated in Article 13.3 of the RDC. </w:t>
        <w:br/>
        <w:t xml:space="preserve">Specifically, the inspection orders mandate inspections at the companies to determine their possible participation in “agreements, and/or exchanges of information, and/or anti-competitive concerted practices that constitute a violation of Article 1.1 of the LDC and Article 101 of the TFEU, in the markets of manufacturing, distribution, and marketing of cement, concrete, and related products, by adopting agreements, carrying out exchanges of information, and/or engaging in concerted practices whose object would be the division of markets and/or the fixing of prices and/or other commercial or service conditions.” </w:t>
        <w:br/>
        <w:t>The reading of such inspection orders allows us to observe that they expressly limit their investigation to one of the three infringements provided for in the LDC (Article 1), unlike some of the cases examined by the jurisprudence cited by the alleging companies, whose investigation order included several differentiated infringements. Likewise, within the infringement provided for in Article 1 of the LDC, the order does not foresee the investigation of all the</w:t>
      </w:r>
    </w:p>
    <w:p>
      <w:r>
        <w:rPr>
          <w:b/>
        </w:rPr>
        <w:t>[Pages 133–135]</w:t>
      </w:r>
    </w:p>
    <w:p>
      <w:r>
        <w:t xml:space="preserve">1) unlike some of the cases examined by the jurisprudence cited by the alleging companies, whose investigation order included several differentiated infringements. Likewise, within the infringement provided for in Article 1 of the LDC, the order does not foresee the investigation of all the possible behaviors pointed out by said article (the enumeration of which is also not exhaustive) but exclusively of two of the five included in the legal provision, which experience reveals to be closely related in the behavior of the companies along with the exchange of commercial information also cited in the Order. </w:t>
        <w:br/>
        <w:t xml:space="preserve">The inspection orders, supported by the respective judicial rulings that authorize the entry into the companies to carry out the inspections38, contain a sufficiently detailed object and, moreover, is coincident and accurate with the behaviors and practices that have subsequently been accredited in this resolution, so it cannot be considered that the orders can have a generic and abstract object and scope, thus dismissing the allegations of the parties in this regard. </w:t>
        <w:br/>
        <w:t xml:space="preserve">5.3 Nullity due to lack of competence of the CNMC </w:t>
        <w:br/>
        <w:t xml:space="preserve">BETON CATALÁN and ANDEMOSA allege the lack of competence of the CNMC to resolve the present procedure, understanding that since these are regional scope infringements, the autonomous competition authorities are competent. </w:t>
        <w:br/>
        <w:t xml:space="preserve">Such claims are dismissed. </w:t>
        <w:br/>
        <w:t xml:space="preserve">As the Competition Directorate has rightly pointed out, the existence of different delineated geographical areas when defining the specific infringements does not prevent the CNMC's competence regarding the knowledge, investigation, and, where appropriate, sanction of this administrative file, since the existence of similar behaviors in three geographical areas located in different autonomous communities would therefore constitute the main argument for preserving the CNMC's competence. In this sense, it should be specified that the infringements have been carried out in various Autonomous Communities, whether in the cement market or in the various areas defined by the competition directorate in relation to the concrete market, so the scope would be supra-autonomous. </w:t>
        <w:br/>
        <w:t xml:space="preserve">On the other hand, the similarity of the different behaviors in the various geographical areas where they occur would be supported by the use of common expressions such as “in,” “out,” “table,” or “club,” the identity of some companies that operate nationally present in several areas, the effects produced which, as clearly derived from the file, are not limited to a single autonomous scope. </w:t>
        <w:br/>
        <w:t xml:space="preserve">To support such consideration, it is sufficient to refer to the arguments put forward by the National Court in its Judgment of May 29, 2013 (appeal 715/2011 in relation to file S/0192/09 ASFALTOS), in which it states the following: </w:t>
        <w:br/>
        <w:t xml:space="preserve">“This Chamber considers that the fact that the system is the same, and the business sector is the same, is not enough to understand that it is a single cartel that has been divided into three geographical areas due to the characteristics of the product. On the contrary, as pointed out by the Investigation Directorate, since what is relevant is the direct contact between competitors to reveal the behaviors to be adopted and modify them for the benefit of the cartel members, merely because a certain company allegedly participated in independent meetings related to three different geographical areas, the conclusion drawn by this Chamber is that if the typified conduct is constituted precisely by such agreements, the cartels are three and not one. The existence of a joint integrative plan of the different underlying collusive behaviors in León, Burgos, and the Basque Country has not been accredited, nor has it been accredited that the companies were aware of that supposed joint plan, regardless of what results for the specific case of the business group present in the three geographical areas. </w:t>
        <w:br/>
        <w:t xml:space="preserve">(…) </w:t>
        <w:br/>
        <w:t xml:space="preserve">This conclusion reached by the Chamber does not have the consequence of altering the competence of the CNC, since it was determined by the administrative authority based on the existence of similar behaviors in three geographical areas located in two different Autonomous Communities” (the underlining is ours). </w:t>
        <w:br/>
        <w:t xml:space="preserve">As the National Court indicates in its judgment of May 3, 2013, “the criterion for the allocation between the State and the Autonomous Communities of the competence to pursue and sanction restrictive behaviors is not the national, autonomous, or local nature of the relevant product market in each case, but the infra-autonomous or supra-autonomous geographical scope of the restrictive effects on competition produced or that may be produced by a certain conduct.” And it adds in its judgments of March 12, 2014, and April 30, 2014, that “although not all companies were present in the three cartels, at least some allegedly participated in the meetings that took place regarding contracts to be carried out in the territories of the two Autonomous Communities, and the characteristics of the conduct advise the investigation by a single body, which by virtue of the provisions of Article 1 of Law 1/2002 is the National Competition Commission.” </w:t>
        <w:br/>
        <w:t xml:space="preserve">The internal and external communications of the companies examined throughout the file also demonstrate that the companies involved adopt a supra-autonomous commercial structure that encompasses several Autonomous Communities, and that they develop a commercial strategy at the national level or, at least, that exceeds the territorial delimitation of the Autonomous Communities, with the consequent overlap between areas of influence and the network effects of the investigated behaviors, since the reports and commercial strategies reach the management positions responsible for various areas. Thus, for example, on June 9, 2014, the Business Director of Concrete, Aggregate, and Mortar of VALDERRIVAS sends an email to the Commercial Director of the North, Central, South, and United Kingdom area, and to the Business Director of Spain and Portugal of the same company, in which he sends them a commercial report dated June 6, 2014, which affects two Autonomous Communities (provinces of Cádiz, Málaga, Huelva, Badajoz, Córdoba, and Sevilla). Likewise, on July 2, 2010, in an internal email from the company BETÓN CATALÁN, the Responsible for the Rest of Spain forwards an email with information about a possible concrete supply to a construction site in Palma de Mallorca. Similarly, on May 21, 2013, an employee of VALDERRIVAS sends to the Business Director of Spain and the United Kingdom of this same company a report on the company Comercial Arroyo. </w:t>
        <w:br/>
        <w:t xml:space="preserve">In short, the supra-autonomous significance of the imputed behaviors determines that it is the national authority that exercises the competencies established in the LDC, in accordance with Article 1.1 of Law 1/2002, of February 21, on Coordination of the Competencies of the State and the Autonomous Communities in matters of Competition Defense, and in accordance with the Constitutional Court ruling of April 16, 2012, and, among others, the rulings of the National Court of January 31, 2013, May 29, 2013, and July 15, 2014. </w:t>
        <w:br/>
        <w:t xml:space="preserve">For all these reasons, the allegations of the parties must be dismissed. </w:t>
        <w:br/>
        <w:t xml:space="preserve">5.4 On the request for evidence and hearing </w:t>
        <w:br/>
        <w:t xml:space="preserve">The companies have proposed the following means of evidence: </w:t>
        <w:br/>
        <w:t xml:space="preserve">− PRELHOR: Administrative and documentary file attached to the statement of allegations submitted by the company on December 9, 2015. </w:t>
        <w:br/>
        <w:t xml:space="preserve">− CEMINTER: Testimonial statement of the legal representative and the Commercial Director of CEMINTER. </w:t>
        <w:br/>
        <w:t>− SURGYPS: Testimonial statement of the legal representative of the company itself and the legal representative of the companies TREARTE, S.L. and ULLASTRES, S.A.</w:t>
      </w:r>
    </w:p>
    <w:p>
      <w:r>
        <w:rPr>
          <w:b/>
        </w:rPr>
        <w:t>[Pages 136–138]</w:t>
      </w:r>
    </w:p>
    <w:p>
      <w:r>
        <w:t>− HISPALENSE: The one presented in its written allegations to the Specification of Facts regarding documentation that contains accounting data and business volume of the company.</w:t>
        <w:br/>
        <w:t>− CEMEX: Testimony from the individuals who participated in the email found on folio 3520 in order to confirm that the aforementioned company did not participate in any meeting for the distribution of works with the companies mentioned in that email.</w:t>
        <w:br/>
        <w:t>− LAFARGE: Documentary evidence consisting of a notarized record certifying the origin and authenticity of LAFARGE's production data for July 2014 in the province of Tarragona.</w:t>
        <w:br/>
        <w:t>− BETONALIA: Testimony from the legal representative of the UTE Tram and UTE Alcalá and from the Administrator of the company Sierra de Morón, S.L.</w:t>
        <w:br/>
        <w:t>− ANDEMOSA: That a request be sent to several construction companies mentioned by the entity, to state who was the entity contracted for the supply of concrete in the works cited by the company itself.</w:t>
        <w:br/>
        <w:t>− BETON CATALÁN: That VALDERRIVAS be required to confirm that UNILAND submitted a joint offer with other companies for the supply contract for the Port of Barcelona project.</w:t>
        <w:br/>
        <w:t>− MATERIALS AND CONCRETES: Testimony from an employee of VALDERRIVAS and subsidiarily, that the same worker be required to report on the subject of the meeting referred to in the email of June 6, 2014.</w:t>
        <w:br/>
        <w:t>Within the framework of the general administrative procedure regime, Article 80 of Law 30/92 states that relevant facts for the decision of a procedure may be proven by any means of evidence admitted in law, although the instructor of the procedure may reject the evidence proposed by the interested parties when they are manifestly inappropriate or unnecessary, through a reasoned resolution.</w:t>
        <w:br/>
        <w:t>On the other hand, Article 137.4 of Law 30/92, relating to the presumption of innocence of the alleged responsible parties within the framework of sanctioning administrative procedures, states that:</w:t>
        <w:br/>
        <w:t>“4. Evidence that is adequate for the determination of facts and possible responsibilities will be practiced ex officio or will be admitted at the proposal of the alleged responsible party.</w:t>
        <w:br/>
        <w:t>Only those pieces of evidence that, due to their relation to the facts, cannot alter the final resolution in favor of the alleged responsible party may be declared inappropriate.”</w:t>
        <w:br/>
        <w:t>Already in the specific area of the sanctioning procedure provided for in the competition regulations, it is appropriate to refer to the RDC, whose Article 32 grants interested parties the right to present allegations and propose the practice of evidence they consider appropriate, but also the authority to the Competition Directorate to decide on the admissibility or not of the proposed evidence.</w:t>
        <w:br/>
        <w:t>“2. Interested parties may, at any time during the instruction of the sanctioning procedure, present allegations and propose the practice of evidence they consider relevant for the defense of their interests. The Investigation Directorate must resolve on the practice of the evidence in a reasoned manner. There will be no appeal against the denial of the practice of evidence.”</w:t>
        <w:br/>
        <w:t>In this same sense, Article 34.1 of the Regulation establishes that "the proposal for resolution, which will include the allegations made by the interested parties throughout the instruction and the evidence proposed by them, indicating whether or not it was practiced, will be notified to the interested parties so that, within fifteen days, they may formulate the allegations they deem appropriate."</w:t>
        <w:br/>
        <w:t>Finally, Article 51.1 of the LDC provides that the Council of the CNMC may order, ex officio or at the request of any interested party, the practice of evidence different from those already practiced before the DC in the instruction phase, as well as the carrying out of complementary actions in order to clarify specific issues for the formation of its judgment in decision-making.</w:t>
        <w:br/>
        <w:t>From the joint and literal interpretation of the transcribed provisions, it is clear that the instructing body and subsequently the Council may admit and carry out the practice of those pieces of evidence that it considers necessary to clarify and shed light on the investigated facts, but in no case is it obliged to admit those pieces of evidence that will not be essential for the determination of the facts and responsibilities in the procedure.</w:t>
        <w:br/>
        <w:t>In this regard, the TC in its judgment of November 9, 1987 (RJ 1987/7974), states that from the very terms of the article "it follows that it will only be practiced when it is necessary to clarify them (referring to the facts), not when they are sufficiently proven by the result of what has been acted upon, because the opposite would imply a merely repetitive activity and therefore useless and contrary to the principle of procedural economy due to delay."</w:t>
        <w:br/>
        <w:t>In the same sense, the TS states that "From the very literal tenor of the article (referring to Article 80), it follows that the evidentiary period is subordinated, as is obvious and evident, to the existence of points of doubt that need to be clarified, being logical that it is the Administration that assesses whether such doubts or gaps exist and whether evidence is needed to dispel them. In the terms in which the issue is raised by the actor, it is necessary to reject the allegation, since what is being requested is the recognition of the obligation of the evidentiary procedure, regardless of the degree of knowledge that one has about the occurrence being judged. Another matter is whether in the present case the evidence resulting from what has been acted upon is sufficient to establish the fact deserving of sanction, which in any case must be analyzed as a primary substantive issue."</w:t>
        <w:br/>
        <w:t>Consequently, the administration may reject those pieces of evidence that it considers irrelevant for the resolution of the procedure, with the only requirement that it justifies the decision of inadmissibility of these, a requirement that, according to jurisprudential criteria, has been fulfilled by the Competition Directorate in the proposal for resolution.</w:t>
        <w:br/>
        <w:t>This Chamber considers it pertinent to incorporate into the file all the new documents submitted by the parties along with their written allegations to the proposal for resolution, although in general terms these documents do not provide added value regarding the information that was already in the file and based on which the facts subject to investigation and the charges made against the accused entities have been considered proven.</w:t>
        <w:br/>
        <w:t>This Chamber also does not consider it necessary to practice the testimonial evidence requested by the parties, as they are not decisive, as the Competition Directorate has already indicated for some companies in its Proposal for Resolution, for the resolution of the present procedure and do not have the capacity, in the opinion of this Chamber, sufficient to undermine the proven facts by the Competition Directorate throughout the instruction of the file.</w:t>
        <w:br/>
        <w:t>Regarding the hearing requested by several companies, and considering that it is the Council's authority to agree to hold a hearing when it deems appropriate for the examination and judgment of the object of the file (Article 19.1 of the RDC), this Chamber resolves not to grant the request for the holding of the same as it does not consider it necessary for the assessment of the matter, without this denial leading to any kind of defenselessness for the party as the National Court has repeatedly pointed out.</w:t>
        <w:br/>
        <w:t>5.5. Request for confidentiality</w:t>
        <w:br/>
        <w:t>At the request of the parties, this Chamber, in accordance with Article 42 of the LDC, has decided to declare confidential the following information:</w:t>
        <w:br/>
        <w:t>HANSON HISPANIA</w:t>
      </w:r>
    </w:p>
    <w:p>
      <w:r>
        <w:rPr>
          <w:b/>
        </w:rPr>
        <w:t>[Pages 139–141]</w:t>
      </w:r>
    </w:p>
    <w:p>
      <w:r>
        <w:t>- Data relating to the total volume of concrete production at its Zona Franca plant in 2012 (folio 9511, paragraph 38 (c) (i) (A) of the statement of allegations).</w:t>
        <w:br/>
        <w:t>PREBETONG</w:t>
        <w:br/>
        <w:t>- Data relating to the company's market share (folio 9622, paragraph 81 of the statement of allegations).</w:t>
        <w:br/>
        <w:t>- Data relating to the company's turnover in the year 2013 (folio 9633, paragraph 118 of the statement of allegations).</w:t>
        <w:br/>
        <w:t>LAGARGE</w:t>
        <w:br/>
        <w:t>- The name of a software program contained in folio 9690, paragraph 95 of the statement of allegations.</w:t>
        <w:br/>
        <w:t>- Information relating to turnover contained in folio 9690, paragraph 96 of the statement of allegations and footnote.</w:t>
        <w:br/>
        <w:t>- Data on business strategy contained in folio 9690, paragraph 97 of the statement of allegations.</w:t>
        <w:br/>
        <w:t>- Notarial record contained in folios 9720 to 9739.</w:t>
        <w:br/>
        <w:t>HOLCIM</w:t>
        <w:br/>
        <w:t>- Information relating to business strategy contained in folio 9746, paragraph 32 of the statement of allegations.</w:t>
        <w:br/>
        <w:t>- Information relating to business strategy contained in folio 9751, paragraphs 63, 64, 65, 66, 67, 68, 69, and 70 of the statement of allegations.</w:t>
        <w:br/>
        <w:t>- Data relating to other companies contained in folio 9754, paragraphs 87, 88, and 89 of the statement of allegations.</w:t>
        <w:br/>
        <w:t>VALDERRIVAS</w:t>
        <w:br/>
        <w:t>- Strategic information contained in folio 9838, page 17 of its statement of allegations.</w:t>
        <w:br/>
        <w:t>- Corporate name of a company unrelated to the case contained in folio 9858, page 37 of the statement of allegations.</w:t>
        <w:br/>
        <w:t>- Strategic information contained in folio 9860, page 39 of the statement of allegations.</w:t>
        <w:br/>
        <w:t>- Annex I containing information about the company's clients (folios 9870 to 9884); Annex II containing the minutes of the UTE BCN SUD (folios 9885 to 9887); Annex III containing evidence of a supply agreement with another company (folios 9888 to 10286).</w:t>
        <w:br/>
        <w:t>COMERCIAL ARROYO</w:t>
        <w:br/>
        <w:t>- Data relating to turnover contained in folio 10302, paragraph 6 of page 2 of the statement of allegations.</w:t>
        <w:br/>
        <w:t>Likewise, this Chamber declares confidential the turnover data of the affected market provided by the companies from the year 2010 (inclusive) presented throughout the proceedings, but not that of previous years due to being older than 5 years.</w:t>
        <w:br/>
        <w:t>Furthermore, this Chamber considers that it is not appropriate to declare the confidentiality of the data relating to the total turnover corresponding to the year 2015 presented by the companies at the request of this Chamber, since the aforementioned information is accessible to the public through the commercial register and does not have the character of information protected by business secrecy, in addition to being necessary for the determination of the sanction in accordance with the provisions of Article 63 of the LDC.</w:t>
        <w:br/>
        <w:t>SIXTH. DETERMINATION OF THE SANCTION</w:t>
        <w:br/>
        <w:t>6.1.- Preliminary considerations for the determination of the fine</w:t>
        <w:br/>
        <w:t>First, it is worth reiterating the applicable law for the determination of the sanction in this case. As explained in the Second Legal Basis, since this is a continuous conduct, first under Law 16/1989 and then under Law 15/2007 (LDC), in accordance with the provisions of Article 128 of Law 30/1992, one of the two norms must be applied, opting for the one that is more beneficial for the offender, in accordance with the principles of non-retroactivity of the more unfavorable sanctioning norm and retroactivity of the more favorable one. Although the prohibited conduct under Article 1 of both laws is identical, the application of the sanctioning regime of the LDC is more favorable.</w:t>
        <w:br/>
        <w:t>Regarding the assessment of the infringement, Article 62.4.a) of the LDC establishes that it will be classified as a very serious infringement “[e]l desarrollo de conductas colusorias tipificadas en el artículo 1 de la Ley que consistan en cárteles u otros acuerdos, decisiones o recomendaciones colectivas, prácticas concertadas o conscientemente paralelas entre empresas competidoras entre sí, reales o potenciales”.</w:t>
        <w:br/>
        <w:t>For its part, paragraph c) of Article 63.1 states that very serious infringements may be punished with a fine of up to 10 percent of the total turnover of the infringing company in the fiscal year immediately preceding the imposition of the fine, and in cases where it is not possible to delineate the turnover, paragraph 3.c) states that the amount of the fine will be more than 10 million euros.</w:t>
        <w:br/>
        <w:t>Regarding the nature of the 10% (whether it is the maximum of a sanctioning range, or whether it should be considered as a limit or threshold for leveling), the Supreme Court has ruled in its judgment of January 29, 2015 (Appeal 2872/2013), a judgment that has already been analyzed in the latest resolutions of this Council. According to the Supreme Court, the process of determining the fine must necessarily adhere to the following premises:</w:t>
        <w:br/>
        <w:t>- The percentage limits provided in Article 63.1 of the LDC must be conceived as the maximum level of a sanctioning range in which the sanctions, depending on the severity of the conduct, must be individualized. The Chamber points out that these limits “constitute, in each case, the ceiling of the pecuniary sanction within a scale that, starting from the minimum value, culminates in the corresponding percentage” and continues to explain that “these are percentage figures that mark the maximum of the sanctioning rigor for the sanction corresponding to the infringing conduct that, within the respective category, has the highest unlawful density.”</w:t>
        <w:br/>
        <w:t>- Regarding the basis on which to calculate the percentage of the fine, in this case up to 10% for being a very serious infringement, Article 63.1 of the LDC refers to the "total turnover of the infringing company in the fiscal year immediately preceding the imposition of the fine," a concept with which the legislator, as the Supreme Court points out, “has sought to emphasize that the turnover figure used as the basis for the percentage is not limited to a part but to the "whole" of that volume. In other words, with the notion of "total volume," it has opted to unify the concept so that it is not possible to distinguish between gross income aggregated or disaggregated by branches of activity of the infringing company.” It thus rejects the interpretation according to which this percentage should be calculated on the turnover relating to the sector of activity to which the conduct or infringement is confined.</w:t>
        <w:br/>
        <w:t>- Within the sanctioning range that runs up to the maximum percentage set in Article 63 of the LDC, the fines must be graduated in accordance with Article 64 of the LDC, as previously mentioned.</w:t>
        <w:br/>
        <w:t>- Finally, the 9th Legal Basis of the judgment emphasizes the necessary deterrence and proportionality that must guide the exercise of the sanctioning power, along with the precise attention to the graduation criteria previously pointed out. Thus, it states that “the administrative sanctions provided for the exercise of activities […] must be set at a level sufficiently deterrent so that, when making their own decisions, companies do not seek to obtain economic benefits derived from the infringements that turn out to be greater than the costs (the sanctions) inherent to repression of the infringements.”</w:t>
      </w:r>
    </w:p>
    <w:p>
      <w:r>
        <w:rPr>
          <w:b/>
        </w:rPr>
        <w:t>[Pages 142–144]</w:t>
      </w:r>
    </w:p>
    <w:p>
      <w:r>
        <w:t xml:space="preserve">those." It also specifies that the deterrent purpose of fines in competition law cannot be established as the prevailing reference point for calculation in a specific case, displacing the principle of proportionality.  </w:t>
        <w:br/>
        <w:t xml:space="preserve">6.2.- Criteria for determining the sanction: overall assessment of the conduct  </w:t>
        <w:br/>
        <w:t xml:space="preserve">This involves several infringements affecting two vertically related product markets, that of the manufacture and sale of cement and concrete. The infringement of most companies is confined to one market or the other, and only in the case of CPV and CEMEX (vertically integrated companies) do the infringements extend to both product markets. The infringement in the cement market consists of the exchange of sensitive information and market sharing, while the infringement in the concrete market, referring to one or more geographical areas, consists of the exchange of sensitive commercial information, market sharing, and price agreements.  </w:t>
        <w:br/>
        <w:t xml:space="preserve">It therefore constitutes a very serious infringement (art. 62.4.a) that may be sanctioned with a fine of up to 10% of the total turnover of the infringing companies in 2015, which is the year immediately preceding the imposition of the fine (art. 63.1.c).  </w:t>
        <w:br/>
        <w:t xml:space="preserve">The following table shows the total turnover of the infringing companies in 2015:  </w:t>
        <w:br/>
        <w:t xml:space="preserve">Total Turnover  </w:t>
        <w:br/>
        <w:t xml:space="preserve">Companies in 2015 (€)  </w:t>
        <w:br/>
        <w:t xml:space="preserve">ALMACENES Y HORMIGONES CREACONS, S.L. 6,734,512  </w:t>
        <w:br/>
        <w:t xml:space="preserve">ANDALUZA DE MORTEROS, S.A. 812,864  </w:t>
        <w:br/>
        <w:t xml:space="preserve">ARIDOS Y HORMIGONES HISPALENSE, S.L. 2,417,395  </w:t>
        <w:br/>
        <w:t xml:space="preserve">BETÓN CATALÁN, S.A. 45,190,880  </w:t>
        <w:br/>
        <w:t xml:space="preserve">BETONALIA, S.L. 5,662,327  </w:t>
        <w:br/>
        <w:t xml:space="preserve">CEMENTOS PORTLAND VALDERRIVAS, S.A. 197,233,695  </w:t>
        <w:br/>
        <w:t xml:space="preserve">CEMEX ESPAÑA OPERACIONES, S.L.U. 217,240,000  </w:t>
        <w:br/>
        <w:t xml:space="preserve">CEMINTER HISPANIA, S.A. 4,836,586  </w:t>
        <w:br/>
        <w:t xml:space="preserve">COMERCIAL ARROYO CONSTRUCCIÓN, S.A. 16,083,855  </w:t>
        <w:br/>
        <w:t xml:space="preserve">HANSON HISPANIA, S.A. 32,557,381  </w:t>
        <w:br/>
        <w:t xml:space="preserve">HOLCIM ESPAÑA, S.A. 102,611,000  </w:t>
        <w:br/>
        <w:t xml:space="preserve">HORMIBUSA, S.L. 2,911,323  </w:t>
        <w:br/>
        <w:t xml:space="preserve">HORMIGONES DE SEVILLA, S.L. 884,297  </w:t>
        <w:br/>
        <w:t xml:space="preserve">HORMIGONES POLICHI, S.L. (POLICHI) 300,071  </w:t>
        <w:br/>
        <w:t xml:space="preserve">HORMIGONES PREMACONS, S.L. No activity  </w:t>
        <w:br/>
        <w:t xml:space="preserve">HORMIGONES UTRERA, S.L. (UTRERA) 40,498  </w:t>
        <w:br/>
        <w:t xml:space="preserve">LAFARGE CEMENTOS, S.A. 140,313,000  </w:t>
        <w:br/>
        <w:t xml:space="preserve">MATERIALES Y HORMIGONES, S.L. 18,074,885  </w:t>
        <w:br/>
        <w:t xml:space="preserve">PREBETONG HORMIGONES, S.A. 42,823,694  </w:t>
        <w:br/>
        <w:t xml:space="preserve">PREFABRICADOS LEFLET, S.L. 947,223  </w:t>
        <w:br/>
        <w:t xml:space="preserve">PREFABRICADOS LIGEROS DE HORMIGON, S.L. 1,422,635  </w:t>
        <w:br/>
        <w:t xml:space="preserve">PROMOTORA MEDITERRÁNEA 2, S.A. 44,366,000  </w:t>
        <w:br/>
        <w:t xml:space="preserve">SURGYPS, S.A. (SURGYPS) 189,466  </w:t>
        <w:br/>
        <w:t xml:space="preserve">TENESIVER, S.L. 3,182,984  </w:t>
        <w:br/>
        <w:t xml:space="preserve">As stated at the beginning of the resolution, POLICHI has not responded to the information requests made throughout this file, and has not published annual accounts since 2012; however, there is no record that this company has been dissolved, so, without prejudice to other measures that may be taken due to its lack of cooperation, it has been decided to use the last known turnover as a reference, which is also the smallest of the available figures.  </w:t>
        <w:br/>
        <w:t xml:space="preserve">For its part, as also indicated at the beginning of this resolution, HORMIGONES PREMACONS ceased activity on December 31, 2013, but from that date CREACONS, which also appears as an infringer in this file, succeeded PREMACONS in its activity.  </w:t>
        <w:br/>
        <w:t xml:space="preserve">Taking into account these figures provided by the companies, the sanctioning percentage to be applied in this file must be determined based on the grading criteria of Article 64.1 of the LDC, in accordance with what is stated in the aforementioned jurisprudence of the Supreme Court.  </w:t>
        <w:br/>
        <w:t xml:space="preserve">From a global perspective of the infringement, the product markets affected by the behaviors, as already noted, are those of cement and concrete manufacturing.  </w:t>
        <w:br/>
        <w:t xml:space="preserve">Regarding the scope of the conduct, throughout the period in which the behaviors subject to this resolution have developed, the market share of cement affected by the infringement has been significant, as the companies involved represent more than 50% of the cement market in Spain. Regarding the concrete market, several of the companies involved in the file are among the main groups and companies manufacturing construction materials in 2015. In any case, a significant part of the cement and concrete markets has not been involved in the collusive agreements that are the subject of this Resolution.  </w:t>
        <w:br/>
        <w:t xml:space="preserve">On the other hand, the geographical scope of the conduct in the cement market is national, while the conduct in the concrete market has been shown to have affected one or more geographical areas, identified as Central, Southern, and Northeastern Spain, which comprise the provinces described in the Established Facts in this Resolution, and which together represent a high proportion of the Spanish provinces.  </w:t>
        <w:br/>
        <w:t xml:space="preserve">These are two vertically related markets and together constitute a necessary input for other relevant sectors in the economy, especially the construction and civil works sectors. The behaviors affect consumers indirectly, through the increase in public works costs, or directly when acquiring a home or any type of private building. It is worth noting that the construction sector accounts for 4.9% of Spanish GDP.  </w:t>
        <w:br/>
        <w:t xml:space="preserve">No other circumstances of the conduct have been proven, apart from those mentioned in the previous paragraphs, that would advise considering it particularly burdensome for society.  </w:t>
        <w:br/>
        <w:t xml:space="preserve">Following the aforementioned judgment of the Supreme Court, the set of factors exposed above – severity of the infringement, scope and geographical area of the conduct, characteristics of the affected market, etc. – allows for a specification, within the sanctioning scale that runs up to 10% of the total turnover, of the overall assessment of the unlawful density of the conduct. Consequently, this Council considers that the overall sanctioning rate in this file should generally be set at 4.00%, without prejudice to the adjustments that should be made individually according to the conduct of each company.  </w:t>
        <w:br/>
        <w:t xml:space="preserve">6.3.- Criteria for the individual assessment of the conduct: participation in the conduct.  </w:t>
        <w:br/>
        <w:t xml:space="preserve">Within the criteria for individualizing the sanctioning reproach, it is advisable to mainly consider the participation of each company in the turnover in the affected markets during the infringement. This figure corresponds to the billing of the infringing companies in the cement and concrete manufacturing markets in Spain. These data can be deduced from the information provided by the companies at the request of the CNMC.  </w:t>
        <w:br/>
        <w:t>The turnover of the companies charged in the affected markets during the conduct shows the dimension of the market affected by</w:t>
      </w:r>
    </w:p>
    <w:p>
      <w:r>
        <w:rPr>
          <w:b/>
        </w:rPr>
        <w:t>[Pages 145–147]</w:t>
      </w:r>
    </w:p>
    <w:p>
      <w:r>
        <w:t xml:space="preserve">each one due to the infringement, which depends both on the duration of the conduct that has been proven for each company and on the intensity of its participation in it, and constitutes therefore an appropriate reference criterion for determining the sanction that should be imposed on each company (art. 64, 1, a and d). </w:t>
        <w:br/>
        <w:t>The following table shows the volume of business in the affected markets for each company during the infringement, as well as the participation share of each company in the total business volume affected by the conduct in each market:</w:t>
      </w:r>
    </w:p>
    <w:p>
      <w:r>
        <w:t>| Company | Volume of business affected in the concrete market (€) | Volume of business affected in the cement market (€) | Participation in the conduct in the concrete market (%) | Participation in the conduct in the cement market (%) |</w:t>
        <w:br/>
        <w:t>|---------|-------------------------------------------------------|-----------------------------------------------------|-------------------------------------------------------|-----------------------------------------------------|</w:t>
        <w:br/>
        <w:t>| ALMACENES Y HORMIGONES CREACONS, S.L. | 3,477,889 | - | 0.39% | - |</w:t>
        <w:br/>
        <w:t>| ANDALUZA DE MORTEROS, S.A. | 7,238,979 | - | 0.81% | - |</w:t>
        <w:br/>
        <w:t>| ARIDOS Y HORMIGONES HISPALENSE, S.L. | 14,878,937 | - | 1.66% | - |</w:t>
        <w:br/>
        <w:t>| BETÓN CATALÁN, S.A. | 325,146,000 | - | 36.33% | - |</w:t>
        <w:br/>
        <w:t>| BETONALIA, S.L. | 14,207,292 | - | 1.59% | - |</w:t>
        <w:br/>
        <w:t>| CEMENTOS PORTLAND VALDERRIVAS, S.A. | 27,880,668 | 315,757,731 | 3.12% | 67.76% |</w:t>
        <w:br/>
        <w:t>| CEMEX ESPAÑA OPERACIONES, S.L.U. | 69,599,920 | 72,490,000 | 7.78% | 15.56% |</w:t>
        <w:br/>
        <w:t>| CEMINTER HISPANIA, S.A. | 4,693,313 | - | 1.01% | - |</w:t>
        <w:br/>
        <w:t>| COMERCIAL ARROYO CONSTRUCCIÓN, S.A. | 1,070,804 | - | 0.12% | - |</w:t>
        <w:br/>
        <w:t>| HANSON HISPANIA, S.A. | 5,579,106 | - | 0.62% | - |</w:t>
        <w:br/>
        <w:t>| HOLCIM ESPAÑA, S.A. | 73,039,000 | - | 15.67% | - |</w:t>
        <w:br/>
        <w:t>| HORMIBUSA, S.L. | 1,860,942 | - | 0.21% | - |</w:t>
        <w:br/>
        <w:t>| HORMIGONES DE SEVILLA, S.L. | 7,116,089 | - | 0.80% | - |</w:t>
        <w:br/>
        <w:t>| HORMIGONES POLICHI, S.L. (POLICHI) | 1,947,086 | - | 0.22% | - |</w:t>
        <w:br/>
        <w:t>| HORMIGONES PREMACONS, S.L. | 3,442,674 | - | 0.38% | - |</w:t>
        <w:br/>
        <w:t>| HORMIGONES UTRERA, S.L. (UTRERA) | 3,461,075 | - | 0.39% | - |</w:t>
        <w:br/>
        <w:t>| LAFARGE CEMENTOS, S.A. | 12,962,307 | - | 1.45% | - |</w:t>
        <w:br/>
        <w:t>| MATERIALES Y HORMIGONES, S.L. | 10,925,261 | - | 1.22% | - |</w:t>
        <w:br/>
        <w:t>| PREBETONG HORMIGONES, S.A. | 16,496,604 | - | 1.84% | - |</w:t>
        <w:br/>
        <w:t>| PREFABRICADOS LEFLET, S.L. | 2,231,831 | - | 0.25% | - |</w:t>
        <w:br/>
        <w:t>| PREFABRICADOS LIGEROS DE HORMIGON, S.L. | 3,028,144 | - | 0.34% | - |</w:t>
        <w:br/>
        <w:t>| PROMOTORA MEDITERRÁNEA 2, S.A. | 349,585,000 | - | 39.06% | - |</w:t>
        <w:br/>
        <w:t>| SURGYPS, S.A. (SURGYPS) | 5,208,591 | - | 0.58% | - |</w:t>
        <w:br/>
        <w:t>| TENESIVER, S.L. | 7,681,036 | - | 0.86% | - |</w:t>
        <w:br/>
        <w:t>| **Total** | **895,026,236** | **465,980,044** | **100.00%** | **100.00%** |</w:t>
      </w:r>
    </w:p>
    <w:p>
      <w:r>
        <w:t>It is considered appropriate for the necessary individualization of the sanctions to increase the percentage of the sanction for those companies that have had a more significant participation in the conduct, understanding such participation as exceeding 5% of the business volume in any of the affected markets. However, since there are two affected product markets due to the conduct, the concrete market and the cement market, the upward adjustments of the individual sanction rates have been made weighing the participation shares of the companies in each market with the weight of each market in the overall infringement (65.8% of the affected business volume corresponds to the concrete market and 34.2% to the cement market).</w:t>
      </w:r>
    </w:p>
    <w:p>
      <w:r>
        <w:t>6.4.- Criteria for the individual assessment of the conduct: aggravating and mitigating circumstances</w:t>
        <w:br/>
        <w:t xml:space="preserve">Regarding aggravating circumstances, it has been taken into account that in the file S/0179/09 HORMIGÓN Y PRODUCTOS RELACIONADOS, the Council of the defunct National Competition Commission decided to sanction CEMENTOS PORTLAND VALDERRIVAS and CEMEX ESPAÑA for the price fixing of concrete supply and the division of this market in the Foral Community of Navarra and neighboring areas, thus the circumstances provided for in Article 64.2.a of the LDC ("The repeated commission of offenses typified in this Law") are present. </w:t>
        <w:br/>
        <w:t>No other aggravating circumstances have been proven, nor mitigating circumstances.</w:t>
      </w:r>
    </w:p>
    <w:p>
      <w:r>
        <w:t>6.5.- Sanction to be imposed on the infringing entities</w:t>
        <w:br/>
        <w:t>In accordance with all that has been stated, this Chamber considers that it is appropriate to impose on the infringing entities to which the LDC applies the sanction shown in the following table:</w:t>
      </w:r>
    </w:p>
    <w:p>
      <w:r>
        <w:t>| Company | Total volume of business (in €) | Type of sanction (%) | Fine (in €) |</w:t>
        <w:br/>
        <w:t>|---------|----------------------------------|---------------------|-------------|</w:t>
        <w:br/>
        <w:t>| ALMACENES Y HORMIGONES CREACONS, S.L. | 6,734,512 | 2.90% | 195,301 |</w:t>
        <w:br/>
        <w:t>| ANDALUZA DE MORTEROS, S.A. | 812,864 | 4.00% | 32,515 |</w:t>
        <w:br/>
        <w:t>| ARIDOS Y HORMIGONES HISPALENSE, S.L. | 2,417,395 | 4.00% | 96,696 |</w:t>
        <w:br/>
        <w:t>| BETÓN CATALÁN, S.A. | 45,190,880 | 5.20% | 2,349,926 |</w:t>
        <w:br/>
        <w:t>| BETONALIA, S.L. | 5,662,327 | 4.00% | 226,493 |</w:t>
        <w:br/>
        <w:t>| CEMENTOS PORTLAND VALDERRIVAS, S.A. | 197,233,695 | 5.20% | 10,256,152 |</w:t>
        <w:br/>
        <w:t>| CEMEX ESPAÑA OPERACIONES, S.L.U. | 217,240,000 | 2.70% | 5,865,480 |</w:t>
        <w:br/>
        <w:t>| CEMINTER HISPANIA, S.A. | 4,836,586 | 4.00% | 193,463 |</w:t>
        <w:br/>
        <w:t>| COMERCIAL ARROYO CONSTRUCCIÓN, S.A. | 16,083,855 | 0.40% | 64,335 |</w:t>
        <w:br/>
        <w:t>| HANSON HISPANIA, S.A. | 32,557,381 | 1.00% | 325,574 |</w:t>
        <w:br/>
        <w:t>| HOLCIM ESPAÑA, S.A. | 102,611,000 | 4.30% | 4,412,273 |</w:t>
        <w:br/>
        <w:t>| HORMIBUSA, S.L. | 2,911,323 | 3.60% | 104,808 |</w:t>
        <w:br/>
        <w:t>| HORMIGONES DE SEVILLA, S.L. | 884,297 | 4.00% | 35,372 |</w:t>
        <w:br/>
        <w:t>| HORMIGONES POLICHI, S.L. (POLICHI) | 300,071 | 4.00% | 12,003 |</w:t>
        <w:br/>
        <w:t>| HORMIGONES PREMACONS, S.L. | 6,734,512 | 2.10% | 141,425 |</w:t>
        <w:br/>
        <w:t>| HORMIGONES UTRERA, S.L. (UTRERA) | 40,498 | 4.00% | 1,620 |</w:t>
        <w:br/>
        <w:t>| LAFARGE CEMENTOS, S.A. | 140,313,000 | 0.80% | 1,122,504 |</w:t>
        <w:br/>
        <w:t>| MATERIALES Y HORMIGONES, S.L. | 18,074,885 | 3.40% | 614,546 |</w:t>
        <w:br/>
        <w:t>| PREBETONG HORMIGONES, S.A. | 42,823,694 | 1.60% | 685,179 |</w:t>
        <w:br/>
        <w:t>| PREFABRICADOS LEFLET, S.L. | 947,223 | 4.00% | 37,889 |</w:t>
        <w:br/>
        <w:t>| PREFABRICADOS LIGEROS DE HORMIGON, S.L. | 1,422,635 | 4.00% | 56,905 |</w:t>
        <w:br/>
        <w:t>| PROMOTORA MEDITERRÁNEA 2, S.A. | 44,366,000 | 5.30% | 2,351,398 |</w:t>
        <w:br/>
        <w:t>| SURGYPS, S.A. (SURGYPS) | 189,466 | 4.00% | 7,579 |</w:t>
        <w:br/>
        <w:t>| TENESIVER, S.L. | 3,182,984 | 4.00% | 127,319 |</w:t>
      </w:r>
    </w:p>
    <w:p>
      <w:r>
        <w:t>As previously indicated, the total business volume of POLICHI used to determine the sanction has been estimated based on the last fiscal year for which annual accounts were published, which was 2012.</w:t>
      </w:r>
    </w:p>
    <w:p>
      <w:r>
        <w:rPr>
          <w:b/>
        </w:rPr>
        <w:t>[Pages 148–150]</w:t>
      </w:r>
    </w:p>
    <w:p>
      <w:r>
        <w:t>As mentioned earlier, HORMIGONES PREMACONS has ceased operations, so its total turnover for the year 2015 is not available. However, CREACONS succeeded PREMACONS in its activities, so the sanctioning rate that would have corresponded to PREMACONS has been applied to the turnover of CREACONS.</w:t>
      </w:r>
    </w:p>
    <w:p>
      <w:r>
        <w:t>In the case of nine infringing companies – CEMEX ESPAÑA, PREBETONG HORMIGONES, ALMACENES Y HORMIGONES CREACONS, COMERCIAL ARROYO CONSTRUCCIÓN, HANSON HISPANIA, HORMIBUSA, HORMIGONES PREMACONS, LAFARGE CEMENTOS, and MATERIALES Y HORMIGONES – the final sanctioning rate shown in the previous table is lower than what would have corresponded to them according to the severity of the conduct and their participation in the infringement (it would have been 4.9% in the case of CEMEX España and 4.0% in the case of the other seven companies). The sanctioning rate for these nine companies has been adjusted downward to ensure that the imposed sanction is proportional to the actual dimension of the infringement, in accordance with the aforementioned jurisprudence of the Supreme Court.</w:t>
      </w:r>
    </w:p>
    <w:p>
      <w:r>
        <w:t>To make any assessment of proportionality, it is necessary to estimate the illicit benefit that the infringing entity could have obtained from the conduct under very prudent assumptions (which can be termed potential illicit benefit). According to the estimates made with those prudent assumptions, if the respective sanctioning rate that would correspond to CEMEX ESPAÑA, PREBETONG HORMIGONES, ALMACENES Y HORMIGONES CREACONS, COMERCIAL ARROYO CONSTRUCCIÓN, HANSON HISPANIA, HORMIBUSA, HORMIGONES PREMACONS, LAFARGE CEMENTOS, and MATERIALES Y HORMIGONES were applied according to the severity of the conduct and their participation in the infringement (4.9% and 4.0%, depending on the case, as mentioned in the previous paragraph), the resulting sanctions would exceed the estimated proportionality limit, which implies that they would be disproportionate. Therefore, this Council has deemed it necessary to adjust the sanctioning rate of these companies – to a greater or lesser extent – down to the respective sanctioning rates reflected in the previous table, which ensure that the sanction does not exceed the estimated proportionality limit with those prudent criteria. Among other factors, it is worth highlighting that some of these companies have in common that they participated in the infringement in one or more years of the most recent period, between 2012 and 2014, so the estimation of the potential illicit benefit has taken into account, along with the other factors.</w:t>
      </w:r>
    </w:p>
    <w:p>
      <w:r>
        <w:t>These assumptions refer to various economic parameters, including the profit margin of companies under competitive conditions, the price increase resulting from the infringement, and the price elasticity of demand in the relevant market. When possible, the assumptions made are based on data from the infringing companies themselves or on public databases related to the relevant market, such as the sector ratios of non-financial companies from the Bank of Spain. When it is not possible to have specific data, the assumptions are based on estimates from economic literature.</w:t>
      </w:r>
    </w:p>
    <w:p>
      <w:r>
        <w:t>The assumptions about these parameters are very prudent because they are required to always be reasonable from an economic point of view, and in case of doubt, the most favorable values for the companies are always taken.</w:t>
      </w:r>
    </w:p>
    <w:p>
      <w:r>
        <w:t>In the case of the remaining companies, it has not been necessary to make a similar proportionality adjustment because the sanctions resulting from applying the sanctioning rates that correspond to them, according to the severity of the conduct and their participation in the infringement, are always below the respective estimated proportionality limits with the same prudent criteria.</w:t>
      </w:r>
    </w:p>
    <w:p>
      <w:r>
        <w:t>Therefore, in view of the cited articles and the others of general application, the Competition Chamber of the National Commission of Markets and Competition,</w:t>
      </w:r>
    </w:p>
    <w:p>
      <w:r>
        <w:t>HAS RESOLVED</w:t>
      </w:r>
    </w:p>
    <w:p>
      <w:r>
        <w:t>FIRST.- To declare that in this file, four infringements of Article 1 of Law 15/2007, of July 3, on the Defense of Competition, have been proven, in the terms set out in the Fourth Legal Basis of this Resolution.</w:t>
      </w:r>
    </w:p>
    <w:p>
      <w:r>
        <w:t>SECOND.- In accordance with the responsibility attributed in the Fourth Legal Basis, to declare the following companies responsible for the aforementioned infringements:</w:t>
        <w:br/>
        <w:t>1. ALMACENES Y HORMIGONES CREACONS, S.L. for participating in an exchange of sensitive commercial information and market sharing of concrete in the Southern area.</w:t>
        <w:br/>
        <w:t>2. ANDALUZA DE MORTEROS, S.A. for participating in an exchange of sensitive commercial information, market sharing of concrete in the Southern area.</w:t>
        <w:br/>
        <w:t>3. ARIDOS Y HORMIGONES HISPALENSE, S.L. for participating in an exchange of sensitive commercial information, market sharing of concrete in the Southern area.</w:t>
        <w:br/>
        <w:t>4. BETÓN CATALÁN, S.A. for participating in an exchange of sensitive commercial information, market sharing and price agreement of concrete in the Northeast, Central, and Southern areas.</w:t>
        <w:br/>
        <w:t>5. BETONALIA, S.L. for participating in an exchange of sensitive commercial information, market sharing and price agreement of concrete in the Southern area.</w:t>
        <w:br/>
        <w:t>6. CEMENTOS PORTLAND VALDERRIVAS, S.A., for participating in an exchange of sensitive commercial information and market sharing of cement, and exchange of sensitive commercial information, price agreement and market sharing in the concrete market in the Northeast, Central, and Southern areas.</w:t>
        <w:br/>
        <w:t>7. CEMEX ESPAÑA OPERACIONES, S.L.U. for participating in an exchange of sensitive commercial information and market sharing of cement, and exchange of sensitive commercial information and market sharing in the concrete market in the Northeast and Central areas.</w:t>
        <w:br/>
        <w:t>8. CEMINTER HISPANIA, S.A. for participating in an exchange of sensitive commercial information and market sharing of cement.</w:t>
        <w:br/>
        <w:t>9. COMERCIAL ARROYO CONSTRUCCIÓN, S.A. for participating in an exchange of sensitive commercial information, market sharing of concrete in the Central area.</w:t>
        <w:br/>
        <w:t>10. HANSON HISPANIA, S.A. for participating in an exchange of sensitive commercial information, market sharing and price agreement of concrete in the Northeast area.</w:t>
        <w:br/>
        <w:t>11. HOLCIM ESPAÑA, S.A. for participating in an exchange of sensitive commercial information and market sharing in the cement market.</w:t>
        <w:br/>
        <w:t>12. HORMIBUSA, S.L. for participating in an exchange of sensitive commercial information and market sharing of concrete in the Central area.</w:t>
        <w:br/>
        <w:t>13. HORMIGONES DE SEVILLA, S.L. for participating in an exchange of sensitive commercial information, price agreement and market sharing of concrete in the Southern area.</w:t>
        <w:br/>
        <w:t>14. HORMIGONES POLICHI, S.L. for participating in an exchange of sensitive commercial information and market sharing of concrete in the Southern area.</w:t>
        <w:br/>
        <w:t>15. HORMIGONES PREMACONS, S.L. for participating in an exchange of sensitive commercial information and market sharing of concrete in the Southern area. The responsibility for this infringement is transferred to the company that succeeded the infringer in its activity, which is ALMACENES Y HORMIGONES CREACONS, S.L.</w:t>
        <w:br/>
        <w:t>16. HORMIGONES UTRERA, S.L. for participating in an exchange of sensitive commercial information and market sharing of concrete in the Southern area.</w:t>
        <w:br/>
        <w:t>17. LAFARGE CEMENTOS, S.A. for participating in an exchange of sensitive commercial information and market sharing in the concrete market in the Northeast and Southern areas.</w:t>
      </w:r>
    </w:p>
    <w:p>
      <w:r>
        <w:rPr>
          <w:b/>
        </w:rPr>
        <w:t>[Pages 151–153]</w:t>
      </w:r>
    </w:p>
    <w:p>
      <w:r>
        <w:t xml:space="preserve">18. MATERIALES Y HORMIGONES, S.L. for participating in an exchange of sensitive commercial information and market sharing of concrete in the Central area.  </w:t>
        <w:br/>
        <w:t xml:space="preserve">19. PREBETONG HORMIGONES, S.A. for participating in an exchange of sensitive commercial information and market sharing of concrete in the Southern area.  </w:t>
        <w:br/>
        <w:t xml:space="preserve">20. PREFABRICADOS LEFLET, S.L. for participating in an exchange of sensitive commercial information and market sharing of concrete in the Southern area.  </w:t>
        <w:br/>
        <w:t xml:space="preserve">21. PREFABRICADOS LIGEROS DE HORMIGON, S.L. for participating in an exchange of sensitive commercial information and market sharing of concrete in the Southern area.  </w:t>
        <w:br/>
        <w:t xml:space="preserve">22. PROMOTORA MEDITERRÁNEA 2, S.A. for participating in an exchange of sensitive commercial information, market sharing, and price agreements for concrete in the Northeastern area.  </w:t>
        <w:br/>
        <w:t xml:space="preserve">23. SURGYPS, S.A. for participating in an exchange of sensitive commercial information and market sharing of concrete in the Southern area.  </w:t>
        <w:br/>
        <w:t xml:space="preserve">24. TENESIVER, S.L. for participating in an exchange of sensitive commercial information and market sharing of concrete in the Central area.  </w:t>
        <w:br/>
        <w:t xml:space="preserve">THIRD.- Impose the following fines on the responsible authors of the infringing conduct:  </w:t>
        <w:br/>
        <w:t xml:space="preserve">1. ALMACENES Y HORMIGONES CREACONS, S.L.: 195,301 euros  </w:t>
        <w:br/>
        <w:t xml:space="preserve">2. ANDALUZA DE MORTEROS, S.A.: 32,515 euros  </w:t>
        <w:br/>
        <w:t xml:space="preserve">3. ARIDOS Y HORMIGONES HISPALENSE, S.L.: 96,696 euros  </w:t>
        <w:br/>
        <w:t xml:space="preserve">4. BETÓN CATALÁN, S.A.: 2,349,926 euros  </w:t>
        <w:br/>
        <w:t xml:space="preserve">5. BETONALIA, S.L.: 226,493 euros  </w:t>
        <w:br/>
        <w:t xml:space="preserve">6. CEMENTOS PORTLAND VALDERRIVAS, S.A.: 10,256,152 euros.  </w:t>
        <w:br/>
        <w:t xml:space="preserve">7. CEMEX ESPAÑA OPERACIONES, S.L.U.: 5,865,480 euros  </w:t>
        <w:br/>
        <w:t xml:space="preserve">8. CEMINTER HISPANIA, S.A.: 193,463 euros  </w:t>
        <w:br/>
        <w:t xml:space="preserve">9. COMERCIAL ARROYO CONSTRUCCIÓN, S.A.: 64,335 euros  </w:t>
        <w:br/>
        <w:t xml:space="preserve">10. HANSON HISPANIA, S.A.: 325,574 euros  </w:t>
        <w:br/>
        <w:t xml:space="preserve">11. HOLCIM ESPAÑA, S.A.: 4,412,273 euros  </w:t>
        <w:br/>
        <w:t xml:space="preserve">12. HORMIBUSA, S.L.: 104,808 euros  </w:t>
        <w:br/>
        <w:t xml:space="preserve">13. HORMIGONES DE SEVILLA, S.L.: 35,372 euros  </w:t>
        <w:br/>
        <w:t xml:space="preserve">14. HORMIGONES POLICHI, S.L.: 12,003 euros  </w:t>
        <w:br/>
        <w:t xml:space="preserve">15. HORMIGONES PREMACONS, S.L.: 141,425 euros  </w:t>
        <w:br/>
        <w:t xml:space="preserve">16. HORMIGONES UTRERA, S.L.: 1,620 euros  </w:t>
        <w:br/>
        <w:t xml:space="preserve">17. LAFARGE CEMENTOS, S.A.: 1,122,504 euros  </w:t>
        <w:br/>
        <w:t xml:space="preserve">18. MATERIALES Y HORMIGONES, S.L.: 614,546 euros  </w:t>
        <w:br/>
        <w:t xml:space="preserve">19. PREBETONG HORMIGONES, S.A.: 685,179 euros  </w:t>
        <w:br/>
        <w:t xml:space="preserve">20. PREFABRICADOS LEFLET, S.L.: 37,889 euros  </w:t>
        <w:br/>
        <w:t xml:space="preserve">21. PREFABRICADOS LIGEROS DE HORMIGON, S.L.: 56,905 euros  </w:t>
        <w:br/>
        <w:t xml:space="preserve">22. PROMOTORA MEDITERRÁNEA 2, S.A.: 2,351,398 euros  </w:t>
        <w:br/>
        <w:t xml:space="preserve">23. SURGYPS, S.A.: 7,579 euros  </w:t>
        <w:br/>
        <w:t xml:space="preserve">24. TENESIVER, S.L.: 127,319 euros  </w:t>
        <w:br/>
        <w:t xml:space="preserve">FOURTH.- Order the sanctioned companies to refrain from engaging in the sanctioned practices and any other practices of equivalent effect in the future.  </w:t>
        <w:br/>
        <w:t xml:space="preserve">FIFTH.- Urge the Competition Directorate of this National Commission of Markets and Competition to monitor and ensure the full compliance with this Resolution.  </w:t>
        <w:br/>
        <w:t xml:space="preserve">SIXTH.- Urge the Competition Directorate to investigate the behavior of the company HORMIGONES POLICHI, S.L. during the instruction of this file to determine if it could be considered liable for having infringed the duty of cooperation with the National Commission of Markets and Competition, having not provided the requested information.  </w:t>
        <w:br/>
        <w:t xml:space="preserve">SEVENTH.- Resolve on the confidentiality regarding the documentation provided by the companies in accordance with what is stated in the Fifth Legal Basis.  </w:t>
        <w:br/>
        <w:t>Communicate this Resolution to the Competition Directorate of the National Commission of Markets and Competition and notify the interested parties, informing them that there is no administrative appeal against it, and that they may file a contentious-administrative appeal before the National Court within two months from the day following its notification.</w:t>
      </w:r>
    </w:p>
    <w:p>
      <w:r>
        <w:t xml:space="preserve">DISSENTING INDIVIDUAL VOTE formulated by the Counselor Mr. Fernando Torremocha y García-Sáenz to the Resolution that has been sent to me at 18:17 hours today, approved by the simple majority of this Chamber within the framework of File S/DC/0525/14 CEMENTOS  </w:t>
        <w:br/>
        <w:t xml:space="preserve">I develop my Dissent in the following REASONS  </w:t>
        <w:br/>
        <w:t xml:space="preserve">FIRST.- The Competition Directorate on November 18 of last year 2015, within the framework of this Sanctioning File, based on the provisions of Article 50.3 of Law 15/2007 of July 3, on the Defense of Competition “collected in a Specification of Specification of Facts, those that may constitute an infringement,” which was notified to all interested parties so that, within a period of fifteen days, they could respond and, if applicable, propose the evidence they deem pertinent.  </w:t>
        <w:br/>
        <w:t xml:space="preserve">Thus, in section 7. CONCLUSION in accordance with Article 33.1 of the Competition Defense Regulation, it considers  </w:t>
        <w:br/>
        <w:t xml:space="preserve">“The practices carried out by (…) consisting of an exchange of sensitive commercial information and market sharing of cement and exchange of sensitive commercial information, market sharing, and price agreements in the concrete market, constitute A UNIQUE AND CONTINUED INFRINGEMENT classified under Article 1 of Law 16/1989 and the current LDC.”  </w:t>
        <w:br/>
        <w:t xml:space="preserve">The Resolution finally approved today and concerning the Dispositive or Resolves Part states  </w:t>
        <w:br/>
        <w:t xml:space="preserve">FIRST.- Declare that in this file, FOUR INFRINGEMENTS of Article 1 of Law 15/2007 of July 3, on the Defense of Competition, have been accredited, in the terms set forth in the Fourth Legal Basis of this Resolution.  </w:t>
        <w:br/>
        <w:t xml:space="preserve">-----0-----  </w:t>
        <w:br/>
        <w:t>Law 16/1989 of July 17, on the Defense of Competition already addressed THE LIMITS of this administrative act, in order to: the clear specification,</w:t>
      </w:r>
    </w:p>
    <w:p>
      <w:r>
        <w:rPr>
          <w:b/>
        </w:rPr>
        <w:t>[Pages 154–156]</w:t>
      </w:r>
    </w:p>
    <w:p>
      <w:r>
        <w:t>Law 15/2007 of July 3, on the Defense of Competition, in the terms set forth in the Legal Basis Fourth of this Resolution.</w:t>
        <w:br/>
        <w:t>-----0-----</w:t>
        <w:br/>
        <w:t>Law 16/1989 of July 17, on the Defense of Competition already addressed THE LIMITS of this administrative act, in order to: the clear, precise, and reasoned specification of the Statement of Facts and subsequently, the Proposal for Resolution.</w:t>
        <w:br/>
        <w:t>Statement of Facts provided to collect the Proven Facts that may constitute an infringement, with the obligation to be notified to the alleged infringers, for the purposes previously provided.</w:t>
        <w:br/>
        <w:t>The Statement of Facts is, therefore, the administrative act that establishes the proven facts that constitute the accusation and the persons (natural or legal) charged, in such a way that the entire subsequent administrative procedure CANNOT DEVIATE from what is established therein, as has always been established by the Competition Defense Tribunal (among others, the Resolution of September 4, 2000, Sanctioning File AENOR). In it, it recalls that the European Court of Justice has repeatedly stated that "the respect for the rights of defense REQUIRES that, from the phase of the Administrative procedure, the interested company is offered the possibility to adequately express its point of view on the reality and relevance of the facts, allegations, and circumstances alleged by the Commission, in such a way that the Statement of Charges MUST PROVIDE the company with all the necessary elements to defend itself effectively. The Statement of Charges must clearly mention all essential elements…” (among others, the Judgments Hoffman-La Roche of February 11, 1979; Cimentieres CBR and others/Commission of December 18, 1992; CB and Europe/Commission of November 23, 1994).</w:t>
        <w:br/>
        <w:t>In the European Community regulations (REGULATION 99), the Statement of Charges is the document in which the Commission, after gathering the elements that allow it to establish sufficient evidence of the existence of an infringement, COLLECTS THE PROVEN FACTS AND FORMULATES THE ACCUSATION that it communicates to the accused parties for allegations (Article 2.1).</w:t>
        <w:br/>
        <w:t>Thus, the Statement of Charges has the effect of CRYSTALLIZING the position of the Commission, preventing it from maintaining in its Decision other charges different from those communicated (Judgments IBM of November 11, 1981 and Order Reynolds of June 18, 1986).</w:t>
        <w:br/>
        <w:t>The crystallization effect entails (a) that the Commission cannot base its decision on other factual data than those communicated; (b) that in order to base its decision on a factual element, the Commission must clearly indicate in the Statement of Charges what it intends to use and present such document against the company; (c) that the Commission cannot accuse a company of A DIFFERENT INFRINGEMENT from that stated in the Statement of Charges and, in particular, giving the facts a different qualification than that specified in the Statement of Charges; (d) that the Commission cannot accuse the company of an infringement whose duration is longer than that considered in the Statement of Charges, nor can it expand the scope or modify the nature of the charges; (e) that the Commission cannot base its decision on a legal conception different from those on which the Statement of Charges is based; and (f) that the Commission cannot impose fines without announcing its intention to do so (Judgments Wood Pulp II of March 3, 1986; Pioneer of June 7, 1983; Europay Order of February 23, 1994).</w:t>
        <w:br/>
        <w:t>THEREFORE, the decision adopted by simple majority is, in my opinion:</w:t>
        <w:br/>
        <w:t>1st null and void, with erga omnes effects, since it has violated the principles of legality and legal certainty under Article 9 of the Spanish Constitution, unnecessarily producing a state of defenselessness for the parties under Article 24.1 of the same Constitutional Text.</w:t>
        <w:br/>
        <w:t>2nd and I say unnecessarily, when for the EXTEMPORANEOUS REQUALIFICATION or, in the words of the Rapporteur, changing the initial qualification, the Legal System (Law 16/1989, Law 15/2007, and Law 30/1992) has ADEQUATE legal normative provisions to do so ex lege, among others, to issue an Agreement and/or Resolution in which it deems appropriate to requalify the behaviors and subsequent circumstances, notify such administrative decision to all interested parties, receive and resolve on the possible allegations to be received and adopt ex lege the decision it deems appropriate.</w:t>
        <w:br/>
        <w:t>What it cannot do, nor should it do, is act against the law.</w:t>
        <w:br/>
        <w:t>SECOND.- This second reason for DISCREPANCY is due to the violation of Article 63.1.b) of Law 15/2007 of July 3, on the Defense of Competition, which provides that “the competent bodies MAY impose (…) the following sanctions (c) very serious infringements with a fine of up to 10 percent of the total turnover of the infringing company in the financial year immediately preceding the imposition of the fine.”</w:t>
        <w:br/>
        <w:t>Consequently, starting from the irrefutable evidence that the company has systematically refused to provide the required turnover for the financial year prior to the imposition of the fine, this Chamber cannot arbitrarily and discriminatorily, violating the principle of legality, set it in the previous financial year 2012. The jurisprudential doctrine is clear, uniform, constant, and reiterated in this regard (among others, the Judgment of the National Court TRANSITARIOS PUERTO DE BARCELONA).</w:t>
        <w:br/>
        <w:t>Not being an admissible argument as heard in the deliberation that “then the company could not be sanctioned.” And even less having arguments (legal provisions) that do allow it.</w:t>
        <w:br/>
        <w:t>For example, stating that Article 67 Coercive Fines of Law 15/2007 of July 3, on the Defense of Competition “authorizes the imposition of coercive fines of up to €12,000 per day in order to compel them, among other particulars, (f) to comply with the duty of cooperation established in the previous Article 39.”</w:t>
        <w:br/>
        <w:t>With the possibility of filing immediate executive actions against the non-cooperating infringer and others, which the Legal System grants us.</w:t>
        <w:br/>
        <w:t>THIRD.- To note that having established the previous DISCREPANCIES, they do not exhaust the topic. Hence, I ADHERE to the reasons that make up the Dissenting Particular Vote of the Illustrious Counselor Mr. Benigno Valdés Díaz.</w:t>
        <w:br/>
        <w:t>Thus, by this Dissenting Particular Vote, I pronounce, command, and sign in Madrid on the date above.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