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https://www.cnmc.es/expedientes/sdc053914</w:t>
      </w:r>
    </w:p>
    <w:p>
      <w:r>
        <w:t>Pages translated : 25</w:t>
      </w:r>
    </w:p>
    <w:p/>
    <w:p>
      <w:r>
        <w:rPr>
          <w:b/>
        </w:rPr>
        <w:t>[Pages 1–3]</w:t>
      </w:r>
    </w:p>
    <w:p>
      <w:r>
        <w:t xml:space="preserve">RESOLUTION  </w:t>
        <w:br/>
        <w:t xml:space="preserve">Expte. S/DC/0539/14, Veterinary Medicines  </w:t>
        <w:br/>
        <w:t xml:space="preserve">COUNCIL. COMPETITION CHAMBER  </w:t>
        <w:br/>
        <w:t xml:space="preserve">PRESIDENT  </w:t>
        <w:br/>
        <w:t xml:space="preserve">Mr. José María Marín Quemada  </w:t>
        <w:br/>
        <w:t xml:space="preserve">COUNCILORS  </w:t>
        <w:br/>
        <w:t xml:space="preserve">Ms. María Ortiz Aguilar  </w:t>
        <w:br/>
        <w:t xml:space="preserve">Ms. Clotilde de la Higuera González  </w:t>
        <w:br/>
        <w:t xml:space="preserve">Ms. María Pilar Canedo Arrillaga  </w:t>
        <w:br/>
        <w:t xml:space="preserve">SECRETARY  </w:t>
        <w:br/>
        <w:t xml:space="preserve">Mr. Joaquim Hortalà i Vallvé  </w:t>
        <w:br/>
        <w:t xml:space="preserve">In Madrid, on October 7, 2018  </w:t>
        <w:br/>
        <w:t xml:space="preserve">The Competition Chamber of the National Commission of Markets and Competition (CNMC), with the composition stated, has issued the following resolution in the file S/0539/14 VETERINARY MEDICINES, processed by the Competition Directorate following the complaint filed by the National Association for Animal Health (ASEMAZ-ASA) against several companies dedicated to animal health1, for alleged restrictive competition behaviors prohibited under Article 1 of Law 15/2007, of July 3, on the Defense of Competition (LDC).  </w:t>
        <w:br/>
        <w:t xml:space="preserve">1 Merck Sharp / Dohme Animal Health, S.L., Zoetis España, S.L.U., Braun Vet Care, S.A., Elanco Spain, S.L., Merial Laboratorios, S.A., Vetoquinol Especialidades Veterinarias, S.A., Virbac España, S.A., Ceva Salud Animal, S.A., Laboratorios Calier, S.A., Divasa Farmavic, S.A., Ecuphar Veterinaria, S.L.U., Hipra, S.A., Industrial Veterinaria, S.A., Laboratorios Jaer, S.A., Karizoo, S.A., Labiana Life Sciences, S.A., Maymo, S.A., Mevet, S.A.U., Super's Diana, S.L. and Laboratorios Syva, S.A.U..  </w:t>
        <w:br/>
        <w:t xml:space="preserve">S//DC/0539/14 National Commission of Markets and Competition Page 1 of 25  </w:t>
        <w:br/>
        <w:t xml:space="preserve">C/ Barquillo, 5 – 28004 Madrid - C/ Bolivia, 56 – 08018 Barcelona  </w:t>
        <w:br/>
        <w:t>www.cnmc.es</w:t>
      </w:r>
    </w:p>
    <w:p>
      <w:r>
        <w:t xml:space="preserve">INDEX  </w:t>
        <w:br/>
        <w:t xml:space="preserve">I. BACKGROUND ...................................................................................... 3  </w:t>
        <w:br/>
        <w:t xml:space="preserve">II. THE PARTIES ............................................................................................ 5  </w:t>
        <w:br/>
        <w:t xml:space="preserve">1. Complainant ....................................................................................................... 5  </w:t>
        <w:br/>
        <w:t xml:space="preserve">2. Defendants ...................................................................................................... 5  </w:t>
        <w:br/>
        <w:t xml:space="preserve">III. MARKET CHARACTERIZATION ............................................................ 6  </w:t>
        <w:br/>
        <w:t xml:space="preserve">1. Regulatory Framework .................................................................................... 6  </w:t>
        <w:br/>
        <w:t xml:space="preserve">2. Affected Market .............................................................................................. 9  </w:t>
        <w:br/>
        <w:t xml:space="preserve">A. Delimitation .................................................................................................................... 9  </w:t>
        <w:br/>
        <w:t xml:space="preserve">B. Market Size .................................................................................................................... 11  </w:t>
        <w:br/>
        <w:t xml:space="preserve">C. Supply Structure ......................................................................................................... 11  </w:t>
        <w:br/>
        <w:t xml:space="preserve">D. Demand Structure ...................................................................................................... 12  </w:t>
        <w:br/>
        <w:t xml:space="preserve">IV. ESTABLISHED FACTS ...................................................................... 12  </w:t>
        <w:br/>
        <w:t xml:space="preserve">V. LEGAL GROUNDS .................................................................................. 17  </w:t>
        <w:br/>
        <w:t xml:space="preserve">FIRST. COMPETENCE TO RESOLVE .................................................... 17  </w:t>
        <w:br/>
        <w:t xml:space="preserve">SECOND. OBJECT OF THE RESOLUTION AND APPLICABLE REGULATIONS ... 17  </w:t>
        <w:br/>
        <w:t xml:space="preserve">THIRD. PROPOSAL OF THE INSTRUCTING BODY .............................. 18  </w:t>
        <w:br/>
        <w:t xml:space="preserve">FOURTH. ASSESSMENT OF THE COMPETITION CHAMBER .................. 18  </w:t>
        <w:br/>
        <w:t xml:space="preserve">1. Recommendation of resale prices and rebates for sales compensation ............................................................................................................... 21  </w:t>
        <w:br/>
        <w:t xml:space="preserve">2. Obligation to provide sensitive commercial information ................................... 23  </w:t>
        <w:br/>
        <w:t xml:space="preserve">3. Restrictions on territorial exclusivity ................................................................. 24  </w:t>
        <w:br/>
        <w:t xml:space="preserve">RESOLVES 24  </w:t>
        <w:br/>
        <w:t xml:space="preserve">S//DC/0539/14 National Commission of Markets and Competition Page 2 of 25  </w:t>
        <w:br/>
        <w:t xml:space="preserve">C/ Barquillo, 5 – 28004 Madrid - C/ Bolivia, 56 – 08018 Barcelona  </w:t>
        <w:br/>
        <w:t>www.cnmc.es</w:t>
      </w:r>
    </w:p>
    <w:p>
      <w:r>
        <w:t xml:space="preserve">I. BACKGROUND  </w:t>
        <w:br/>
        <w:t xml:space="preserve">1. On September 16, 2014, a letter from ASEMAZ-ASA was received by the Competition Directorate in which several companies dedicated to animal health were reported for alleged behaviors contrary to the LDC (folios 1 to 5). On September 26 of the same year, a request for correction of the complaint was made, which was completed by letters dated October 7 (folios 11 to 143) and November 12 (folios 144 to 178).  </w:t>
        <w:br/>
        <w:t xml:space="preserve">2. ASEMAZ-ASA pointed out the following facts as constitutive of anticompetitive behaviors:  </w:t>
        <w:br/>
        <w:t xml:space="preserve">• The establishment of different prices for the products of the laboratories depending on whether they are sold or negotiated directly by these with customers or if they are sold through retail commercial establishments (hereinafter, ECD), creating unequal competitive situations. It also indicates that if customers have negotiated a certain price directly with the laboratories, the ECD must invoice the price imposed by the laboratory (preventing them from establishing the market price that would correspond, reducing their profit) which, in most cases, is lower than the purchase price paid by the ECD, offering them a rebate or bonus from the laboratory to compensate for that purchase. According to the complainant, ECDs are pressured to make sales at a loss.  </w:t>
        <w:br/>
        <w:t xml:space="preserve">• The obligation imposed by the laboratories on the ECDs to provide concise information about customers and units sold, under penalty of unilaterally suspending the supply. In some cases, this information includes commercial data about competing laboratories.  </w:t>
        <w:br/>
        <w:t xml:space="preserve">• The obligation imposed by the laboratories on the ECDs to enter into exclusive contracts (a relationship referred to as "integrated distribution") for a specific area while reserving direct supply to certain customers.  </w:t>
        <w:br/>
        <w:t xml:space="preserve">3. According to ASEMAZ-ASA, the practice of resale price maintenance has been in effect since at least 2011. Previously, ECDs were required to report on their customers (geographical areas or postal codes, without specifying names or quantities). In exchange for the transfer of that data, the laboratory awarded a specific rebate based on the accuracy of what was transmitted.  </w:t>
        <w:br/>
        <w:t xml:space="preserve">4. As a result of the aforementioned complaint and the supplementary information provided, the Competition Directorate of the CNMC, in accordance with the provisions of Article 49.2 of the LDC, initiated a reserved information procedure with  </w:t>
        <w:br/>
        <w:t xml:space="preserve">S//DC/0539/14 National Commission of Markets and Competition Page 3 of 25  </w:t>
        <w:br/>
        <w:t xml:space="preserve">C/ Barquillo, 5 – 28004 Madrid - C/ Bolivia, 56 – 08018 Barcelona  </w:t>
        <w:br/>
        <w:t>www.cnmc.es</w:t>
      </w:r>
    </w:p>
    <w:p>
      <w:r>
        <w:rPr>
          <w:b/>
        </w:rPr>
        <w:t>[Pages 4–6]</w:t>
      </w:r>
    </w:p>
    <w:p>
      <w:r>
        <w:t>to determine whether there were circumstances that might justify, if applicable, the initiation of the sanctioning procedure (folios 179 to 182).</w:t>
      </w:r>
    </w:p>
    <w:p>
      <w:r>
        <w:t>5. Within the framework of said reserved information, on May 8, 2015, the Competition Directorate requested ASEMAZ-ASA to provide additional information regarding the reported practices and the functioning of the market (folios 179 to 182). A response to the request was received by letter dated May 27, 2015 (folios 190 to 383), and supplementary information was provided by letters dated May 28 (folios 384 to 414), September 22 (folios 415 to 424), and September 30 of the same year (folios 425 to 450).</w:t>
      </w:r>
    </w:p>
    <w:p>
      <w:r>
        <w:t>6. Subsequently, by letter dated December 2, 2016 (folios 454 to 474), several requests for information were made to the reported entities, which were answered on December 16, 2016, by Mevet, S.A.U (folios 558 to 563) and by Labiana Life Sciences, S.A. (folios 600-601); on December 21 by Hipra, S.A. (folios 728 to 746); on December 22 by Virbac España, S.A. (folios 756 to 4523) and by Divasa Farmavic, S.A. (folios 4524 to 4553); on December 23 again by Virbac España, S.A. (folios 4554 to 4612); by Vetoquinol Especialidades Veterinarias, S.A. (folios 4614 to 5901), by Elanco Spain S.L and Elanco Valquimica, S.A. (folios 5902 to 5938), by B.Braun Vet Care, S.A. (folios 5939 to 5953), by Merck Sharp &amp; Dohme Animal Health, S.L. (folios 5977 to 5986) and by Laboratorios Jaer, S.A. (folios 6050 to 6053); on December 28 by Laboratorios Syva S.A.U. (folios 6107 to 6819); on December 30 by Laboratorios Calier, S.A. (folios 6842 to 6849); on January 4, 2017, by Industrial Veterinaria, S.A. (folios 6878 to 6883), by Zoetis Spain, S.L.U. (folios 6884 to 8301) and by Merial Laboratorios, S.A. (folios 8302 to 8312); on January 13 again a response was received from Industrial Veterinaria, S.A. (folios 8338 to 8348); on January 16 by Karizoo, S.A. (folios 8349 to 8631); on January 20 by Maymo, S.A. (folios 8632 to 8639); on January 24 by Super’s Diana, S.L. (folio 8640); on February 9 by Ceva Salud Animal, S.A. (folios 8662 to 10330); on February 20 by Ecuphar Veterinaria, S.L.U. (folios 10331 to 10343); and on February 28, after the Competition Directorate reiterated its request for information, a new response was received from Merck Sharp &amp; Dohme Animal Health, S.L. (folios 10347 to 12376).</w:t>
      </w:r>
    </w:p>
    <w:p>
      <w:r>
        <w:t>7. On April 26, May 25, and June 5, 2017, ASEMAZ-ASA provided supplementary information to the file (folios 12400 to 12457, 12473 to 12492, and 12493 to 12501, respectively) and on May 25 the Competition Directorate requested additional information from Zoetis España, S.L.U. (folios 12458 to 12460) which was answered by them on May 30 (folios 12473 to 12492).</w:t>
      </w:r>
    </w:p>
    <w:p>
      <w:r>
        <w:t>8. After the appropriate agreements declaring certain documents of the file confidential at the request of the reported entities, on October 17, 2017, the Competition Directorate submitted to the Council its proposal for the non-initiation of the sanctioning procedure and the filing of the proceedings followed as a result of the complaint filed by ASEMAZ-ASA, considering that there are no indications of infringement of the LDC.</w:t>
      </w:r>
    </w:p>
    <w:p>
      <w:r>
        <w:t>9. The Competition Chamber of the Council of the CNMC approved this resolution in its session of October 4, 2018.</w:t>
      </w:r>
    </w:p>
    <w:p>
      <w:r>
        <w:t>II. THE PARTIES</w:t>
        <w:br/>
        <w:t>The interested parties in this procedure, as stated in the proposal for filing by the Competition Directorate, are as follows:</w:t>
      </w:r>
    </w:p>
    <w:p>
      <w:r>
        <w:t>1. Complainant</w:t>
        <w:br/>
        <w:t>ASEMAZ-ASA is the Association for Animal Health that represents marketers and distributors of zoosanitary products used in health, production, hygiene, and animal welfare, whether for food-producing or companion animals. It includes both retail commercial establishments (ECD) and distributors or wholesalers in the sector. Its scope covers the entire Spanish territory and it was founded in 1981.</w:t>
      </w:r>
    </w:p>
    <w:p>
      <w:r>
        <w:t>2. Reported Entities</w:t>
        <w:br/>
        <w:t>ASEMAZ-ASA included in its complaint various entities dedicated to the manufacture and distribution of products for animal health (hereinafter, the Laboratories):</w:t>
        <w:br/>
        <w:t>• Merck Sharp &amp; Dohme Animal Health, S.L. (MSD)</w:t>
        <w:br/>
        <w:t>• Zoetis España, S.L.U. (ZOETIS)</w:t>
        <w:br/>
        <w:t>• B.Braun Vet Care, S.A. (BRAUN)</w:t>
        <w:br/>
        <w:t>• Elanco Spain, S.L. (ELANCO)</w:t>
        <w:br/>
        <w:t>• Merial Laboratorios, S.A. (MERIAL)</w:t>
        <w:br/>
        <w:t>• Vetoquinol Especialidades Veterinarias, S.A. (VETOQUINOL)</w:t>
        <w:br/>
        <w:t>• Virbac España, S.A. (VIRBAC)</w:t>
        <w:br/>
        <w:t>• Ceva Salud Animal, S.A. (CEVA)</w:t>
        <w:br/>
        <w:t>• Laboratorios Calier, S.A. (CALIER)</w:t>
        <w:br/>
        <w:t>• Divasa Farmavic, S.A. (DIVASA)</w:t>
        <w:br/>
        <w:t>• Ecuphar Veterinaria, S.L.U. (ECUPHAR)</w:t>
        <w:br/>
        <w:t>• Hipra, S.A. (HIPRA)</w:t>
        <w:br/>
        <w:t>• Industrial Veterinaria, S.A. (INVESA)</w:t>
        <w:br/>
        <w:t>• Laboratorios Jaer, S.A. (JAER)</w:t>
        <w:br/>
        <w:t>• Karizoo, S.A. (KARIZOO)</w:t>
        <w:br/>
        <w:t>• Labiana Life Sciences, S.A. (LABIANA)</w:t>
        <w:br/>
        <w:t>• Maymo, S.A. (MAYMO)</w:t>
        <w:br/>
        <w:t>• Mevet, S.A.U. (MEVET)</w:t>
        <w:br/>
        <w:t>• Super's Diana, S.L. (SUPERDIANA)</w:t>
        <w:br/>
        <w:t>• Laboratorios Syva, S.A.U. (SYVA).</w:t>
      </w:r>
    </w:p>
    <w:p>
      <w:r>
        <w:t>III. MARKET CHARACTERIZATION</w:t>
        <w:br/>
        <w:t>The behaviors subject to this resolution occur in the animal health sector and, specifically, in the market for the distribution and commercialization of veterinary medicines and other zoosanitary products (CNAE Codes C-21 Manufacture of pharmaceutical products and G.47.73 Retail sale of pharmaceutical products in specialized establishments).</w:t>
      </w:r>
    </w:p>
    <w:p>
      <w:r>
        <w:t>1. Regulatory Framework</w:t>
        <w:br/>
        <w:t>The proposal for resolution by the Competition Directorate details the regulatory framework for the distribution of veterinary medicines. It is outlined as follows:</w:t>
        <w:br/>
        <w:t>"The animal health sector is regulated by Royal Legislative Decree 1/2015, of July 24, which approves the consolidated text of the Law on guarantees and rational use of medicines and health products (hereinafter RDL 1/2015). It is a less regulated sector than that of human health and operates under a regime of price freedom.</w:t>
        <w:br/>
        <w:t>Article 37 of RDL 1/2015 establishes the prescription of veterinary medicines in the following terms:</w:t>
        <w:br/>
        <w:t>"1. In order to protect human health and animal health, a veterinary prescription will be required to dispense to the public the following veterinary medicines:</w:t>
        <w:br/>
        <w:t>a) Medicines for which veterinarians must take special precautions to avoid unnecessary risks to the species for which they are intended, to the person administering such medicines, to the animals, and to the environment.</w:t>
        <w:br/>
        <w:t>b) Those intended for treatments or pathological processes that require a precise prior diagnosis or whose use may lead to consequences that hinder or interfere with subsequent diagnostic or therapeutic actions.</w:t>
        <w:br/>
        <w:t>c) Medicines containing psychoactive substances whose supply or use is subject to restrictions arising from the application of the relevant United Nations conventions against the illicit trafficking of narcotic drugs and psychotropic substances or those arising from community legislation.</w:t>
        <w:br/>
        <w:t>d) Veterinary medicines intended for food-producing animals. However, the Ministry of Health, Social Services, and Equality, after consulting the Ministry of Agriculture, Food, and Environment, may establish exceptions to this requirement in accordance with the decisions adopted by the European Commission in</w:t>
      </w:r>
    </w:p>
    <w:p>
      <w:r>
        <w:rPr>
          <w:b/>
        </w:rPr>
        <w:t>[Pages 7–9]</w:t>
      </w:r>
    </w:p>
    <w:p>
      <w:r>
        <w:t xml:space="preserve">this matter.  </w:t>
        <w:br/>
        <w:t xml:space="preserve">e) The medicines used in cases of exceptional prescription due to therapeutic void, including office preparations, magistral formulas, and autovaccines.  </w:t>
        <w:br/>
        <w:t xml:space="preserve">f) The immunologicals.  </w:t>
        <w:br/>
        <w:t xml:space="preserve">2. Furthermore, a prescription will be required for all new veterinary medicines that contain an active ingredient whose use in veterinary medicines has been authorized for less than five years.  </w:t>
        <w:br/>
        <w:t xml:space="preserve">3. The regime for exceptional prescriptions will be established by regulation.  </w:t>
        <w:br/>
        <w:t xml:space="preserve">4. Without prejudice to the cases provided for in the current regulations, the administration, directly by a veterinarian or under their responsibility, will be necessary for all veterinary medicines as provided for in the marketing authorization and those contemplated in paragraphs a), c), and f) of section 1.  </w:t>
        <w:br/>
        <w:t xml:space="preserve">5. The veterinary prescription will be valid throughout the national territory and will be issued in the official Spanish language of the State and in the respective co-official languages in the autonomous communities that have them. The data that must be included in the veterinary prescription will be established by regulation."  </w:t>
        <w:br/>
        <w:t xml:space="preserve">For its part, Article 38 of RDL 1/2015 regulates the distribution and marketing of veterinary medicines as follows:  </w:t>
        <w:br/>
        <w:t xml:space="preserve">"1. The Government will develop the basic regulations regarding the distribution and dispensing of veterinary medicines.  </w:t>
        <w:br/>
        <w:t xml:space="preserve">2. The dispensing to the public of medicines will be carried out exclusively by:  </w:t>
        <w:br/>
        <w:t xml:space="preserve">a) Legally established pharmacies, which will also be the only ones authorized to prepare and dispense magistral formulas and office preparations.  </w:t>
        <w:br/>
        <w:t xml:space="preserve">b) Authorized retail commercial establishments, provided they have a pharmaceutical service responsible for the custody, conservation, and dispensing of these medicines.  </w:t>
        <w:br/>
        <w:t xml:space="preserve">c) Authorized entities or livestock groups that have a pharmaceutical service responsible for the custody, conservation, and dispensing of these medicines for the exclusive use of their members.  </w:t>
        <w:br/>
        <w:t xml:space="preserve">The professional conduct of the pharmacist in each of the establishments previously described in paragraphs b) and c) will be regulated by regulation as a condition and requirement to guarantee effective control in the dispensing to the public of veterinary medicines.  </w:t>
        <w:br/>
        <w:t xml:space="preserve">Notwithstanding the above, medicines intended for dogs, cats, terrarium animals, domestic birds, aquarium fish, and small rodents that do not require a veterinary prescription may be distributed and sold in other establishments, under the terms provided for by regulation.  </w:t>
        <w:br/>
        <w:t xml:space="preserve">3. For reasons of urgency and distance from pharmacies, veterinary medicine kits may be used under the conditions determined by regulation.  </w:t>
        <w:br/>
        <w:t xml:space="preserve">4. The regime for the acquisition, distribution, and dispensing of veterinary medicines by authorized entities or livestock groups that have pharmaceutical and veterinary services for the exclusive use of their members will be established by regulation.  </w:t>
        <w:br/>
        <w:t xml:space="preserve">Likewise, the regime by which animal feed industries and livestock farms may directly acquire authorized medicated premixes intended for the preparation of medicated feeds will be established by regulation.  </w:t>
        <w:br/>
        <w:t xml:space="preserve">5. Public administrations, in the exercise of their powers, may acquire veterinary medicines, especially vaccines, that are necessary, directly from pharmaceutical laboratories or any authorized distribution center."  </w:t>
        <w:br/>
        <w:t xml:space="preserve">Royal Decree 1132/2010, of September 10, amended Royal Decree 109/1995 (hereinafter RD 109/1995), which regulates, among other issues, the general control of veterinary medicines. Its Article 4.2 provides as follows:  </w:t>
        <w:br/>
        <w:t xml:space="preserve">"Autonomous communities and the cities of Ceuta and Melilla will send to the Spanish Agency for Medicines and Health Products the list of manufacturers and distributors authorized to possess active substances that may be used in the manufacture of veterinary medicines and that possess the properties mentioned in section 1, which will forward this information to the Ministry of the Environment, and Rural and Marine Affairs. These manufacturers and distributors must maintain detailed records, which may be kept electronically, of all transactions related to these substances. The records must be available to the competent authorities of the autonomous communities and the cities of Ceuta and Melilla for inspection purposes, for a period of at least five years, which will be computed from the date of the aforementioned transactions."  </w:t>
        <w:br/>
        <w:t xml:space="preserve">In its Article 93.1, the professional practice of veterinarians is regulated:  </w:t>
        <w:br/>
        <w:t xml:space="preserve">"In accordance with the provisions of Article 2.5 of Law 29/2006, of July 26, medicines necessary for the exercise of their professional activity, including medicinal gases, may be sold or supplied directly to veterinary professionals exclusively, under the terms provided in this article and in Article 94, always without prejudice to the necessary independence of the veterinarian in accordance with Article 3 of Law 29/2006, of July 26. The sale or supply of veterinary medicines to these professionals will be carried out by the pharmacy and authorized retail commercial establishments.  </w:t>
        <w:br/>
        <w:t xml:space="preserve">The supply will be carried out at the request of the veterinarian for the necessary medicines, through an order form, which may be made by any means or telematic system, in which case the order document will be replaced by the delivery note. This document must include: the personal identification and registration details of the veterinary professional, the data referring to the name and quantity of the medicines supplied, identification of the supplier, date, and signature.  </w:t>
        <w:br/>
        <w:t xml:space="preserve">All documentation will be kept available to the competent authority in whose jurisdiction the veterinarian is registered for a period of five years.  </w:t>
        <w:br/>
        <w:t xml:space="preserve">The veterinarian, therefore, and for their professional practice, is authorized to possess, transport, apply, use, or administer veterinary medicines, including medicinal gases, or transfer in the case provided for in the following section, without this implying commercial activity, for the animals under their care or when the application must be carried out by themselves."  </w:t>
        <w:br/>
        <w:t xml:space="preserve">2. Affected Market  </w:t>
        <w:br/>
        <w:t xml:space="preserve">A. Delimitation  </w:t>
        <w:br/>
        <w:t xml:space="preserve">Regarding the product market, it is worth noting that the economic sector in which the complaint is framed is the distribution and marketing of veterinary medicines and other zoosanitary products (CNAE Codes).  </w:t>
        <w:br/>
        <w:t>The consolidated text of the Law on guarantees and rational use of medicines and health products, approved by Royal Legislative Decree 1/2015, of July 24 (TRLGURMPS), in its Article 8.b) defines what is understood by "veterinary medicine": "any substance or combination of substances that is presented as having curative or preventive properties with respect to animal diseases or that may be administered to the animal in order to restore, correct, or modify its physiological functions by exerting an action.</w:t>
      </w:r>
    </w:p>
    <w:p>
      <w:r>
        <w:rPr>
          <w:b/>
        </w:rPr>
        <w:t>[Pages 10–12]</w:t>
      </w:r>
    </w:p>
    <w:p>
      <w:r>
        <w:t>C.21 Manufacture of pharmaceutical products and G.47.73 Retail sale of pharmaceutical products in specialized establishments). Veterinary medicines can be classified according to different characteristics: by their nature (immunological or pharmacological); by their properties (antiparasitic, analgesic, anesthetic, etc.); by their route of administration (injectable, oral, topical, intraocular, etc.); by their pharmaceutical form (tablets, oral solutions, oral powders, medicated premixes, solutions for drinking water, ointments, etc.). The most commonly used medicines are vaccines, antibiotics, and antiparasitics. Commercially, there is also a clear classification between two quite distinct business areas: (i) companion animals and (ii) livestock (production animals) due to the type of products offered and the location of their customers.</w:t>
      </w:r>
    </w:p>
    <w:p>
      <w:r>
        <w:t>Regarding the geographical market, according to the European Commission (EC), the relevant geographical market in the animal health sector is national, as the registration of veterinary medicines is, in many cases, of national scope. However, the EC acknowledges that there is a growing trend towards the expansion of this market due to the introduction of European registration procedures and the presence of multinational companies dedicated to animal health.</w:t>
      </w:r>
    </w:p>
    <w:p>
      <w:r>
        <w:t>For the purposes of this resolution, the structure of the veterinary medicines market will be analyzed, segmenting according to pharmacological, immunological, metabolic, or veterinary diagnostic purposes. "Veterinary medicines" will also include "medicated feed premixes" prepared to be incorporated into feed.</w:t>
      </w:r>
    </w:p>
    <w:p>
      <w:r>
        <w:t>The EC has defined the markets for animal health products based on certain animal species (ruminants, pigs, poultry, equines, companion animals, and aquaculture animals) and types of products (biological veterinary medicines (e.g., vaccines), veterinary medicines, and compounds for medicated feed). In one of the most recent precedents, case M.7277 Eli Lilly/Novartis Animal Health, the EC divides the animal health market into three main areas: i) biologicals (vaccines), ii) pharmaceuticals, and iii) medicated feed premixes. Within pharmaceutical products, it distinguishes between antiparasitics, antibiotics, endocrine treatments, anti-inflammatories, and analgesics. For market definition, the EC has taken into account the following factors: animal species, active ingredient of the medicine, therapeutic indication, route of administration, duration of efficacy, and withdrawal time (for medicines for food-producing animals).</w:t>
      </w:r>
    </w:p>
    <w:p>
      <w:r>
        <w:t>Case M.5476 Pfizer / Wyeth.</w:t>
      </w:r>
    </w:p>
    <w:p>
      <w:r>
        <w:t>The exact definition of the market can be left open as it does not affect its analysis or conclusions.</w:t>
      </w:r>
    </w:p>
    <w:p>
      <w:r>
        <w:t>B. Market Size</w:t>
        <w:br/>
        <w:t>According to the 2014 Report of Veterindustria, during that year, a total of 1.195 billion euros was invoiced in the zoosanitary market in Spain, with a year-on-year growth of 9.51%, of which approximately 33% was obtained from exports. By species, the percentage of sales in the zoosanitary market in 2014 was: (i) pigs, 35.37%; (ii) cattle, 24.77%; (iii) dogs and cats, 22.61%; (iv) poultry, 9.35%; (v) sheep and goats, 3.71%; and (vi) others (equines, rabbit farming, beekeeping, ornithology, aquaculture, and exotic animals) 3.21%.</w:t>
      </w:r>
    </w:p>
    <w:p>
      <w:r>
        <w:t>The introduction of a product for animal health and nutrition into the market is regulated in Title II of the TRLGURMPS and requires prior authorization from the Spanish Agency for Medicines and Health Products (AEMPS) and its registration in the Medicines Register or, where applicable, authorization in accordance with the provisions of European regulations that establish community procedures for the authorization and control of human and veterinary medicines and that are regulated by the European Medicines Agency. Furthermore, pharmaceutical products are protected by patents, which constitutes another barrier to entry for competitors in the market. Without prejudice to the rights related to the protection of industrial and commercial property, veterinary generic medicines, as established in Article 18 of the TRLGURMPS, cannot be marketed until ten years have passed from the date of the initial authorization of the reference medicine.</w:t>
      </w:r>
    </w:p>
    <w:p>
      <w:r>
        <w:t>On the other hand, manufacturing must be carried out by a laboratory authorized by the AEMPS, and it is also possible for the medicine to enter Spain through an authorized importer.</w:t>
      </w:r>
    </w:p>
    <w:p>
      <w:r>
        <w:t>C. Structure of the Supply</w:t>
        <w:br/>
        <w:t>In 2014 and 2015, the dates referred to in the complaint filed, the supply of veterinary medicines was made up of pharmaceutical laboratories dedicated to animal health. According to the information provided by the complainant, the sector was integrated by about 60 companies, among which a growing degree of concentration was observed, especially among the main operators, most of whom are subsidiaries of large multinational groups. The high penetration of foreign capital in the shareholding of the main companies is noteworthy, such that only two of the top ten are of Spanish ownership. None of the entities reported by ASEMAZ-ASA achieved in 2014 in the veterinary medicines market, nor in their subsequent segmentations based on whether they are intended for companion animals or production animals, a market share exceeding 30%.</w:t>
      </w:r>
    </w:p>
    <w:p>
      <w:r>
        <w:t>D. Structure of the Demand</w:t>
        <w:br/>
        <w:t>The demand for veterinary medicines consists of two levels. At the first level are the entities that distribute and dispense veterinary medicines and that purchase directly from the laboratories: (i) pharmacies, (ii) ECD, and (iii) livestock farms. At the second level are the end customers who purchase their veterinary products from the dispensers: i) animal feed industries, ii) veterinary clinics, and iii) public administrations.</w:t>
      </w:r>
    </w:p>
    <w:p>
      <w:r>
        <w:t>According to the regulations, to facilitate the distribution of veterinary medicines from manufacturing laboratories and importing entities to legally authorized dispensing entities, the mediation of wholesale warehouses may be used.</w:t>
      </w:r>
    </w:p>
    <w:p>
      <w:r>
        <w:t>As noted in the regulatory framework, in general, the dispensing to the public of veterinary medicines will be carried out exclusively by: pharmacies, ECD, and livestock groups. For reasons of urgency and distance from pharmacies, veterinary medicine cabinets may be used.</w:t>
      </w:r>
    </w:p>
    <w:p>
      <w:r>
        <w:t>Finally, it is worth highlighting the public funding in this sector linked to vaccination campaigns that usually coincide each year with a particular period (for example, the rabies vaccination campaign for pets and hunting dogs). In the autonomous communities where rabies vaccination is mandatory, there are, for example, subsidies or some form of public funding to allow dog owners to obtain the vaccine at a very reduced price.</w:t>
      </w:r>
    </w:p>
    <w:p>
      <w:r>
        <w:t>IV. ESTABLISHED FACTS</w:t>
        <w:br/>
        <w:t>The established facts in this file related to the investigated practices presented below originate from the complaint filed by ASEMAZ-ASA, the supplementary information provided by this entity, and the responses to the information requests made by the Competition Directorate, as detailed in the background of this case.</w:t>
      </w:r>
    </w:p>
    <w:p>
      <w:r>
        <w:rPr>
          <w:b/>
        </w:rPr>
        <w:t>[Pages 13–15]</w:t>
      </w:r>
    </w:p>
    <w:p>
      <w:r>
        <w:t>resolution and collected in sections 85 to 137 of the resolution proposal of the instructing body.</w:t>
      </w:r>
    </w:p>
    <w:p>
      <w:r>
        <w:t>Specifically, the Competition Directorate has gathered various distribution contracts for medicines, commercial conditions from the manufacturer to the ECD, internal and external email communications between manufacturers and ECD, and commercial agreements between manufacturers and veterinarians. Below is a brief summary of the commercial relationships that each laboratory maintains with its distributors/customers according to the information provided and as described in the resolution proposal.</w:t>
      </w:r>
    </w:p>
    <w:p>
      <w:r>
        <w:t>• MSD</w:t>
        <w:br/>
        <w:t>According to MSD, its distribution model is based on three commercial relationships: i) wholesale collaborators or wholesale warehouses that distribute its medicines to pharmacies, veterinary clinics, livestock groups, and stores/supermarkets with which a distribution contract is signed; ii) direct customers (livestock groups and supermarkets) with which a commercial conditions document is signed; and iii) occasional customers with which there is an sporadic commercial relationship on order (folios 5977-5986). It also states that it does not have agreements with customers of its distributors or wholesale collaborators, but rather identifies internally those customers or potential customers that it considers commercially priority and seeks to incentivize its wholesale collaborators to have those customers purchase a greater volume of MSD products, agreeing with them on sales targets and possible rebates for the following year, promotional measures, campaigns, marketing strategy, positioning, etc. (folios 10349 to 10354).</w:t>
      </w:r>
    </w:p>
    <w:p>
      <w:r>
        <w:t>• ZOETIS</w:t>
        <w:br/>
        <w:t>The distribution system of ZOETIS is primarily structured through legally authorized veterinary product distributors with which a distribution contract is signed and through direct sales to livestock cooperatives and health defense groups (folio 6890).</w:t>
      </w:r>
    </w:p>
    <w:p>
      <w:r>
        <w:t>• DIVASA</w:t>
        <w:br/>
        <w:t>In its response letter, DIVASA confirms the existence of direct commercial relationships with end customers within the market for companion animal products. These relationships are formalized in writing in commercial agreements with veterinary clinics and agreements with distributors (ECD). In these cases, the end customer places their order with the authorized distributor who supplies it at the price they freely establish. Subsequently, the rebate to which the customer is entitled under the agreement signed with the laboratory is paid by the authorized distributor, who then passes that payment to the laboratory (folios 4527 and 4528).</w:t>
      </w:r>
    </w:p>
    <w:p>
      <w:r>
        <w:t>• CEVA</w:t>
        <w:br/>
        <w:t>CEVA confirmed to the Competition Directorate that it maintains direct relationships with end customers such as health professionals and livestock entities. Additionally, regarding the selling prices of its products to its distributors, CEVA operates based on the recommended retail prices. On the other hand, CEVA acknowledges the existence of prices set with the end customer but which are always of a maximum nature (folios 10321-10322).</w:t>
      </w:r>
    </w:p>
    <w:p>
      <w:r>
        <w:t>• VETOQUINOL</w:t>
        <w:br/>
        <w:t>According to the information provided, VETOQUINOL employs what it calls the "guarantee contract," entered into by the laboratory, the ECD, and the end customer in the veterinary medicines market for livestock. Under this type of contract, ECDs can request promotional assistance from the laboratories as well as assistance in negotiations with customers. In all cases, ECDs determine their selling price to these end customers, after which they request a discount from the laboratory that they obtain if they reach a certain sales volume. However, not reaching the volumes agreed upon between the laboratory, the ECD, and the customer does not entail consequences, and the ECD can always change the pricing conditions for the customer (folios 4615 and 4616).</w:t>
      </w:r>
    </w:p>
    <w:p>
      <w:r>
        <w:t>• CALIER</w:t>
        <w:br/>
        <w:t>CALIER indicates that it maintains direct relationships with veterinary clinics with which it verbally agrees on bonuses related to the purchase volumes of its products from the ECD. For the application of these promotions, CALIER also requests, verbally, the accumulated sales in value and/or units of product (folios 6845 to 6847).</w:t>
      </w:r>
    </w:p>
    <w:p>
      <w:r>
        <w:t>• HIPRA</w:t>
        <w:br/>
        <w:t>HIPRA asserts that it requests from the ECD the sales figures of its products by product family and the resale prices they apply to understand the product positioning by end customer profile and by areas, as well as to prepare discount programs (folio 737).</w:t>
      </w:r>
    </w:p>
    <w:p>
      <w:r>
        <w:t>• VIRBAC</w:t>
        <w:br/>
        <w:t>The contracts of VIRBAC include the territorialization of the commercial action of the ECD and mention valuing and taking into consideration the commercial and pricing recommendations:</w:t>
      </w:r>
    </w:p>
    <w:p>
      <w:r>
        <w:t>• ELANCO</w:t>
        <w:br/>
        <w:t>ELANCO requests certain commercial information from its ECDs. Specifically, it requests the identity of the end customers, the products purchased by the end customers, the sales of each product made to the end customers, and the stock of unsold products. This information is processed and handled, either internally by ELANCO or by an external information processing company, which returns it to ELANCO after processing. It states that neither ELANCO nor the external company provides this data to third parties (folio 5907).</w:t>
      </w:r>
    </w:p>
    <w:p>
      <w:r>
        <w:t>• ECUPHAR</w:t>
        <w:br/>
        <w:t>ECUPHAR asserts that it does not have direct relationships with end customers. In 90% of cases, these customers place their orders directly with the ECD, and the ECD processes it at the price agreed upon with the customer. It also does not sign any type of distribution contract but does have annual targets agreed upon with the ECDs. Regarding the information that ECUPHAR requests from the ECDs, it would be of a voluntary nature and focuses on the purchase data of units to track the results of promotional activity in the area, including monitoring the activity of its delegates and the traceability of its medicines on technical issues related to their use (folio 10333).</w:t>
      </w:r>
    </w:p>
    <w:p>
      <w:r>
        <w:t>• SYVA</w:t>
        <w:br/>
        <w:t>SYVA asserts that in 99% of the distribution contracts signed with the ECDs, it does not recommend any selling price (folio 6110).</w:t>
      </w:r>
    </w:p>
    <w:p>
      <w:r>
        <w:t>• MERIAL</w:t>
        <w:br/>
        <w:t>MERIAL requests information from its wholesale distributors and processes it through an independent consultant. This information contains data on the sales of its products. Additionally, MERIAL regularly makes contributions to its wholesale distributors so that they, in addition to applying to their customers the prices, discounts, and promotions they freely establish, pass on the contributions they have received from Merial (folios 8305 and 8306).</w:t>
      </w:r>
    </w:p>
    <w:p>
      <w:r>
        <w:t>• BRAUN</w:t>
        <w:br/>
        <w:t>Braun provided the Competition Directorate with a commercial agreement with a veterinary center (end customer) (folio 5953), in which the bonuses for purchase volumes are defined and includes the laboratory's authorization to provide BRAUN with data related to the consumption of its products.</w:t>
      </w:r>
    </w:p>
    <w:p>
      <w:r>
        <w:rPr>
          <w:b/>
        </w:rPr>
        <w:t>[Pages 16–18]</w:t>
      </w:r>
    </w:p>
    <w:p>
      <w:r>
        <w:t>• KARIZOO</w:t>
        <w:br/>
        <w:t>KARIZOO distributes veterinary medicines to the various authorized channels (wholesalers, ECD, livestock groups, etc.). However, it notes that most sales are made to wholesalers and ECD, who sometimes also act as retailers. Additionally, they claim to maintain commercial contact with end customers, veterinary clinics, and veterinarians through commercial delegates, who provide support for commercial promotion and technical support of veterinary medicines. Nevertheless, they do not maintain commercial agreements with end customers. In 2012 and 2013, it concluded distribution contracts in 2012 and 2013 that include exclusive territorial zones with restrictions on active sales, as well as the obligation for distributors to provide information regarding the marketing of their products, with the express prohibition of transferring such information to third parties who have not been contracted by Karizoo (folios 8511 to 8524).</w:t>
      </w:r>
    </w:p>
    <w:p>
      <w:r>
        <w:t>• MEVET</w:t>
        <w:br/>
        <w:t>MEVET manufactures medicines for intra-group consumption. It does not maintain relationships with end customers and does not formalize any written contracts. Additionally, it has its own ECD (folios 561 to 563).</w:t>
      </w:r>
    </w:p>
    <w:p>
      <w:r>
        <w:t>• LABIANA LIFE</w:t>
        <w:br/>
        <w:t>LABIANA LIFE states that it has no agreements with end customers or written contracts. All commercial relationships are oral (folios 600 and 601).</w:t>
      </w:r>
    </w:p>
    <w:p>
      <w:r>
        <w:t>• LABORATORIOS JAER</w:t>
        <w:br/>
        <w:t>LABORATORIOS JAER states that it only markets products subject to medical prescription. They do not distribute through pharmacies, but do so through ECD and livestock groups. They do not formalize contracts and work on demand. They only request information when there is a product withdrawal (folios 6050 to 6053).</w:t>
      </w:r>
    </w:p>
    <w:p>
      <w:r>
        <w:t>• MAYMO</w:t>
        <w:br/>
        <w:t>MAYMO does not formalize any type of contract; everything is verbal except for the annual letter with the rebate established by purchase volume to ECD (folios 8632 to 8639).</w:t>
      </w:r>
    </w:p>
    <w:p>
      <w:r>
        <w:t>• SUPER'S DIANA</w:t>
        <w:br/>
        <w:t>SUPER’S DIANA does not formalize any distribution contract nor requests any information from the ECD, according to their response (folio 8640).</w:t>
      </w:r>
    </w:p>
    <w:p>
      <w:r>
        <w:t>V. LEGAL GROUNDS</w:t>
        <w:br/>
        <w:t>FIRST. JURISDICTION TO RESOLVE</w:t>
        <w:br/>
        <w:t>According to Article 5.1.c) of Law 3/2013, of June 4, establishing the National Commission of Markets and Competition (LCNMC), the CNMC is responsible for "applying the provisions of Law 15/2007, of July 3, regarding behaviors that prevent, restrict, and distort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Consequently, the jurisdiction to resolve this procedure corresponds to the Competition Chamber of the CNMC Council.</w:t>
      </w:r>
    </w:p>
    <w:p>
      <w:r>
        <w:t>SECOND. OBJECT OF THE RESOLUTION AND APPLICABLE REGULATIONS</w:t>
        <w:br/>
        <w:t>It is the responsibility of this Chamber in the present file to determine whether the requirements for the application of Article 49.3 of the LDC are met, that is, the absence of indications of infringement, in order to, as proposed by the Competition Directorate, resolve not to initiate sanctioning proceedings and archive the actions taken so far regarding the reported facts. Therefore, it is necessary to assess the existence or absence of indications of infringement in light of Article 1 of the LDC, in the conduct of the Laboratories reported by ASEMAZ-ASA, as proposed by the Competition Directorate, or whether, on the contrary, in said actions there could be indications of infringement of the LDC that would motivate the initiation of the sanctioning file. Article 49.1 of the LDC provides that the Competition Directorate will initiate sanctioning proceedings when it observes reasonable indications of the existence of prohibited conduct in Articles 1, 2, and 3 of the same Law. However, in number 3 of the aforementioned Article 49, it is added that the Council, at the proposal of the Competition Directorate, will agree not to initiate sanctioning proceedings and, consequently, the archiving of the actions taken, when it considers that there are no indications of infringement. On the other hand, Article 27.1 of the Competition Defense Regulation (RDC), approved by Royal Decree 261/2008, of February 22, stipulates that: "1. In order for the Council of the National Competition Commission [current CNMC] to agree not to initiate proceedings and archive the actions in the terms established in Articles 44 and 49.3 of Law 15/2007, of July 3, the Investigation Directorate [current Competition Directorate] will forward the received complaint, the prior actions carried out, if applicable, and a proposal for archiving." Thus, the object of the present file is to analyze whether the actions of the Laboratories, in relation to the marketing of veterinary medicines and other zoosanitary products, constitute or do not constitute a practice prohibited by Article 1 of the LDC. Given that the alleged reported conduct has developed since December 2011, the applicable law to the procedure is the LDC.</w:t>
      </w:r>
    </w:p>
    <w:p>
      <w:r>
        <w:t>THIRD. PROPOSAL OF THE INSTRUCTING BODY</w:t>
        <w:br/>
        <w:t>The Competition Directorate considers that, in light of the data in the file, there are no indications that the laboratories have incurred in an infringement of Article 1 of the LDC in relation to the marketing of veterinary medicines and other zoosanitary products and, in the event that such practices have occurred, some of them would be time-barred. For all these reasons, in accordance with the provisions of Article 49.3 of Law 15/2007, of July 3, on Competition Defense, the Competition Directorate proposes not to initiate the sanctioning procedure, as well as to archive the actions taken as a result of the complaint filed by ASEMAZ-ASA, considering that there are no indications of infringement of the aforementioned Law.</w:t>
      </w:r>
    </w:p>
    <w:p>
      <w:r>
        <w:t>FOURTH. ASSESSMENT OF THE COMPETITION CHAMBER</w:t>
        <w:br/>
        <w:t>In the opinion of this Chamber, the reported conduct relevant from the perspective of competition law, due to its possible infringement of Article 1 of the LDC, can be summarized as follows:</w:t>
        <w:br/>
        <w:t>1. Whether the reported laboratories impose the resale prices of veterinary medicines to the ECD through the signing of commercial agreements with end customers and the signing of distribution contracts with the ECD;</w:t>
        <w:br/>
        <w:t>2. Whether the potential exclusivity restrictions (whether territorial or customer-based) imposed by the laboratories on the ECD are anti-competitive; and,</w:t>
        <w:br/>
        <w:t>3. Whether the exchange of information between the laboratories and the ECD is anti-competitive. Article 1, section 1 of the LDC establishes that: "All agreements, decisions, or collective recommendations, or concerted or consciously parallel practices, that have as their object, produce or</w:t>
      </w:r>
    </w:p>
    <w:p>
      <w:r>
        <w:rPr>
          <w:b/>
        </w:rPr>
        <w:t>[Pages 19–21]</w:t>
      </w:r>
    </w:p>
    <w:p>
      <w:r>
        <w:t>prohibits any agreement, decision, or collective recommendation, or concerted or consciously parallel practice, that aims to, produces, or may produce the effect of preventing, restricting, or distorting competition in all or part of the national market and, in particular, those that consist of:</w:t>
        <w:br/>
        <w:t>a) The direct or indirect fixing of prices or other commercial or service conditions.</w:t>
        <w:br/>
        <w:t>b) The limitation or control of production, distribution, technical development, or investments.</w:t>
        <w:br/>
        <w:t>c) The allocation of the market or sources of supply.</w:t>
        <w:br/>
        <w:t>d) The application, in commercial or service relationships, of unequal conditions for equivalent services that place some competitors at a disadvantage compared to others.</w:t>
        <w:br/>
        <w:t>e) The subordination of the conclusion of contracts to the acceptance of supplementary services that, by their nature or according to commercial practices, are not related to the object of such contracts.”</w:t>
      </w:r>
    </w:p>
    <w:p>
      <w:r>
        <w:t>Section 3 of the same article establishes that:</w:t>
        <w:br/>
        <w:t>“The prohibition in section 1 shall not apply to agreements, decisions, recommendations, and practices that contribute to improving the production or marketing and distribution of goods and services or to promoting technical or economic progress, without the need for any prior decision to that effect, provided that:</w:t>
        <w:br/>
        <w:t>a) They allow consumers or users to participate equitably in their benefits.</w:t>
        <w:br/>
        <w:t>b) They do not impose on the interested companies restrictions that are not indispensable for achieving those objectives, and</w:t>
        <w:br/>
        <w:t>c) They do not allow the participating companies the possibility of eliminating competition regarding a substantial part of the products or services considered.”</w:t>
      </w:r>
    </w:p>
    <w:p>
      <w:r>
        <w:t>For its part, EU Regulation No. 330/2010 of the Commission, of April 20, 2010, concerning the application of Article 101(3) of the Treaty on the Functioning of the European Union to certain categories of vertical agreements and concerted practices (hereinafter, REC), in its Article 1, section (a) defines "vertical agreements" as: "the agreements or concerted practices entered into between two or more companies that operate, for the purposes of the agreement or concerted practice, at different levels of the production or distribution chain and that refer to the conditions under which the parties may acquire, sell, or resell certain goods or services." Likewise, the same article defines "vertical restrictions" as "restrictions of competition that fall within the scope of application of Article 101, section 1, of the Treaty."</w:t>
      </w:r>
    </w:p>
    <w:p>
      <w:r>
        <w:t>In its Article 2, the REC introduces an exemption from the application of the prohibition in Articles 101.1 and 101.2 of the TFEU to certain types of restrictions within the framework of vertical relationships (exemption applicable mutatis mutandi to Article 1 of the LDC). Specifically, it establishes that pursuant to Article 101, section 3, of the Treaty and without prejudice to the provisions of this Regulation, it is declared that Article 101, section 1 of the Treaty shall not apply to vertical agreements. This exemption shall apply to the extent that such agreements contain "vertical restrictions" and establishes the conditions for their exemption.</w:t>
      </w:r>
    </w:p>
    <w:p>
      <w:r>
        <w:t>The basic condition for the application of the REC exemption is that none of the parties in the vertical relationship reaches a market share exceeding 30%. Specifically, Article 3 of the REC states: “1. The exemption provided for in Article 2 shall apply provided that the supplier's market share does not exceed 30% of the relevant market in which it sells the contractual goods or services and that the buyer's market share does not exceed 30% of the relevant market in which it purchases the contractual goods or services.”</w:t>
      </w:r>
    </w:p>
    <w:p>
      <w:r>
        <w:t>However, some vertical restrictions are excluded from the exemption. Indeed, Article 4 of the REC specifies the restrictions that withdraw the benefit of the exemption by categories (particularly serious restrictions): “The exemption provided for in Article 2 shall not apply to vertical agreements that, directly or indirectly, alone or in combination with other factors under the control of the parties, have as their object:</w:t>
        <w:br/>
        <w:t>a) the restriction of the buyer's ability to determine the selling price, without prejudice to the supplier's ability to impose maximum selling prices or recommend a selling price, provided that these do not amount to a fixed or minimum selling price as a result of pressures or incentives from either party;</w:t>
        <w:br/>
        <w:t>b) the restriction of the territory in which, or the clientele to which, the buyer party to the agreement may sell the contractual goods or services, except:</w:t>
        <w:br/>
        <w:t>i) the restriction of active sales in the territory or to the group of customers reserved exclusively for the supplier or assigned exclusively by the supplier to another buyer, when such prohibition does not limit the sales of the buyer's customers,</w:t>
        <w:br/>
        <w:t>ii) the restriction of sales to end users by a buyer operating at the wholesale level,</w:t>
        <w:br/>
        <w:t>iii) the restriction of sales by members of a selective distribution system to unauthorized distributors in the territory where the supplier has decided to apply that system, and,</w:t>
      </w:r>
    </w:p>
    <w:p>
      <w:r>
        <w:t>The relationships between the reported laboratories and the ECD, represented by the complainant, are, following the definition of Article 1 of the REC, vertical relationships. To the extent that neither of them (neither the laboratories nor the ECD) exceeds a market share greater than 30%, either individually or jointly, in principle, any commercial restrictions that may have been imposed by the former on the latter would be exempt under Articles 2 and 3 of the REC, except if they constitute any of the particularly serious restrictions of Article 4 of the REC, in which case they could constitute serious infringements according to the provisions of Article 62.3.a) of the LDC.</w:t>
      </w:r>
    </w:p>
    <w:p>
      <w:r>
        <w:t>It is therefore necessary to analyze whether the reported behaviors constitute particularly serious restrictions according to the provisions of Article 4 of the REC.</w:t>
      </w:r>
    </w:p>
    <w:p>
      <w:r>
        <w:t>The analyzed contracts contain clauses regarding: i) the recommendation of resale prices, ii) rebates for compensation of sales to end customers with whom the laboratory has a commercial agreement, and iii) the obligation to provide sensitive commercial information about the ECD's end customers. Some also include exclusive territorial zones.</w:t>
      </w:r>
    </w:p>
    <w:p>
      <w:r>
        <w:t>1. Recommendation of resale prices and rebates for compensation of sales</w:t>
        <w:br/>
        <w:t>According to the complainant, the laboratories would require the ECO to take their recommended prices into account and would set prices for the ECD with certain customers when they have previously contacted the end customers directly and agreed on a selling price for the veterinary medicines with them. These behaviors would be carried out through the signing of distribution contracts with the ECD and direct commercial agreements with the end customers.</w:t>
      </w:r>
    </w:p>
    <w:p>
      <w:r>
        <w:t>In the veterinary medicines sector, due to its regulatory framework, laboratories are required to have intermediaries for the sale of their medicines to the end customer, as the only entities that can sell their products to the consumer are the ECD, pharmacies, or livestock groups.</w:t>
      </w:r>
    </w:p>
    <w:p>
      <w:r>
        <w:t>The vast majority of the laboratory contracts included in the file contain price recommendations with expressions such as "respect the policy</w:t>
      </w:r>
    </w:p>
    <w:p>
      <w:r>
        <w:rPr>
          <w:b/>
        </w:rPr>
        <w:t>[Pages 22–24]</w:t>
      </w:r>
    </w:p>
    <w:p>
      <w:r>
        <w:t>of recommended prices" or "to take into account the commercial policy and recommended prices." Only the laboratories MSD, ZOETIS, and CEVA use their distribution relationships with the ECD to have them assume certain conditions in their commercial relationship with end customers or establish a direct relationship with the end customer.</w:t>
      </w:r>
    </w:p>
    <w:p>
      <w:r>
        <w:t>The recommendation of prices does not constitute per se a competition infringement comparable to resale price maintenance as derived from the European Commission's Communication on Vertical Restraints7, paragraph 48: "However, the use of a specific accompanying measure or the distribution by the supplier to the buyer of a list with recommended prices or maximum prices is not considered to in itself lead to RPM [resale price maintenance]." For its part, paragraph 226 explains that "The practice of recommending a resale price to a reseller or requiring them to adhere to a maximum resale price is covered by the Block Exemption Regulation when the market share of each of the parties to the agreement does not exceed the 30% threshold, provided that it does not result in a minimum or fixed selling price as a result of pressure or incentives offered by either party."</w:t>
      </w:r>
    </w:p>
    <w:p>
      <w:r>
        <w:t>In any case, with the market structure existing at the time of the complaint (in which none of the laboratories exceeds a 30% share in the relevant market nor in the indicated segments - medicines for domestic animals and medicines for production animals), it turns out that the laboratories face a large number of competitors with similar market shares, which makes the uniform imposition of recommended prices difficult. On the other hand, there are also no indications that any of the ECD has a share exceeding 30%.</w:t>
      </w:r>
    </w:p>
    <w:p>
      <w:r>
        <w:t>Furthermore, the analyzed commercial relationships do not include particularly severe restrictions. On one hand, the discounts that laboratories sometimes agree with the end customer are configured in any case as recommended prices or maximum prices and not as a fixing of resale prices to the ECD, since nothing obliges the ECD to sell the products to customers at a certain price. The recommendation of maximum prices would avoid the problem of double marginalization (paragraph 107. f) of the Guidelines on vertical restraints), which arises from the negative externality existing in the vertical relationship between the laboratory and the distributor when the latter sets prices too high. The recommended maximum prices, for their part, would incentivize the sales efforts of the ECD operating in a selective distribution system. In this regard, it should be noted that the prohibition of vertical price fixing (producer-distributor) aims to prevent the producer from imposing minimum resale prices on the distributor, thereby hindering price reductions and causing detriment to the end consumer. Conversely, a recommendation of maximum prices generally does not pose competition problems if it seeks to prevent the increase of retail prices by the retailer, as this benefits both the end consumer and the producer, who sees their ability to compete in the market against their rivals strengthened.</w:t>
      </w:r>
    </w:p>
    <w:p>
      <w:r>
        <w:t>Regarding the policies of some laboratories to offer discounts upon reaching certain sales volumes, the objective would be to generate efficiencies in the distribution system by incentivizing the sale of their medicines. Thus, the pricing policy rewards economies of scale in orders and compensates the distributor, who could apply a discount on their margin, just as they would with orders outside the agreements, and therefore would not constitute resale price fixing.</w:t>
      </w:r>
    </w:p>
    <w:p>
      <w:r>
        <w:t>2. Obligation to provide sensitive commercial information</w:t>
        <w:br/>
        <w:t>In relation to the exchanges of strategic, commercial, and sensitive information, as previously highlighted, such exchanges have occurred within the framework of a vertical relationship between producer and distributor, a relationship of complementarity, not competition, between the parties, and as such must be analyzed, not as a prohibited agreement between competitors but in light of the REC.</w:t>
      </w:r>
    </w:p>
    <w:p>
      <w:r>
        <w:t>Starting from this premise, the exchanges carried out do not, in principle, pose any competition problem as they constitute an essential tool in any vertical relationship that allows manufacturers to be aware of the evolution of their sales and their customers, a matter that is not only logical but fundamental for designing competitive strategies against their rivals that allow them to compete effectively in the market.</w:t>
      </w:r>
    </w:p>
    <w:p>
      <w:r>
        <w:t>This practice could only pose problems in the hypothetical case that it could be proven that such exchanges are being used by manufacturers to collude among themselves, using the information provided by their distributors from other manufacturers to maintain a price agreement. Given the market structure, it does not seem likely that the content of the information exchanges between laboratories and their distributors would reduce uncertainty by facilitating collusive behavior. On the contrary, such exchanges seem logical in the context of the described vertical relationship, allowing each manufacturer a better understanding of the market, better management of their stocks, and a reinforcement of their commercial strategy against their competitors, which ultimately benefits the consumer through lower prices and better service.</w:t>
      </w:r>
    </w:p>
    <w:p>
      <w:r>
        <w:t>Moreover, in recent years, the information requested from the ECD has been collected electronically using software or computer applications. This is the case for MSD (folios 294 to 320) and ZOETIS (folios 162 to 178). The laboratories, in parallel to the use of the information submission software, have begun to hire the services of third companies in order to audit the data of their distributors and ensure its accuracy for applying the commercial rebates with which the laboratories reward the marketing activity of the ECD or distributors. This practice ensures a more aseptic use of the information and, therefore, its confidentiality. It is no longer the distributor who sends the information to the laboratory, but rather it goes through a third party specialized in data protection who, by sending aggregated data to the laboratory, ensures proper handling of the information (see for example the procedure described in the ZOETIS contract, folios 168 to 170). Finally, no evidence has been identified indicating the transmission of this information between competitors.</w:t>
      </w:r>
    </w:p>
    <w:p>
      <w:r>
        <w:t>3. Territorial exclusivity restrictions</w:t>
        <w:br/>
        <w:t>Regarding the exclusivity nature of the contracts, from the study of the documents provided by the complainant and by the laboratories themselves, it is concluded that such exclusivity is of a geographical nature. In addition to the fact that the distribution system is integrated by a legally determined system (art. 38 of the TRLGURMPS) in which the number of distributors per territory or any other type of commercial limitation is not restricted, it is a type of restriction widely accepted within the framework of vertical relationships that only poses problems if there is market power and/or the parties incur in any of the particularly severe restrictions of articles 4 and 5 of the REC. Since, as already indicated, no such particularly severe restrictions have been identified in the relationships between ECD and the laboratories, and since none of the respondents or the ECD hold shares exceeding 30%, the possible territorial restrictions reported are exempt under the REC.</w:t>
      </w:r>
    </w:p>
    <w:p>
      <w:r>
        <w:t>In summary, according to the above: (1) since none of the respondents exceed a 30% share, and the ECD individually considered do not either; and (2) since no particularly severe restriction of competition conditions has been identified in the vertical relationships between them, any potential restrictions that may arise in the context of their commercial relationships would be covered by the exemption of the REC.</w:t>
      </w:r>
    </w:p>
    <w:p>
      <w:r>
        <w:t>In light of all the above, the Competition Chamber of the CNMC Council,</w:t>
        <w:br/>
        <w:t>RESOLVES</w:t>
        <w:br/>
        <w:t>SOLE. Not to initiate sanctioning proceedings and to archive the actions taken by the Competition Directorate of the CNMC in the file S/DC/0539/14, VETERINARY MEDICINES, as a consequence of the complaint filed by ASEMAZ-ASA against Merck Sharp &amp; Dohme Animal.</w:t>
      </w:r>
    </w:p>
    <w:p>
      <w:r>
        <w:rPr>
          <w:b/>
        </w:rPr>
        <w:t>[Pages 25–25]</w:t>
      </w:r>
    </w:p>
    <w:p>
      <w:r>
        <w:t>Health, S.L., Zoetis España, S.L.U., B.Braun Vet Care, S.A., Elanco Spain, S.L., Merial Laboratorios, S.A., Vetoquinol Especialidades Veterinarias, S.A., Virbac España, S.A., Ceva Salud Animal, S.A., Laboratorios Calier, S.A., Divasa Farmavic, S.A., Ecuphar Veterinaria, S.L.U., Hipra, S.A., Industrial Veterinaria, S.A., Laboratorios Jaer, S.A., Karizoo, S.A., Labiana Life Sciences, S.A., Maymo, S.A. (MAYMO), Mevet, S.A.U., Super's Diana, S.L., Laboratorios Syva, S.A.U., for considering that there are no indications of infringement of Law 15/2007, of July 3, on the Defense of Competition.</w:t>
      </w:r>
    </w:p>
    <w:p>
      <w:r>
        <w:t>Communicate this Resolution to the Competition Directorate of the National Commission on Markets and Competition and notify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