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https://www.cnmc.es/expedientes/sdc054214</w:t>
      </w:r>
    </w:p>
    <w:p>
      <w:r>
        <w:t>Pages translated : 14</w:t>
      </w:r>
    </w:p>
    <w:p/>
    <w:p>
      <w:r>
        <w:rPr>
          <w:b/>
        </w:rPr>
        <w:t>[Pages 1–3]</w:t>
      </w:r>
    </w:p>
    <w:p>
      <w:r>
        <w:t xml:space="preserve">RESOLUTION Expte. S/DC/0542/14, UEFA  </w:t>
        <w:br/>
        <w:t xml:space="preserve">COUNCIL. COMPETITION CHAMBER  </w:t>
        <w:br/>
        <w:t xml:space="preserve">PRESIDENT  </w:t>
        <w:br/>
        <w:t xml:space="preserve">Mr. José María Marín Quemada  </w:t>
        <w:br/>
        <w:t xml:space="preserve">COUNCILORS  </w:t>
        <w:br/>
        <w:t xml:space="preserve">Ms. María Ortiz Aguilar  </w:t>
        <w:br/>
        <w:t xml:space="preserve">Mr. Fernando Torremocha y García-Sáenz  </w:t>
        <w:br/>
        <w:t xml:space="preserve">Mr. Benigno Valdés Díaz  </w:t>
        <w:br/>
        <w:t xml:space="preserve">Ms. Idoia Zenarrutzabeitia Beldarraín  </w:t>
        <w:br/>
        <w:t xml:space="preserve">SECRETARY  </w:t>
        <w:br/>
        <w:t xml:space="preserve">Mr. Tomás Suárez-Inclán González  </w:t>
        <w:br/>
        <w:t xml:space="preserve">In Madrid, on July 30, 2015.  </w:t>
        <w:br/>
        <w:t xml:space="preserve">The Competition Chamber of the Council of the National Commission of Markets and Competition (CNMC), with the composition expressed in the margin, has issued this Resolution in the file S/DC/0542/14, UEFA, processed following the complaint filed by Mediaset España Comunicación, S.A. (MEDIASET) against the Union of European Football Associations (UEFA) and Mediaproducción, S.L. (MEDIAPRO), based on an alleged infringement of Articles 1 and 2 of Law 15/2007, of July 3, on the Defense of Competition (LDC) and Articles 101 and 102 of the Treaty on the Functioning of the European Union (TFEU) (folios 1 to 127).  </w:t>
        <w:br/>
        <w:t xml:space="preserve">BACKGROUND FACTS  </w:t>
        <w:br/>
        <w:t xml:space="preserve">1. On November 19, 2014, a complaint was filed with the National Commission of Markets and Competition (CNMC) by Mediaset España Comunicación, S.A. (MEDIASET) against the Union of European Football Associations (UEFA) and Mediaproducción, S.L. (MEDIAPRO) for alleged restrictive competition practices (folios 1 to 127).  </w:t>
        <w:br/>
        <w:t xml:space="preserve">2. According to the complaint, MEDIASET considers that certain aspects of the auction system for the commercialization of the broadcasting rights of the Champions League for the 2015/2016 to 2017/2018 seasons used by UEFA "do not meet the criteria of transparency, objectivity, and non-discrimination that are attributable to an operator in a dominant position" and that, in the aforementioned auction procedure, "discriminatory treatment among competing operators could effectively occur in practice," among which was the complainant (folio 9). Therefore, MEDIASET considers that:  </w:t>
        <w:br/>
        <w:t xml:space="preserve">- UEFA may have engaged in an abuse of dominant position, an infringement classified under Article 2 of the LDC and Article 102 of the TFEU.  </w:t>
        <w:br/>
        <w:t xml:space="preserve">- Alternatively, depending on how the winning bid of the auction procedure was formulated, MEDIAPRO could be responsible for an infringement of Article 1 of the LDC and Article 101 of the TFEU, in case it submitted a joint bid with other operators, or of Article 2 of the LDC and Article 102 of the TFEU, in case it resold or directly awarded part of the acquired rights to Gol Televisión, S.L. and other free-to-air television operators (folio 6).  </w:t>
        <w:br/>
        <w:t xml:space="preserve">3. On November 24, 2014, the Competition Directorate (DC) requested information from MEDIASET regarding the contact details of the two entities being complained against (folios 128 to 131). The response to this request for information was received by the CNMC on November 25, 2014 (folios 134 to 140).  </w:t>
        <w:br/>
        <w:t xml:space="preserve">4. On December 22, 2014, the DC requested information from the company T.E.A.M. Market AG –TEAM- (the company to which UEFA had entrusted the organization of the complained auction procedure) and from UEFA regarding the procedure for awarding the broadcasting rights in Spain for the Champions League for the 2015/2016 to 2017/2018 seasons (folios 141 to 145 and 149 to 152, respectively). The response to both requests for information was received by the CNMC on January 16, 2015, through a joint document submitted by UEFA and TEAM (folios 157 to 592).  </w:t>
        <w:br/>
        <w:t xml:space="preserve">5. On March 3, 2015, the DC submitted its Report and Proposal for Resolution to the Council of the CNMC.  </w:t>
        <w:br/>
        <w:t xml:space="preserve">6. The Competition Chamber of the Council of the CNMC deliberated and ruled on the matter in its meeting on July 30, 2015.  </w:t>
        <w:br/>
        <w:t xml:space="preserve">7. The parties involved in this file are:  </w:t>
        <w:br/>
        <w:t xml:space="preserve">• MEDIASET  </w:t>
        <w:br/>
        <w:t xml:space="preserve">• MEDIAPRO  </w:t>
        <w:br/>
        <w:t>• UEFA</w:t>
      </w:r>
    </w:p>
    <w:p>
      <w:r>
        <w:t xml:space="preserve">ACCEPTED FACTS  </w:t>
        <w:br/>
        <w:t xml:space="preserve">The complaints subject to this file have been assessed by this Council based on the facts estimated by the DC, which are transcribed below.  </w:t>
        <w:br/>
        <w:t xml:space="preserve">1. THE PARTIES  </w:t>
        <w:br/>
        <w:t xml:space="preserve">1.1. UEFA (Union of European Football Associations): It is a private confederation of national European football associations, domiciled in Switzerland. It is responsible for organizing certain European football competitions and supervising football activities in Europe. UEFA centrally markets the broadcasting rights for the Champions League and Europa League football competitions.  </w:t>
        <w:br/>
        <w:t xml:space="preserve">1.2. MEDIAPRO (Mediaproducción, S.L.): It is an operator that, among other activities, acquires and wholesales broadcasting rights for football competitions worldwide. Additionally, MEDIAPRO manages through a subsidiary a pay television channel, Gol T, specialized in broadcasting football competitions, which was broadcast until July 2015 via digital terrestrial television (DTT).  </w:t>
        <w:br/>
        <w:t xml:space="preserve">1.3. MEDIASET (Mediaset España Comunicación, S.A.) is a free-to-air television operator in Spain that holds licenses to broadcast 6 DTT channels.  </w:t>
        <w:br/>
        <w:t xml:space="preserve">2. AFFECTED MARKETS  </w:t>
        <w:br/>
        <w:t xml:space="preserve">2.1 Product market  </w:t>
        <w:br/>
        <w:t xml:space="preserve">As indicated by the DC in its proposal, the markets for the commercialization of individual audiovisual content have been analyzed on various occasions by the competition authorities, which have distinguished different markets for the commercialization of individual audiovisual content based on the nature of the content, its premium character, the different broadcasting windows, and the different types of demanders.  </w:t>
        <w:br/>
        <w:t>1 Community cases COMP/C 37.398 UEFA; COMP/38.173 The Football Association Premier League Limited and COMP/37.214 DFB, M.5932 News Corp/DSKy; M.6369/HBO/Ziggo/HBO Nederland; M.4504 SFR / TELE2 FRANCE; M.4066 CVC/SLEC; M.2876 NEWSCORP/TELEpiu and M.2845 SOGECABLE/CANAL SATELITE DIGITAL/VÍA DIGITAL. National cases S/0006/07 AVS, Mediapro, Sogecable and Football Clubs and S/0153/09 MEDIAPRODUCCIÓN. , N-280 SOGECABLE/VÍA DIGITAL (C-74/02 of the TDC); N-06094 SOGECABLE/AVS (C-102/06 of the TDC); C/0230/10 TELECINCO/CUATRO, C/0432/12 ANTENA 3/LA SEXTA and C/0612/14 TELEFÓNICA/DTS.</w:t>
      </w:r>
    </w:p>
    <w:p>
      <w:r>
        <w:rPr>
          <w:b/>
        </w:rPr>
        <w:t>[Pages 4–6]</w:t>
      </w:r>
    </w:p>
    <w:p>
      <w:r>
        <w:t xml:space="preserve">ITE DIGITAL/VÍA DIGITAL.  </w:t>
        <w:br/>
        <w:t xml:space="preserve">National cases S/0006/07 AVS, Mediapro, Sogecable and Football Clubs and S/0153/09 MEDIAPRODUCCIÓN. , N-280 SOGECABLE/VÍA DIGITAL (C-74/02 of the TDC); N-06094 SOGECABLE/AVS (C-102/06 of the TDC); C/0230/10 TELECINCO/CUATRO, C/0432/12 ANTENA 3/LA SEXTA and C/0612/14 TELEFÓNICA/DTS.  </w:t>
        <w:br/>
        <w:t>3</w:t>
      </w:r>
    </w:p>
    <w:p>
      <w:r>
        <w:t xml:space="preserve">Considering the nature of the content, the markets for the commercialization of audiovisual content could be differentiated depending on whether it concerns movies, series, football, other sports, etc. The justification for this differentiation is primarily based on the fact that each type of content has a different appeal for different demanders, without being sufficiently substitutable for one another. Likewise, each of these contents usually has very different exploitation systems or pricing structures.  </w:t>
        <w:br/>
        <w:t xml:space="preserve">In the case of the wholesale commercialization of broadcasting rights for sporting events, different markets can also be differentiated according to the significance of the event. Thus, the most relevant regular football competitions (Liga BBVA and Copa de S.M. el Rey and annual European tournaments in which Spanish teams participate - UEFA Champions League and UEFA Europa League) would form a differentiated market, and within this, the aforementioned precedents have considered the possibility of defining a narrower market for the acquisition and resale of broadcasting rights for the Liga and Copa de S.M. el Rey of football compared to other European competitions (UEFA Champions League and UEFA Europa League).  </w:t>
        <w:br/>
        <w:t xml:space="preserve">The most recent analysis of these markets for the acquisition and resale of football content is found in the INFORME PROPUESTA EN SEGUNDA FASE of the economic concentration file C/0612/14 TELEFÓNICA/DTS, submitted by the DC on April 16, 2015 (hereinafter, Informe Propuesta C/0612/14), which states the following:  </w:t>
        <w:br/>
        <w:t xml:space="preserve">“  </w:t>
        <w:br/>
        <w:t xml:space="preserve">(604) In the case of the rights to the most important international sports competitions (FIFA World Cup, Champions League, Eurocup or Olympic Games), the organizers of these competitions (FIFA, UEFA, and IOC) usually organize an auction among the different operators interested in acquiring these rights. Although the terms of reference for submitting bids are usually the same for all countries, in practice, the broadcasting rights for each territory are negotiated separately. The successful bidder normally acquires all rights to broadcast the competition's content in all possible formats (television, internet, mobile communications system).  </w:t>
        <w:br/>
        <w:t xml:space="preserve">(605) The potential demanders in these markets are television operators (both pay and free-to-air) and channel publishers. Internet television operators (OTT) usually do not offer sports content for which it is important to broadcast live and in quality conditions.”  </w:t>
        <w:br/>
        <w:t xml:space="preserve">However, to the extent that the exact delimitation of the product markets affected by the reported conduct does not affect the assessment that can be made of them, the DC has not deemed it necessary to rule on this issue for the purposes of the present file.  </w:t>
        <w:br/>
        <w:t xml:space="preserve">2.2 Geographic market  </w:t>
        <w:br/>
        <w:t xml:space="preserve">Fundamentally due to the fact that the competitive strategy of the operators must take into account factors such as linguistic, cultural, and regulatory borders, as well as the fact that commercial strategies in these markets are national, the previously cited national and EU precedents have considered that the different markets for the commercialization of content have a national dimension. In fact, UEFA itself has called for bids for the broadcasting rights of the Champions League competition on a national basis.  </w:t>
        <w:br/>
        <w:t xml:space="preserve">Therefore, the DC indicates in its proposal that the relevant geographic scope for analyzing the conduct reported by MEDIASET encompasses Spain.  </w:t>
        <w:br/>
        <w:t xml:space="preserve">2.3 Market structure  </w:t>
        <w:br/>
        <w:t xml:space="preserve">The broadcasting rights for European football competitions are marketed centrally by UEFA in three-season cycles, unlike the broadcasting rights for the Liga and Copa de S.M. el Rey – which have traditionally been marketed individually by each club until the approval of the recent Royal Decree-Law 5/2015, of April 30, on urgent measures regarding the commercialization of audiovisual content exploitation rights for professional football competitions.  </w:t>
        <w:br/>
        <w:t xml:space="preserve">The current cycle runs for the 2012/2013 to 2014/2015 seasons, and the broadcasting rights in Spain for the Champions League and Supercup were awarded to DTS (for pay television broadcasting) and to TVE and TV3 (for free-to-air television broadcasting of one match per matchday).  </w:t>
        <w:br/>
        <w:t xml:space="preserve">Subsequently, DTS resold to TELEFÓNICA the broadcasting rights it had acquired, so that they could be exploited exclusively on the pay television platforms of both operators. This agreement and the possible concerted action between TELEFÓNICA and DTS for the acquisition and exploitation of these rights were the subject of investigation within the framework of file S/0436/12 DTS DISTRIBUIDORA DE TV DIGITAL. By resolution of July 23, 2015, the CNMC Council declared an infringement of Article 1 of the LDC as well as Article 101 of the TFEU consisting of the concerted action of DTS and TELEFÓNICA in the markets for the acquisition, resale, and exploitation of audiovisual rights for regular football competitions for the 2012/2013 to 2014/2015 seasons.  </w:t>
        <w:br/>
        <w:t xml:space="preserve">The broadcasting rights in Spain for the Europa League were awarded for the period 2012/2013 to 2014/2015 to MEDIAPRO (for pay television broadcasting) and to MEDIASET (for free-to-air television broadcasting of one match per matchday).  </w:t>
        <w:br/>
        <w:t xml:space="preserve">In the middle of this exploitation cycle, MEDIAPRO resold to TELEFÓNICA the broadcasting rights of the Europa League for exclusive exploitation on the pay television platforms of both operators.  </w:t>
        <w:br/>
        <w:t xml:space="preserve">3. FACTS  </w:t>
        <w:br/>
        <w:t xml:space="preserve">3.1 Invitation for the submission of offers  </w:t>
        <w:br/>
        <w:t xml:space="preserve">On May 16, 2014, UEFA sent to all those operators who might be interested an invitation to submit offers (hereinafter ISO, in its English acronym) regarding the broadcasting rights in Spain for the competitions organized by UEFA, Champions League and Supercup, for the 2015/2016 to 2017/2018 seasons.  </w:t>
        <w:br/>
        <w:t xml:space="preserve">The invitation included the different packages of rights on which the operators could bid, as well as the relevant conditions and the procedure that UEFA would use to evaluate the submitted offers (folios 162 to 243).  </w:t>
        <w:br/>
        <w:t xml:space="preserve">• Packages of rights on which operators could submit offers  </w:t>
        <w:br/>
        <w:t xml:space="preserve">According to the ISO, the packages on which operators could submit offers are the following five (folios 174 to 180):  </w:t>
        <w:br/>
        <w:t>Package A1: includes the right to choose one of the Champions League/Supercup matches that take place on Tuesdays (16), as well as the right to broadcast in deferred and in full those matches that, having taken place on Tuesdays, were not broadcast live. In addition to these broadcasting rights, package A1 includes rights for the successful operator to adapt or produce magazine programs based on the Champions League, as well as the broadcasting of deferred clips under the VOD system of up to 3 minutes in relation to the live broadcasting rights that have been acquired.</w:t>
      </w:r>
    </w:p>
    <w:p>
      <w:r>
        <w:rPr>
          <w:b/>
        </w:rPr>
        <w:t>[Pages 7–9]</w:t>
      </w:r>
    </w:p>
    <w:p>
      <w:r>
        <w:t>Package A2: the content of this package is identical to that of package A1, with the only difference being that the broadcasting rights contained in the package refer to the matches played on Wednesdays (18).</w:t>
      </w:r>
    </w:p>
    <w:p>
      <w:r>
        <w:t>Package B: includes the possibility of broadcasting live up to 112 matches per season that have not been selected by the awardees of packages A1 and A2, as well as the deferred broadcasting of the matches that the operator has broadcast live and, with certain time restrictions, the deferred broadcasting of the matches referred to in packages A1 and A2. It also includes rights to produce or adapt magazines and broadcast VOD clips under terms similar to those already outlined in the previous rights packages.</w:t>
      </w:r>
    </w:p>
    <w:p>
      <w:r>
        <w:t xml:space="preserve">Package C1: summaries of the matches on Tuesdays  </w:t>
        <w:br/>
        <w:t>Package C2: summaries of the matches on Wednesdays</w:t>
      </w:r>
    </w:p>
    <w:p>
      <w:r>
        <w:t xml:space="preserve">• Sales and Contracting Process  </w:t>
        <w:br/>
        <w:t xml:space="preserve">In the ISO, it was established that UEFA had delegated to TEAM the entire auction process for the broadcasting rights in Spain of the aforementioned football competitions, as well as the formula in which the offers were to be submitted to TEAM, with the final deadline for submission being June 30, 2014, 12:00 CET.  </w:t>
        <w:br/>
        <w:t xml:space="preserve">The conditions set forth in the ISO also established that UEFA could choose not to accept any of the offers received and, consequently, invite the operators to successive rounds of negotiations that would follow the same process established in the ISO (folio 171), as occurred in practice.  </w:t>
        <w:br/>
        <w:t xml:space="preserve">The criteria for evaluating the offers established by UEFA in the ISO were as follows:  </w:t>
        <w:br/>
        <w:t xml:space="preserve">Price  </w:t>
        <w:br/>
        <w:t xml:space="preserve">Distribution channels, programming plans, coverage levels, audience ratings, market share  </w:t>
        <w:br/>
        <w:t xml:space="preserve">Financial security of the offer  </w:t>
        <w:br/>
        <w:t xml:space="preserve">Financial situation of the offeror  </w:t>
        <w:br/>
        <w:t xml:space="preserve">Commitment of the offeror to promote the competitions  </w:t>
        <w:br/>
        <w:t xml:space="preserve">Combination and compatibility of the bids offered in the territory of exploitation of the rights  </w:t>
        <w:br/>
        <w:t xml:space="preserve">Experience  </w:t>
        <w:br/>
        <w:t>Capacity of the awardee</w:t>
      </w:r>
    </w:p>
    <w:p>
      <w:r>
        <w:t>In the ISO itself, the possibility for operators to submit joint offers was established, under certain conditions (folio 173), and the offer models that each operator had to attach to their proposal were incorporated.</w:t>
      </w:r>
    </w:p>
    <w:p>
      <w:r>
        <w:t xml:space="preserve">3.2 Submitted Offers  </w:t>
        <w:br/>
        <w:t>In sections (33) to (44) of the Proposal for Filing, an analysis of the offers submitted by the participants in two rounds is included. The summary of the offers submitted in the first round is reflected in the following table:</w:t>
      </w:r>
    </w:p>
    <w:p>
      <w:r>
        <w:t xml:space="preserve">SUMMARY OF OFFERS SUBMITTED IN FIRST ROUND  </w:t>
        <w:br/>
        <w:t xml:space="preserve">RIGHTS PACKAGES  </w:t>
        <w:br/>
        <w:t xml:space="preserve">OFFEROR  </w:t>
        <w:br/>
        <w:t xml:space="preserve">A1 A2 B C1 C2  </w:t>
        <w:br/>
        <w:t xml:space="preserve">[OFFEROR 1]6 X X  </w:t>
        <w:br/>
        <w:t xml:space="preserve">[OFFEROR 2] X X X  </w:t>
        <w:br/>
        <w:t xml:space="preserve">[OFFEROR 3] X X X  </w:t>
        <w:br/>
        <w:t xml:space="preserve">[OFFEROR 4] X X X X  </w:t>
        <w:br/>
        <w:t xml:space="preserve">[OFFEROR 5] X X X  </w:t>
        <w:br/>
        <w:t xml:space="preserve">[OFFEROR 6] X X X X X  </w:t>
        <w:br/>
        <w:t>Source: Prepared by the DC based on the information received (folios 246 to 382)</w:t>
      </w:r>
    </w:p>
    <w:p>
      <w:r>
        <w:t>This first round of offer submissions was not conclusive, according to the information provided by UEFA in the processing of the file, and therefore, operators were invited to submit new offers in a second round under the same conditions as those set forth in the ISO that had been launched in May 2014. The summary is included in the following table:</w:t>
      </w:r>
    </w:p>
    <w:p>
      <w:r>
        <w:t xml:space="preserve">SUMMARY OF OFFERS SUBMITTED IN SECOND ROUND  </w:t>
        <w:br/>
        <w:t xml:space="preserve">RIGHTS PACKAGES  </w:t>
        <w:br/>
        <w:t xml:space="preserve">OFFEROR  </w:t>
        <w:br/>
        <w:t xml:space="preserve">A1 A2 B C1 C2  </w:t>
        <w:br/>
        <w:t xml:space="preserve">[OFFEROR 7] X  </w:t>
        <w:br/>
        <w:t>6 To ensure the confidentiality requested by UEFA and provisionally accepted by the DC, numbers have been assigned to the different offerors in the first and second rounds. The identity of the offerors in the first round may coincide with that of the offerors in the second round, and in the second round, one offeror may effectively include two offerors that have submitted a joint offer. The correspondence between these numbers and the identity of the offerors is recorded in folio 593.</w:t>
      </w:r>
    </w:p>
    <w:p>
      <w:r>
        <w:t xml:space="preserve">X  </w:t>
        <w:br/>
        <w:t xml:space="preserve">[OFFEROR 8] X X X  </w:t>
        <w:br/>
        <w:t xml:space="preserve">[OFFEROR 9] X  </w:t>
        <w:br/>
        <w:t xml:space="preserve">[OFFEROR 10] X X X  </w:t>
        <w:br/>
        <w:t xml:space="preserve">[OFFEROR 11] X X X X X  </w:t>
        <w:br/>
        <w:t>Source: Prepared by the DC based on the information received (folios 410 to 482).</w:t>
      </w:r>
    </w:p>
    <w:p>
      <w:r>
        <w:t xml:space="preserve">3.3 Evaluation of the Offers  </w:t>
        <w:br/>
        <w:t xml:space="preserve">From the analysis of the economic offers presented by the different operators, the DC concluded that the offer best valued by UEFA and TEAM was the highest from an economic standpoint.  </w:t>
        <w:br/>
        <w:t xml:space="preserve">According to the data provided by both entities, the best-valued offer was that of OFFEROR 8 and OFFEROR 9.  </w:t>
        <w:br/>
        <w:t xml:space="preserve">As inferred from the description of the offers presented by the different operators, UEFA and TEAM only had fully combinable offers from OFFEROR 8 and OFFEROR 9, as they did not overlap in any of the rights packages that could be bid on.  </w:t>
        <w:br/>
        <w:t xml:space="preserve">Indeed, all offerors, except OFFEROR 8, submitted an offer for the broadcasting rights of the Europa League competition in Spain.  </w:t>
        <w:br/>
        <w:t xml:space="preserve">Of those offers for the broadcasting rights of the Europa League, three specified the total amount offered for the broadcasting rights in Spain of the Champions League, and only the offer submitted by OFFEROR 9 included both groups of rights together.  </w:t>
        <w:br/>
        <w:t xml:space="preserve">Therefore, to assess the most economically advantageous offer, the combinable economic offers of OFFEROR 7, OFFEROR 10, and OFFEROR 11 must be summed and checked if they exceed economically the combined offer proposed by OFFEROR 8 and OFFEROR 9.  </w:t>
        <w:br/>
        <w:t xml:space="preserve">According to the economic data provided in the file, the sum of any of the economic offers submitted by the television operators that can be combined does not exceed, in any possible scenario, the combined offer of OFFEROR 8 and OFFEROR 9.  </w:t>
        <w:br/>
        <w:t>However, it should be noted that, according to the data in the file, the DC was not aware of any formal agreement having been made with OFFEROR 8 and OFFEROR 9.</w:t>
      </w:r>
    </w:p>
    <w:p>
      <w:r>
        <w:rPr>
          <w:b/>
        </w:rPr>
        <w:t>[Pages 10–12]</w:t>
      </w:r>
    </w:p>
    <w:p>
      <w:r>
        <w:t>LEGAL GROUNDS</w:t>
      </w:r>
    </w:p>
    <w:p>
      <w:r>
        <w:t>FIRST.- Competence to resolve.</w:t>
      </w:r>
    </w:p>
    <w:p>
      <w:r>
        <w:t>In accordance with the provisions of the first additional provision of Law 3/2013, of June 4, creating the CNMC, by order of the Minister of Economy and Competitiveness ECC/1796/2013, of October 4, October 7, 2013, was determined as the date for the operation of the CNMC. According to the second additional provision of the same Law, “references in current legislation to the National Competition Commission […] shall be understood as references to the National Markets and Competition Commission […]” and “References in Law 15/2007, of July 3, to the Investigation Directorate of the National Competition Commission shall be understood as references to the Competition Directorate of the National Markets and Competition Commission.”</w:t>
      </w:r>
    </w:p>
    <w:p>
      <w:r>
        <w:t>Furthermore, Article 14 letter b) of the Organic Statute of the CNMC, approved by Royal Decree 657/2013, of August 30, establishes that “The Competition Chamber shall hear matters related to the application of Law 15/2007, of July 3, on the Defense of Competition and with the activity of promoting competition in accordance with the provisions of Article 5 of Law 3/2013, of June 4.”</w:t>
      </w:r>
    </w:p>
    <w:p>
      <w:r>
        <w:t>Consequently, the competence to resolve this procedure corresponds to the Competition Chamber of the CNMC.</w:t>
      </w:r>
    </w:p>
    <w:p>
      <w:r>
        <w:t>SECOND.- Object of the resolution and proposal of the instructing body.</w:t>
      </w:r>
    </w:p>
    <w:p>
      <w:r>
        <w:t>It is the responsibility of the Council in this file to determine whether it is appropriate to archive in relation to the possible existence of infringements of Articles 1 and 2 of the LDC, and 101 and 102 of the TFEU. According to the complainant, UEFA and MEDIAPRO would have engaged in conduct prohibited by Articles 1 or 2 of the LDC, and 101 or 102 TFEU.</w:t>
      </w:r>
    </w:p>
    <w:p>
      <w:r>
        <w:t>(1) Article 1.1 of the LDC establishes that “Any agreement, decision or collective recommendation, or concerted or consciously parallel practice, that has as its object, produces or may produce the effect of preventing, restricting or distorting competition in all or part of the national market is prohibited, and in particular those that consist of:</w:t>
      </w:r>
    </w:p>
    <w:p>
      <w:r>
        <w:t>a) The direct or indirect fixing of prices or other commercial or service conditions.</w:t>
      </w:r>
    </w:p>
    <w:p>
      <w:r>
        <w:t>b) The limitation or control of production, distribution, technical development or investments.</w:t>
      </w:r>
    </w:p>
    <w:p>
      <w:r>
        <w:t>c) The division of the market or sources of supply.</w:t>
      </w:r>
    </w:p>
    <w:p>
      <w:r>
        <w:t>d) The application, in commercial or service relationships, of unequal conditions for equivalent performances that place some competitors at a disadvantage compared to others.</w:t>
      </w:r>
    </w:p>
    <w:p>
      <w:r>
        <w:t>e) The subordination of the conclusion of contracts to the acceptance of supplementary performances that, by their nature or according to commercial practices, are not related to the object of such contracts.”</w:t>
      </w:r>
    </w:p>
    <w:p>
      <w:r>
        <w:t>For its part, Article 2 of the LDC, under the title “abuse of dominant position” establishes that:</w:t>
      </w:r>
    </w:p>
    <w:p>
      <w:r>
        <w:t>“1. The abusive exploitation by one or more companies of their dominant position in all or part of the national market is prohibited.</w:t>
      </w:r>
    </w:p>
    <w:p>
      <w:r>
        <w:t>2. The abuse may consist, in particular, of:</w:t>
      </w:r>
    </w:p>
    <w:p>
      <w:r>
        <w:t>a) The direct or indirect imposition of prices or other unfair commercial or service conditions.</w:t>
      </w:r>
    </w:p>
    <w:p>
      <w:r>
        <w:t>b) The limitation of production, distribution or technical development to the unjustified detriment of companies or consumers.</w:t>
      </w:r>
    </w:p>
    <w:p>
      <w:r>
        <w:t>c) The unjustified refusal to satisfy purchase demands for products or services.</w:t>
      </w:r>
    </w:p>
    <w:p>
      <w:r>
        <w:t>d) The application, in commercial or service relationships, of unequal conditions for equivalent performances, which places some competitors at a disadvantage compared to others.</w:t>
      </w:r>
    </w:p>
    <w:p>
      <w:r>
        <w:t>e) The subordination of the conclusion of contracts to the acceptance of supplementary performances that, by their nature or according to commercial practices, are not related to the object of such contracts […]”</w:t>
      </w:r>
    </w:p>
    <w:p>
      <w:r>
        <w:t>Articles 101 and 102 of the TFEU contain prohibitions more or less equivalent to those of Articles 1 and 2 of the LDC, respectively.</w:t>
      </w:r>
    </w:p>
    <w:p>
      <w:r>
        <w:t>The DC proposes the archiving of the proceedings as it considers that, in relation to the investigated conduct, there are no indications that UEFA has infringed Articles 2 of the LDC and 102 of the TFEU, nor are there indications that MEDIAPRO has committed a possible infringement of Articles 1 and 2 of the LDC and 101 and 102 of the TFEU.</w:t>
      </w:r>
    </w:p>
    <w:p>
      <w:r>
        <w:t>THIRD.- Assessment of the Competition Chamber</w:t>
      </w:r>
    </w:p>
    <w:p>
      <w:r>
        <w:t>In relation to UEFA, MEDIASET considers that it would have infringed Articles 2 LDC and 102 TFEU concerning the investigated conduct.</w:t>
      </w:r>
    </w:p>
    <w:p>
      <w:r>
        <w:t>However, as indicated by the DC, in light of the data in the file, it cannot be stated that there are indications that UEFA has engaged in an abuse of a dominant position in the awarding of broadcasting rights for the Champions League for the Spanish territory in the 2015/2016 to 2017/2018 seasons, as suggested by the complainant.</w:t>
      </w:r>
    </w:p>
    <w:p>
      <w:r>
        <w:t>Once the documentation in the file has been analyzed, the DC has verified that the awarded conditional offers are the economically highest, whether considering the isolated sale of the Champions League and the Super Cup, or analyzing the joint sale of the broadcasting rights in Spain for these competitions with those of the UEFA Europa League. It is true that in its ISO, UEFA stated that the economic valuation criterion did not necessarily have to prevail over the others, but, taking into account the bidders that participated in the tender, it cannot be presumed that there were competitive advantages beyond the price of some over others.</w:t>
      </w:r>
    </w:p>
    <w:p>
      <w:r>
        <w:t>Therefore, in line with the DC, it is appropriate to archive MEDIASET's complaint against UEFA, as according to the information available in the file, the award made by UEFA cannot be considered as abusive conduct contrary to Articles 2 of the LDC and 102 of the TFEU, making it unnecessary to assess whether UEFA has a dominant position in any relevant market affected by the reported conduct.</w:t>
      </w:r>
    </w:p>
    <w:p>
      <w:r>
        <w:t>In relation to MEDIAPRO, MEDIASET reports a possible infringement of Articles 1 and 2 of the LDC and 101 and 102 of the TFEU.</w:t>
      </w:r>
    </w:p>
    <w:p>
      <w:r>
        <w:t>This Chamber also does not observe, in line with the DC, elements that allow affirming that MEDIAPRO has incurred a violation of Articles 1 of the LDC and 101 of the TFEU, especially considering that the ISO itself established the possibility of submitting joint offers by several operators, under certain conditions established by UEFA in the ISO itself, without it being considered that the awarded conditional offers have violated these conditions, and without the possible agreements of MEDIAPRO having contributed to a significant restriction of competition, when there have been significant alternative bidders in the tender and because these possible agreements would have been agreements with free-to-air television operators who are not close competitors of MEDIAPRO.</w:t>
      </w:r>
    </w:p>
    <w:p>
      <w:r>
        <w:t>Moreover, it should be emphasized what has already been stated by the national competition authority in previous precedents related to the resale markets of football content. In particular, the Resolution of the former Council of the National Competition Commission dated March 17, 2011, in file S/0153/097 established that, to the extent that in the</w:t>
      </w:r>
    </w:p>
    <w:p>
      <w:r>
        <w:rPr>
          <w:b/>
        </w:rPr>
        <w:t>[Pages 13–14]</w:t>
      </w:r>
    </w:p>
    <w:p>
      <w:r>
        <w:t xml:space="preserve">upstream market for the acquisition of rights there is competition among operators, for the resale market the principle of business freedom must be applied with certain limits:  </w:t>
        <w:br/>
        <w:t xml:space="preserve">“If the rights are resold, the doctrine and the regulatory framework establish that objective, transparent, and non-discriminatory criteria must be followed. However, it should not be inferred that it is necessary to implement an auction mechanism... Nor that all operators must have access to the same content.  </w:t>
        <w:br/>
        <w:t xml:space="preserve">In other terms, if the regulatory framework and the doctrine admit – because it is economically rational – that the acquirer of the rights can exploit them exclusively for a period, it must also be accepted that they can resell them exclusively for exploitation to a third party, who configures different packages for sale or who resells them packaged in a channel that exploits them.”  </w:t>
        <w:br/>
        <w:t xml:space="preserve">In the present case, as noted by the DC, it is not considered that the Champions League or the Europa League is an input that must be exploited by all pay or free-to-air television operators in Spain after being acquired by MEDIAPRO. For these purposes, with UEFA's tender, effective competition regarding the acquisition of these rights would have been sufficiently safeguarded.  </w:t>
        <w:br/>
        <w:t xml:space="preserve">In any case, the exploitation of these rights on MEDIAPRO's pay television channel, Gol T, amounts to an exploitation of the same by MEDIAPRO, without there having been a resale of the rights to a third party for the purposes of competition law, since Gol T is owned by a 100% subsidiary of MEDIAPRO, Gol Televisión, S.L.  </w:t>
        <w:br/>
        <w:t xml:space="preserve">Thus, this Competition Chamber finds the DC's proposal appropriate and considers that the proceedings regarding the investigated conduct should be archived.  </w:t>
        <w:br/>
        <w:t xml:space="preserve">For all the above, having seen the cited provisions and the others of general application, the Council in the Competition Chamber,  </w:t>
        <w:br/>
        <w:t xml:space="preserve">HAS RESOLVED  </w:t>
        <w:br/>
        <w:t xml:space="preserve">SOLE.- Not to initiate sanctioning proceedings and to archive the proceedings followed by the Competition Directorate of the CNMC in file S/DC/0542/14, UEFA, as a result of the complaint filed by MEDIASET, considering that there are no indications of infringement of Articles 1 and 2 of Law 15/2007, of July 3, on the Defense of Competition or Articles 101 and 102 of the Treaty on the Functioning of the European Union.  </w:t>
        <w:br/>
        <w:t>Communicate this Resolution to the Competition Directorate of the National Commission of Markets and Competition and notify the interested parties, informing them that there is no appeal against it in the administrative route, being able to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