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https://www.cnmc.es/expedientes/sdc054414</w:t>
      </w:r>
    </w:p>
    <w:p>
      <w:r>
        <w:t>Pages translated : 116</w:t>
      </w:r>
    </w:p>
    <w:p/>
    <w:p>
      <w:r>
        <w:rPr>
          <w:b/>
        </w:rPr>
        <w:t>[Pages 1–3]</w:t>
      </w:r>
    </w:p>
    <w:p>
      <w:r>
        <w:t xml:space="preserve">RESOLUTION  </w:t>
        <w:br/>
        <w:t xml:space="preserve">(Exp. S/DC/0544/14 INTERNATIONAL MOVES)  </w:t>
        <w:br/>
        <w:t xml:space="preserve">COUNCIL. COMPETITION CHAMBER  </w:t>
        <w:br/>
        <w:t xml:space="preserve">PRESIDENT  </w:t>
        <w:br/>
        <w:t xml:space="preserve">Mr. José María Marín Quemada  </w:t>
        <w:br/>
        <w:t xml:space="preserve">COUNSELORS  </w:t>
        <w:br/>
        <w:t xml:space="preserve">Mr. Josep Maria Guinart Solà  </w:t>
        <w:br/>
        <w:t xml:space="preserve">Ms. María Ortiz Aguilar  </w:t>
        <w:br/>
        <w:t xml:space="preserve">Mr. Fernando Torremocha y García-Sáenz  </w:t>
        <w:br/>
        <w:t xml:space="preserve">Mr. Benigno Valdés Díaz  </w:t>
        <w:br/>
        <w:t xml:space="preserve">SECRETARY  </w:t>
        <w:br/>
        <w:t xml:space="preserve">Mr. Tomás Suárez-Inclán González  </w:t>
        <w:br/>
        <w:t xml:space="preserve">In Madrid, on September 6, 2016  </w:t>
        <w:br/>
        <w:t xml:space="preserve">The Competition Chamber of the Council of the National Commission of Markets and Competition has issued this resolution in the file S/DC/0544/14 INTERNATIONAL MOVES, initiated by the Directorate of Competition against several companies for alleged infringement of Article 1 of Law 15/2007, of July 3, on the Defense of Competition (LDC) and Article 101 of the Treaty on the Functioning of the European Union (TFEU), consisting of the adoption of agreements between companies for market sharing, price fixing, and other commercial conditions, and the exchange of sensitive commercial information related to the procedure for submitting offers or estimates in the Spanish market for international moving services.  </w:t>
        <w:br/>
        <w:t xml:space="preserve">I. BACKGROUND  </w:t>
        <w:br/>
        <w:t xml:space="preserve">1. On October 17, 2014, the Directorate of Competition (DC) initiated a reserved inquiry (DP/0041/14), under the provisions of Article 49.2 of the LDC, in order to preliminarily determine the existence of circumstances that justified the initiation of a sanctioning file for anticompetitive conduct. In the framework of this reserved inquiry, the DC conducted an internal investigation, gathering information from the internet such as a promotional brochure from the company CABALLERO (pages 3 to 9), the content of a blog in which a civil servant from a ministry described her experience with moves (pages 10 to 12), as well as an informative list of moving companies that regularly provide their services in the General State Administration (AGE) (page 13).  </w:t>
        <w:br/>
        <w:t xml:space="preserve">2. On November 4, 5, and 6, 2014, the DC, within the framework of this reserved inquiry, and in accordance with Article 27 of Law 3/2013, of June 4, creating the National Commission of Markets and Competition (hereinafter, LCNMC), carried out simultaneous home inspections at the premises of the following four companies: SIT GRUPO EMPRESARIAL, S.L. (hereinafter, SIT) (pages 14-18); CABALLERO MOVING, S.L. (hereinafter, CABALLERO) (pages 49-53); MUDANZAS FLIPPERS INTERNACIONAL, S.L. (hereinafter, FLIPPERS) (pages 70-74); and TRANSFEREX, S.A. (hereinafter, TRANSFEREX) (pages 109-113).  </w:t>
        <w:br/>
        <w:t xml:space="preserve">3. On November 13, 2014, exercising the provisions of Article 27.2 of the LCNMC, the DC agreed to return the documentation collected during the inspection of the TRANSFEREX premises (pages 133-134).  </w:t>
        <w:br/>
        <w:t xml:space="preserve">4. On December 18, 2014, it was agreed to incorporate into the file the paper documentation collected during the inspection of SIT (pages 301-302), CABALLERO (pages 562-563), FLIPPERS (pages 619-620), and TRANSFEREX (pages 996-997), granting them a period of ten days to request confidentiality for those documents they deemed appropriate, providing the corresponding censored versions of the same. On January 5, 2015, FLIPPERS submitted the censored versions (pages 1041-1067), with the DC agreeing on January 20, 2015, to accept the confidentiality requested by that company (page 1104). SIT submitted the censored versions on January 7, 2015 (page 1087), with the DC agreeing on February 17, 2015, to partially deny the confidentiality requested by the aforementioned company (pages 1596-1598). Neither CABALLERO nor TRANSFEREX requested confidentiality for the paper documentation collected during the inspections of their respective premises.  </w:t>
        <w:br/>
        <w:t xml:space="preserve">5. During the reserved inquiry phase, the DC made the following information requests:  </w:t>
        <w:br/>
        <w:t xml:space="preserve">- On January 23, 2015, it requested information from several moving companies, including the four inspected companies, regarding their legal structure and control, identification of their management positions, corporate purpose, and market presence; specifically, the request was made to: EURO MONDE, S.L. (Euromonde); AGS MUDANZAS INTERNACIONALES, S.L. (AGS); LA TOLEDANA, S.L. (TOLEDANA); LA VASCONGADA, S.L. (Vascongada); SANCHO ORTEGA INT., S.A. (S. Ortega); MUDANZAS Y GUARDAMUEBLES TRALLERO S.A. (Trallero); HASENKAMP RELOCATION SERVICES SPAIN, S.L. (HASENKAMP); INTERDEAN, S.A. (INTERDEAN); GIL STAUFFER MADRID, S.L. (G. Stauffer); MUDANZAS MERIDIONAL, S.L. (Meridional); MUDANZAS MUNDIVAN S.L. (Mundivan); TRANSPORTES FLUITERS, S.L. (Fluiters); MUDANZAS RUMBO, S.A. (M. Rumbo); GRUPO AMYGO, S.A. (G. AMYGO); and EDICT, S.L. (EDICT) (pages 1105-1134);  </w:t>
        <w:br/>
        <w:t xml:space="preserve">- On January 26, 2015, to TRANSPORTES FLUITERS, S.L. (Fluiters) and MUDANZAS DAVILA, S.A. (DAVILA) (pages 1135-1138);  </w:t>
        <w:br/>
        <w:t xml:space="preserve">- On February 3, 2015, to M. Rumbo and SIT (pages 1502-1504 and 1507-1508);  </w:t>
        <w:br/>
        <w:t xml:space="preserve">- On February 20, 2015, to PROCOEX MUDANZAS, S.L. (PROCOEX) (pages 1599-1601).  </w:t>
        <w:br/>
        <w:t xml:space="preserve">The responses to the aforementioned requests were received by the CNMC between January 27, 2015, and February 23, 2016.  </w:t>
        <w:br/>
        <w:t xml:space="preserve">6. On February 20, 2015, the DC, based on the information gathered during the reserved inquiry, observed rational indications of the existence of conduct prohibited by the LDC, and therefore, in accordance with the provisions of paragraph 1 of Article 49 of the LDC, agreed to initiate sanctioning file S/DC/0544/14 against SIT GRUPO EMPRESARIAL, S.L.; CABALLERO MOVING, S.L.; MUDANZAS FLIPPERS INTERNACIONAL, S.L.; TRANSFEREX, S.A.; MUDANZAS DAVILA, S.A.; EURO MONDE, S.L.; AGS MUDANZAS INTERNACIONALES, S.L.; LA TOLEDANA, S.L.; LA VASCONGADA, S.L.; SANCHO ORTEGA INT., S.A.; HASENKAMP RELOCATION SERVICES SPAIN, S.L.; INTERDEAN, S.A.; GIL STAUFFER MADRID, S.L.; MUDANZAS MERIDIONAL, S.L.; MUDANZAS MUNDIVAN, S.L.; TRANSPORTES FLUITERS, S.L.; MUDANZAS RUMBO, S.A.; GRUPO AMYGO, S.A.; EDICT, S.L.; and PROCOEX MUDANZAS, S.L., for restrictive competition practices prohibited by Article 1 of the LDC and Article 101 of the TFEU, consisting of agreements or concerted practices among companies for market sharing, price fixing or other commercial conditions, and the exchange of sensitive commercial information related to the procedure for submitting offers or estimates in the Spanish market for international moving services (pages 1604-1632).  </w:t>
        <w:br/>
        <w:t xml:space="preserve">7. On April 29, 2015, the DC agreed and notified all parties that the actions taken in the reference file concerning LA TOLEDANA, S.L., GRUPO AMYGO, S.A., and EDICT, S.L., will be understood as carried out with MUDANZAS LA TOLEDANA, S.L., ACTIVIDADES DE MUDANZAS Y GESTIONES OPERATIVAS, S.A., and EUROPEA DISTRIBUCION COMERCIO Y TRANSPORTE EDICT, S.L., respectively (pages 2058-2059, 2060-2083).  </w:t>
        <w:br/>
        <w:t xml:space="preserve">8. During the instruction phase of the sanctioning file, the DC made the following information requests:  </w:t>
        <w:br/>
        <w:t>- On May 21, 2015, to HASENKAMP RELOCATION SERVICES GmbH (pages 2093-2094) and INVERSIONES ALBERTOS, S.L. (pages 2101-2102), parent companies of HASENKAMP RELOCATION SERVICES SPAIN, S.L., and GIL STAUFFER Madrid, S.L., respectively. Their responses were received on June 2 and 3, 2015 (pages 2133-2137 and 2138-2140).</w:t>
      </w:r>
    </w:p>
    <w:p>
      <w:r>
        <w:rPr>
          <w:b/>
        </w:rPr>
        <w:t>[Pages 4–6]</w:t>
      </w:r>
    </w:p>
    <w:p>
      <w:r>
        <w:t>- On May 25, 2015, to INTERDEAN Group Holdings Limited UK (folios 2113-2114) and GS Holding, S.A. – MOBILITAS (folios 2121-2122), respective parent companies of INTERDEAN, S.A. and AGS Mudanzas Internacionales, S.L.; receiving respective responses on June 10 and 15, 2015 (folios 2153-2155 and 2264-2271).</w:t>
        <w:br/>
        <w:t>- On August 31, 2015, to the companies MUDANZAS MAR MENOR, S.L. (hereinafter, Mar Menor), RELOCATIONS ESPAÑA, S.L. (hereinafter, Relocations), ASESORES EN TRANSPORTES C.B. (hereinafter, Asesores), LOGISTICA RODRIGALVAREZ, S.L. (hereinafter Rodrigalvarez) and MOBILITY SERVICES NETWORK, S.L. (hereinafter, Mobility), (folios 19285-19286, 19288-19289, 19291-19292, 19294-19295 and 19297-19299). The responses to these information requests were received on September 11 (Mobility), 15 (Relocation) of 2015 (folios 19483-19488, 19552-19555). The requests to Asesores, Rodrigalvarez and Mar Menor were returned (folios 19292.1, 19295.1 and 19286.1, 19681.1). Mar Menor was resent the notification of the information request from the DC, dated October 13, 2015 (folios 19680-19681), with their response received on November 13, 2015 (folios 20039-20042).</w:t>
        <w:br/>
        <w:t>- On December 16, 2015, the DC requested information from the following Ministries: Ministry of Foreign Affairs, Ministry of Defense, Ministry of Economy and Competitiveness, Ministry of Education, Culture and Sports, and Ministry of the Interior. The responses to these requests were received between January 15 and 22, 2016. Ministry of the Interior (folios 23720-23724), Ministry of Education, Culture and Sports (folios 23725-23739 and 23786-23801), Ministry of Foreign Affairs and Cooperation (folios 23749-23753), Ministry of Defense (folios 23779-23785), Ministry of Economy and Competitiveness (folios 23802-23806).</w:t>
        <w:br/>
        <w:t>9. On June 10, 2015, a verbal request for a reduction of the fine amount from the company INTERDEAN was received (folios 2156-2168), subsequently expanded on July 17 and 30, 2015 (folios 2309-2325 and 2361-2365). On October 8, 2015, the DC requested INTERDEAN to comment on the confidentiality of the data provided in relation to its request for a reduction of the fine (folios 19674-19676), to which the company responded on October 16, 2015 (folios 19692-19694).</w:t>
        <w:br/>
        <w:t>10. On July 3, 2015, a request for recognition of the status of interested party in the file was received by the DC (folios 2274-2277) which was denied by agreement of the DC on September 4, 2015 (folio 19328-19330). Against the aforementioned agreement, an administrative appeal was filed under Article 47 of the LDC before the Council of the CNMC, which was dismissed by resolution dated November 26, 2015. (Expte. R/AJ/104/15 MUDANZAS INTERNACIONALES). A similar appeal was filed by another individual on March 1, 2016, against the denial of the status of interested party in the file and was resolved in a dismissive sense by Resolution of April 28, 2016 (Expte. R/AJ/016/16, NBM).</w:t>
        <w:br/>
        <w:t>11. On July 30, 2015, the DC notified the companies SIT, CABALLERO, FLIPPERS and TRANSFEREX of the agreement to incorporate the information in electronic format collected during the inspection of their respective headquarters between November 4 and 6, 2014, requesting their opinion regarding its confidentiality (folios 2434-2435, 3703-3704, 15894-15895 and 17833-17834). The responses from SIT, FLIPPERS and CABALLERO were received on September 3, 9 and 10, 2015 (folios 19306-19320; 19335-19338; 19455-19460, respectively). On September 28, 2015, after the deadline for requesting confidentiality of the digital documents incorporated in the file had expired and due to the impossibility of confirming with their legal representatives whether they had requested confidentiality or not, the DC communicated to TRANSFEREX that the documents were incorporated, unless it demonstrated that it had requested confidentiality (folio 19647-19648).</w:t>
        <w:br/>
        <w:t>12. On December 3, 2015, the DC formulated the Statement of Facts (PCH), which was duly notified to the parties so that they could present any allegations they deemed appropriate. (folios 20278-20511). Between January 4 and 2, 2016, the following written allegations to the PCH were received: S.ORTEGA (20567-20571), VASCONGADA (20572-20588), MUNDIVAN (20602-20673), EDICT (20692-20943), G. STAUFFER (20944-20976), FLIPPERS (20977-21001), TOLEDANA (21002-21866), MERIDIONAL (21877-21909), INTERDEAN (21910-21990), AGS (21991-22215), SIT (22217-23096), CABALLERO Y EUROMONDE (23097-23170), RUMBO (23171-23175), G.AMYGO (23176-23183), FLUITERS (23816-23228), HASENKAMP (23229-23693), TRANSFEREX (23700-23701) and PROCOEX (23807-23829).</w:t>
        <w:br/>
        <w:t>13. On March 8, 2016, the DC agreed to close the instruction phase of the procedure (folio 23925).</w:t>
        <w:br/>
        <w:t>14. On March 14, 2016, pursuant to the provisions of Article 50.4 of the LDC and Article 34.1 of the RDC, the DC formulated a Proposal for Resolution, which was notified to the interested parties. (folios 23965-24424).</w:t>
        <w:br/>
        <w:t>15. Between March 21, 2016 and March 31, 2016, the following parties had access to the file: FLIPPERS (folio 24429), AGS (folio 24430), SIT (folio 24473), TOLEDANA (folio 24474).</w:t>
        <w:br/>
        <w:t>16. Between April 4, 2016 and April 8, 2016, the following written allegations to the Proposal for Resolution were received: -EDICT (folios 24475-24735), G.AMYGO (folios 24736-24743), G. STAUFFER (folios 24745-24759), TRANSFEREX (folios 24760-24786), AGS (folios 24787-24954), TOLEDANA (folios 24955-25076), SIT (folios 25077-25234), FLIPPERS (folios 25235-25292), MUNDIVAN (folios 25293-25897), VASCONGADA (folios 25898-26579).</w:t>
        <w:br/>
        <w:t>17. On April 11, 2016, under Article 50.5 of the LDC, the DC submitted its Report and Proposal for Resolution to the Council of the CNMC and sent the file to it for resolution.</w:t>
        <w:br/>
        <w:t>18. Following the notification of the PR, the following written allegations were received: EDICT (folios 24475-24500), GRUPO AMYGO (folios 24736-24743), GIL STAUFER (folios 24748-24759), TRANSFEREX (folios 24760-24764), AGS (folios 24787-24825), LA TOLEDANA (folios 24955-25003), SIT GRUPO EMPRESARIAL (folios 25077-25135), FLIPPERS (folios 25235-25263), MUNDIVAN (folios 25293-25313), LA VASCONGADA (folios 25898-25919), FLUITERS (folios 26989-27057), CABALLERO and EUROMONDE (folios 27058-27210) and HASENKAMP (folios 28450-28852).</w:t>
        <w:br/>
        <w:t>19. On May 19, 2016, the Competition Chamber of the CNMC agreed to request information regarding the turnover of ORTEGA, INTERDEAN, PROCOEX and DÁVILA. Responses from PROCOEX, INTERDEAN and ORTEGA were received on June 1, 3 and 17, 2016, respectively.</w:t>
        <w:br/>
        <w:t>20. On May 19, 2016, the Competition Chamber of the CNMC agreed, in accordance with Article 37.2 of the LDC, to send the Proposal Report to the European Commission, which took place on May 20, 2016, resulting in the suspension of the maximum deadline for resolving the file as of that date, which was notified to the interested parties. After the deadline set in the Agreement of May 19, 2016 had passed, the agreed suspension was lifted on June 20, 2016, continuing the computation of the deadline for issuing a resolution.</w:t>
        <w:br/>
        <w:t>21. The Competition Chamber of the Council of the CNMC deliberated and ruled on the matter in its meeting of September 6, 2016.</w:t>
        <w:br/>
        <w:t>22. The interested parties in this file are:</w:t>
        <w:br/>
        <w:t>1. SIT GRUPO EMPRESARIAL, S.L. (SIT).</w:t>
        <w:br/>
        <w:t>2. CABALLERO MOVING, S.L. (CABALLERO).</w:t>
        <w:br/>
        <w:t>3. MUDANZAS FLIPPERS INTERNACIONAL, S.L. (FLIPPERS).</w:t>
        <w:br/>
        <w:t>4. TRANSFEREX, S.A (TRANSFEREX).</w:t>
        <w:br/>
        <w:t>5. MUDANZAS DAVILA, S.A. (DÁVILA).</w:t>
        <w:br/>
        <w:t>6. EURO MONDE, S.L. (EUROMONDE).</w:t>
        <w:br/>
        <w:t>7. AGS MUDANZAS INTERNACIONALES, S.L. (AGS).</w:t>
        <w:br/>
        <w:t>8. LA TOLEDANA, S.L. (TOLEDANA).</w:t>
        <w:br/>
        <w:t>9. LA VASCONGADA, S.L. (VASCONGADA).</w:t>
        <w:br/>
        <w:t>10. SANCHO ORTEGA INT., S.A. (S.Ortega).</w:t>
        <w:br/>
        <w:t>11. HASENKAMP RELOCATION SERVICES SPAIN, S.L. (HASENKAMP).</w:t>
        <w:br/>
        <w:t>12. INTERDEAN, S.A.(INTERDEAN).</w:t>
        <w:br/>
        <w:t>13. GIL STAUFFER MADRID, S.L. (G.Stauffer).</w:t>
        <w:br/>
        <w:t>14. MUDANZAS MERIDIONAL, S.L. (Meridional).</w:t>
      </w:r>
    </w:p>
    <w:p>
      <w:r>
        <w:rPr>
          <w:b/>
        </w:rPr>
        <w:t>[Pages 7–9]</w:t>
      </w:r>
    </w:p>
    <w:p>
      <w:r>
        <w:t xml:space="preserve">15. MUDANZAS MUNDIVAN, S.L. (MUNDIVAN)  </w:t>
        <w:br/>
        <w:t xml:space="preserve">16. TRANSPORTES FLUITERS, S.L. (FLUITERS).  </w:t>
        <w:br/>
        <w:t xml:space="preserve">17. MUDANZAS RUMBO, S.A. (RUMBO).  </w:t>
        <w:br/>
        <w:t xml:space="preserve">18. EUROPEA DISTRIBUCIÓN COMERCIO Y TRANSPORTE (EDICT).  </w:t>
        <w:br/>
        <w:t xml:space="preserve">19. ACTIVIDADES DE MUDANZAS Y GESTIONES OPERATIVAS (G. AMYGO).  </w:t>
        <w:br/>
        <w:t>20. PROCOEX MUDANZAS, S.L. (PROCOEX)</w:t>
      </w:r>
    </w:p>
    <w:p>
      <w:r>
        <w:t xml:space="preserve">II. THE PARTIES  </w:t>
        <w:br/>
        <w:t xml:space="preserve">The parties involved in this file, as stated in the PCH of the DC, are as follows:  </w:t>
        <w:br/>
        <w:t xml:space="preserve">1. SIT GRUPO EMPRESARIAL, S.L. (SIT)  </w:t>
        <w:br/>
        <w:t xml:space="preserve">The corporate purpose of SIT is the transportation of goods by road, the transportation of works of art, moving services, the storage and warehousing of goods, and the manufacture and sale of packaging or related products. Additionally, the corporate purpose of the company includes activities related to the aforementioned, such as the design, assembly, and disassembly of fairs and exhibitions; the conservation of works of art; the consignment of ships; and acting as a customs agent.  </w:t>
        <w:br/>
        <w:t xml:space="preserve">Its registered office is located in Coslada, (Madrid) and it has branches in Barcelona, Bilbao, Seville, and Las Palmas de Gran Canaria.  </w:t>
        <w:br/>
        <w:t>There are two companies linked to the shareholding of SIT: TOP DESIGN EUROPE, S.L. and EXPEDITION, S.L. whose corporate purpose is the same, consisting, in summary, of the service of land, river, maritime, or air transportation of all types of goods, any auxiliary and/or complementary activities of transportation in general, the design, assembly, and disassembly of fairs and exhibitions, and conservation of works of art, design and execution of museum projects, consignment of ships, and establishment and organization of customs agencies.</w:t>
      </w:r>
    </w:p>
    <w:p>
      <w:r>
        <w:t xml:space="preserve">2. CABALLERO MOVING, S.L. (CABALLERO)  </w:t>
        <w:br/>
        <w:t xml:space="preserve">CABALLERO's purpose is real estate transactions, acquisition, and disposal of real estate and the management of financing for such operations of movable property, installations, and services existing in the real estate; the transportation and distribution of parcels, moving services, and furniture storage, as well as courier services, archiving, custody, and distribution of documents.  </w:t>
        <w:br/>
        <w:t xml:space="preserve">The company holds 98.42% of the capital of the company Euromonde, S.L. and operates in the market interchangeably as Caballero Moving or as Caballero International Moving (CIM). Its registered office is located in Getafe, (Madrid). CABALLERO is the sole partner of the company RELOCATIONS ESPAÑA, S.L., whose corporate purpose is to provide the necessary services for the proper installation of executives and other executive employees, such as the search for housing, medical centers, assistance in educational materials, and banking and administrative procedures; organization and provision of training programs; provision of reprographic services, photocopying, and communication by any technological means; intermediation in moving services and/or any other service related to national and international mobility; provision of advisory, management, and administrative services in matters of foreign affairs, immigration, and emigration.  </w:t>
        <w:br/>
        <w:t xml:space="preserve">CABALLERO and RELOCATIONS ESPAÑA, S.L. own 50% of the company MOBILITY SERVICES NETWORK, S.L. which has as its corporate purpose the marketing and provision of all types of services related, connected, and/or associated with international and national mobility, including transportation, to both individuals and legal entities.  </w:t>
        <w:br/>
        <w:t xml:space="preserve">The Company may develop the activities that comprise the corporate purpose indirectly, through the ownership of shares or participations in companies with identical or analogous purposes.  </w:t>
        <w:br/>
        <w:t>CABALLERO owns, together with Euromonde, the commercial company MUDANZAS MAR MENOR, S.L. (hereinafter, Mar Menor) established on April 3, 1995, with 5.3% of the shares equally distributed among the five Caballero Velasco siblings since October 5, 2012; the remaining shares belong to Euromonde (94.7%) since December 31, 2014, increase of capital by compensation of credits. Mar Menor has as its corporate purpose the transportation and moving of furniture, furniture storage, and the provision of the same services through its personnel or vehicles to other companies dedicated to the same activity, directly and indirectly.</w:t>
      </w:r>
    </w:p>
    <w:p>
      <w:r>
        <w:t xml:space="preserve">3. MUDANZAS FLIPPERS INTERNACIONAL, S.L. (FLIPPERS)  </w:t>
        <w:br/>
        <w:t xml:space="preserve">The corporate purpose of FLIPPERS is the provision of moving services, both national and international, furniture storage, and packaging.  </w:t>
        <w:br/>
        <w:t>The registered office of the company is located in San Andrés de la Barca, (Barcelona) and operates in the market under the names MUDANZAS FLIPPERS INTERNACIONAL and FLIPPERS RELOCATION LOGISTICS.</w:t>
      </w:r>
    </w:p>
    <w:p>
      <w:r>
        <w:t xml:space="preserve">4. TRANSFEREX, S.A. (TRANSFEREX)  </w:t>
        <w:br/>
        <w:t xml:space="preserve">TRANSFEREX has as its corporate purpose, among others, to act as a freight forwarder for goods, using all necessary means for this purpose, to be shippers and receivers of all kinds of goods, and to act as stevedores, consignees, and in general to carry out all operations related to the transportation of goods, without prejudice to obtaining the administrative authorizations that may be necessary. To provide moving and furniture storage services, to be auctioneers, importers or exporters, and to supply, either as entrepreneurs or as agents, all kinds of services related directly or indirectly to the transportation and negotiation of goods of all kinds.  </w:t>
        <w:br/>
        <w:t>Its registered office is in Madrid and it does not employ any other commercial name different from TRANSFEREX.</w:t>
      </w:r>
    </w:p>
    <w:p>
      <w:r>
        <w:t xml:space="preserve">5. MUDANZAS DAVILA, S.A. (DÁVILA)  </w:t>
        <w:br/>
        <w:t xml:space="preserve">DÁVILA was created on July 15, 1983, its corporate purpose is to carry out all kinds of moving services, of objects, furniture, and articles, as well as to carry out furniture storage activities and air transportation.  </w:t>
        <w:br/>
        <w:t xml:space="preserve">The company has its registered office in Coslada (Madrid).  </w:t>
        <w:br/>
        <w:t>On July 5, 2012, Mudanzas Dávila was declared in a state of total insolvency, as stated in the Official Bulletin of the Commercial Registry number 140 of Tuesday, July 24, 2012, Section Two-Announcements and legal notices, Declarations of insolvency (22571 MUDANZAS DÁVILA, S.A).</w:t>
      </w:r>
    </w:p>
    <w:p>
      <w:r>
        <w:t xml:space="preserve">6. EUROMONDE, S.L. (EUROMONDE)  </w:t>
        <w:br/>
        <w:t xml:space="preserve">EUROMONDE has as its corporate purpose the activities of transportation of goods, people, national and international moving services, and any activities that are complementary or accessory to these. Activities for which the law requires special requirements that this company cannot meet are excluded from these activities.  </w:t>
        <w:br/>
        <w:t xml:space="preserve">The company has its registered office in Cartagena (Murcia), and operates under the commercial name EUROMONDE, S.L. It has belonged to the CABALLERO group since February 11, 2013.  </w:t>
        <w:br/>
        <w:t>On December 31, 2014, Euromonde acquired 94.7% of the current shares of Mar Menor after a capital increase by compensation of credits (pending elevation to public and registration in the Commercial Registry), a company that is controlled by Euromonde which in turn belongs to CABALLERO.</w:t>
      </w:r>
    </w:p>
    <w:p>
      <w:r>
        <w:t xml:space="preserve">7. AGS MUDANZAS INTERNACIONALES, S.L. (AGS)  </w:t>
        <w:br/>
        <w:t>AGS has as its corporate purpose the activities of land transportation of goods from any origin and destination, brokerage by land, sea, or air, maintenance, moving services, and storage of all kinds of goods. However, as indicated, the company currently limits itself to providing moving services to all types of individuals and companies at the national and international level, including transportation and storage activities. AGS has its registered office in Madrid and is 99.7% owned by AGS Holding (MOBILITAS), a French company whose activity is that of a holding company whose corporate purpose is the acquisition of shares in any company, through the creation of new companies, contributions, subscriptions, or purchase of shares or social rights or by any other means and the financial management of its participations. In accordance with French law, its activities are limited to this purpose, with no other companies of the group existing in Spain.</w:t>
      </w:r>
    </w:p>
    <w:p>
      <w:r>
        <w:rPr>
          <w:b/>
        </w:rPr>
        <w:t>[Pages 10–12]</w:t>
      </w:r>
    </w:p>
    <w:p>
      <w:r>
        <w:t xml:space="preserve">8. MUDANZAS LA TOLEDANA, S.L. (TOLEDANA)  </w:t>
        <w:br/>
        <w:t xml:space="preserve">The main activity of TOLEDANA is the transportation of goods, moving services, both with national and international scope, and the development of transportation agency and storage-distribution activities, as well as the custody, conservation, and safekeeping of all types of movable property.  </w:t>
        <w:br/>
        <w:t xml:space="preserve">Its registered office is located in Madrid.  </w:t>
        <w:br/>
        <w:t>On February 25, 2015, TOLEDANA submitted documentation under which the DC understands that all actions taken within the framework of the reference file in relation to LA TOLEDANA, S.L. will be understood as carried out with MUDANZAS LA TOLEDANA, S.L.</w:t>
      </w:r>
    </w:p>
    <w:p>
      <w:r>
        <w:t xml:space="preserve">9. LA VASCONGADA, S.L. (VASCONGADA)  </w:t>
        <w:br/>
        <w:t xml:space="preserve">The corporate purpose of VASCONGADA is the activity of furniture storage, transportation of goods, furniture, and belongings.  </w:t>
        <w:br/>
        <w:t xml:space="preserve">Its registered office is located in San Fernando de Henares (Madrid).  </w:t>
        <w:br/>
        <w:t>The shareholders of Vascongada are the same as those of MUDANZAS MUNDIVAN S.L.</w:t>
      </w:r>
    </w:p>
    <w:p>
      <w:r>
        <w:t xml:space="preserve">10. SANCHO ORTEGA INTERNATIONAL, S.A. (S. Ortega)  </w:t>
        <w:br/>
        <w:t xml:space="preserve">S. Ortega has as its corporate purpose the transportation in any of its forms, means, extent, and modalities; the buying and selling, exporting, and importing of goods and merchandise on its own account and on behalf of others; simple representation, on commission, exclusively or in any other form, of national or foreign houses and firms and when it is preparatory, concomitant, or a consequence of what is expressed, or is ancillary, accessory, or complementary.  </w:t>
        <w:br/>
        <w:t>The registered office of the company is located in Torrejón de Ardoz, (Madrid).</w:t>
      </w:r>
    </w:p>
    <w:p>
      <w:r>
        <w:t xml:space="preserve">11. HASENKAMP RELOCATION SERVICES SPAIN, S.L. (HASENKAMP)  </w:t>
        <w:br/>
        <w:t xml:space="preserve">HASENKAMP is a company whose corporate purpose is the provision of transportation and storage services of any kind to businesses and consumers and the processing of such businesses both nationally and internationally.  </w:t>
        <w:br/>
        <w:t xml:space="preserve">However, the company has stated that its activity focuses on the transportation and storage of high-value products and those with special characteristics, such as works of art, products and machinery from the healthcare sector, computer equipment, and other products sensitive to vibrations, temperature variations, etc. Its registered office is located in Coslada (Madrid).  </w:t>
        <w:br/>
        <w:t>75% of the share capital of HASENKAMP is controlled by HASENKAMP RELOCATION SERVICES GMBH, a German company dedicated to the provision of shipping, moving, and storage services, both nationally and internationally. According to the German company, HASENKAMP RELOCATION SERVICES SPAIN, S.L. is completely independent regarding its commercial, sales, and marketing policies.</w:t>
      </w:r>
    </w:p>
    <w:p>
      <w:r>
        <w:t xml:space="preserve">12. INTERDEAN, S.A. (INTERDEAN)  </w:t>
        <w:br/>
        <w:t xml:space="preserve">INTERDEAN has as its corporate purpose international transportation and moving services. The company aims to act as carriers or as transportation agents by land, sea, canals, and air, using all necessary means of transportation for this purpose; to be shippers and receivers of all kinds of goods and packers and warehousemen, including in refrigerated deposits; to act as stevedores, consignees, customs agents, and, in general, to carry out all operations related to maritime, river, canal transportation, etc.; to provide moving and furniture storage services; and to be auctioneers, importers, or exporters and provide, either as entrepreneurs or as agents, all kinds of services related to the transportation and negotiation of movable goods of all kinds.  </w:t>
        <w:br/>
        <w:t xml:space="preserve">INTERDEAN has two offices in Spain, one in Pozuelo de Alarcón, (Madrid), and another in Sant Boi de Llobregat (Barcelona).  </w:t>
        <w:br/>
        <w:t>The sole shareholder of INTERDEAN is the English holding company Interdean Group Holdings Limited, which does not carry out any additional activity, which in turn is 100% owned by the holding Santa Fe Group Limited, which in turn is 100% owned by the holding Santa Fe Group Holding Limited A/S, also 100% owned by Santa Fe Group A/S (formerly known as The East Asiatic Company, Ltd. A/S (EAC).</w:t>
      </w:r>
    </w:p>
    <w:p>
      <w:r>
        <w:t xml:space="preserve">13. GIL STAUFFER MADRID, S.L. (G. STAUFFER)  </w:t>
        <w:br/>
        <w:t>G. Stauffer has as its corporate purpose the national and international transportation of goods by land, sea, and air using its own or third-party means, as well as loading, unloading, storage, and distribution; furniture storage and moving services; management and consulting for companies, commercial and operational related to the transportation and moving sector; and transit commission agents and agencies mediating full and/or partial loads. Its registered office is located in the Industrial Park Las Castellanas in San Fernando de Henares, (Madrid). The ownership of the company is 83% held by INVERSIONES ALBERTOS S.L., a company with a corporate purpose of real estate promotion, and the remainder is held by GIL STAUFFER TRANSPORTES S.L. with a corporate purpose of national and international transportation, which is 50% owned by the former and MUDANZAS GIL STAUFFER S.L. with a corporate purpose of Moving and Furniture Storage.</w:t>
      </w:r>
    </w:p>
    <w:p>
      <w:r>
        <w:t xml:space="preserve">14. MUDANZAS MERIDIONAL, S.L. (MERIDIONAL)  </w:t>
        <w:br/>
        <w:t>The corporate purpose of MERIDIONAL is the operation of a business dedicated to the transportation, with its own or third-party means, nationally and internationally of goods, loading, unloading, distribution, moving, transit commission agent, and agency mediating full and/or partial loads. The company is a franchisee of the GIL STAUFFER brand, a trade name it uses in the development of its activity. Its registered office is located in Alcalá de Guadaira (Sevilla).</w:t>
      </w:r>
    </w:p>
    <w:p>
      <w:r>
        <w:t xml:space="preserve">15. MUDANZAS MUNDIVAN, S.L. (MUNDIVAN)  </w:t>
        <w:br/>
        <w:t xml:space="preserve">The corporate purpose of the company is the transportation of goods, belongings, and furniture by road, whether nationally or internationally, the provision of furniture storage services, and the preparation of all types of packaging, both ordinary and for delicate or high-value goods or objects. The company was established in 1994 to manage the GIL STAUFFER franchise for the international territorial area of Madrid, holding the status of franchisee until July 2013, when the franchise contract was terminated.  </w:t>
        <w:br/>
        <w:t>The shareholders of MUNDIVAN are the same as those of Vascongada.</w:t>
      </w:r>
    </w:p>
    <w:p>
      <w:r>
        <w:t xml:space="preserve">16. TRANSPORTES FLUITERS, S.L. (FLUITERS)  </w:t>
        <w:br/>
        <w:t>FLUITERS, according to its corporate website, is a company specialized in local, national, and international moving services and has its tax domicile in Madrid.</w:t>
      </w:r>
    </w:p>
    <w:p>
      <w:r>
        <w:t xml:space="preserve">17. ACTIVIDADES DE MUDANZAS Y GESTIONES OPERATIVAS, S.A. (G. AMYGO)  </w:t>
        <w:br/>
        <w:t xml:space="preserve">The main corporate purpose of the company is the provision of moving services, furniture storage, transportation, and storage of all kinds of furniture and belongings and auxiliary activities and complementary services. Its registered office is located in Madrid and operates under the name “Grupo AMYGO.”  </w:t>
        <w:br/>
        <w:t xml:space="preserve">The shareholding of G. AMYGO is composed of Groupe Nasse, S.A.S. (52.47%), Almacenajes y Mudanzas Pablo e Hijos, S.L. (21.99%), Mudanzas Rumbo, S.A. (12.90%), International Stores and Removal, S.L. (8.68%) and other minority shareholders (3.96%).  </w:t>
        <w:br/>
        <w:t>On February 27, 2015, GRUPO AMYGO, S.A. submitted documentation under which the DC understands that all actions taken within the framework of the reference file in relation to GRUPO AMYGO, S.A. will be understood as carried out with ACTIVIDADES DE MUDANZAS Y GESTIONES OPERATIVAS, S.A.</w:t>
      </w:r>
    </w:p>
    <w:p>
      <w:r>
        <w:t xml:space="preserve">18. MUDANZAS RUMBO, S.A. (RUMBO)  </w:t>
        <w:br/>
        <w:t>The corporate purpose of RUMBO is the provision of transportation services of all types of furniture, primarily what is determined as moving services, as well as any activity that is directly or indirectly related to them. M. Rumbo holds a 12.6% stake in the shareholding of G. AMYGO and has its registered office in Leganés, (Madrid).</w:t>
      </w:r>
    </w:p>
    <w:p>
      <w:r>
        <w:t>19. EUROPEA DISTRIBUCION COMERCIO Y TRANSPORTE EDICT, S.L. (EDICT)</w:t>
      </w:r>
    </w:p>
    <w:p>
      <w:r>
        <w:rPr>
          <w:b/>
        </w:rPr>
        <w:t>[Pages 13–15]</w:t>
      </w:r>
    </w:p>
    <w:p>
      <w:r>
        <w:t>The corporate purpose of EDICT is the transportation of all kinds, national and international TIR and by any means, by road, rail, or air; the custody and storage of all kinds of goods and the operation of general storage warehouses on its own account or on behalf of third parties; customs agency in its broadest sense, committing consignments, charters, and any activities related to the import or export of goods; and the provision of ground assistance services (handling) to third parties. The company is headquartered in Boadilla del Monte, (Madrid).</w:t>
      </w:r>
    </w:p>
    <w:p>
      <w:r>
        <w:t>On March 5, 2015, EDICT, S.L. submitted documentation by virtue of which the DC understands that all actions taken within the framework of the reference file in relation to EDICT, S.L. will be understood as carried out with EUROPEA DISTRIBUCION COMERCIO Y TRANSPORTE EDICT, S.L.</w:t>
      </w:r>
    </w:p>
    <w:p>
      <w:r>
        <w:t>20. PROCOEX MUDANZAS, S.L. (PROCOEX)</w:t>
      </w:r>
    </w:p>
    <w:p>
      <w:r>
        <w:t>PROCOEX has as its corporate purpose the receipt and shipment of goods coming from or destined for abroad on behalf of third parties by any means of communication, transit commission agents, national and international transport with its own and third-party means, packaging, national and international relocations. According to its corporate website, the company is based in Madrid.</w:t>
      </w:r>
    </w:p>
    <w:p>
      <w:r>
        <w:t>III. CHARACTERIZATION OF THE MARKET</w:t>
      </w:r>
    </w:p>
    <w:p>
      <w:r>
        <w:t>The behaviors analyzed in this file refer to the provision of international moving services for the transfer of furniture and belongings, from door to door from Spain to another country, for which the term export is used; from another country to Spain, also called imports; or between countries other than Spain, with the common characteristic that the companies involved are the main operators in Spain providing international moving services, offering this service anywhere in the world and located in Spain.</w:t>
      </w:r>
    </w:p>
    <w:p>
      <w:r>
        <w:t>III.1 Regulatory Framework.</w:t>
      </w:r>
    </w:p>
    <w:p>
      <w:r>
        <w:t>Public Sector contracting is subject to Royal Legislative Decree 3/2011, of November 14, which approves the consolidated text of the Public Sector Contracts Law. Article 3 of this text describes the subjective scope of application of the Law and indicates the entities, bodies, and entities that are part of the Public Sector.</w:t>
      </w:r>
    </w:p>
    <w:p>
      <w:r>
        <w:t>The conditions of suitability for contracting with the public sector are set out in Article 54.1 of Royal Legislative Decree 3/2011, which establishes that:</w:t>
      </w:r>
    </w:p>
    <w:p>
      <w:r>
        <w:t>“Only natural or legal persons, Spanish or foreign, who have full capacity to act, are not subject to a prohibition on contracting, and prove their economic, financial, and technical or professional solvency, or, in cases where this Law requires it, are duly classified, may contract with the public sector.”</w:t>
      </w:r>
    </w:p>
    <w:p>
      <w:r>
        <w:t>For its part, Royal Decree 462/2002, of May 24, on compensation for service reasons (hereinafter, Royal Decree IRS) details the persons who can benefit from compensation or reimbursement for service reasons and the circumstances under which they can benefit.</w:t>
      </w:r>
    </w:p>
    <w:p>
      <w:r>
        <w:t>In this regard, Article 1 of the Royal Decree IRS establishes that compensation or reimbursement will arise, among others, from relocations, applying said Royal Decree to:</w:t>
      </w:r>
    </w:p>
    <w:p>
      <w:r>
        <w:t xml:space="preserve">a) The personnel, civilian and military, who provide services in the General Administration of the State and the public bodies linked or dependent on it. </w:t>
        <w:br/>
        <w:t xml:space="preserve">b) The personnel serving the Social Security. </w:t>
        <w:br/>
        <w:t xml:space="preserve">c) The personnel serving the public bodies provided for in the ninth and tenth additional provisions of Law 6/1997, on the Organization and Functioning of the General Administration of the State. </w:t>
        <w:br/>
        <w:t xml:space="preserve">d) The members of the Judicial and Fiscal Careers and the personnel serving the Administration of Justice, as provided for in their specific legislation. </w:t>
        <w:br/>
        <w:t xml:space="preserve">e) The personnel serving local Corporations, as provided for in their specific legislation. </w:t>
        <w:br/>
        <w:t>f) The personnel serving the National University of Distance Education.</w:t>
      </w:r>
    </w:p>
    <w:p>
      <w:r>
        <w:t>Article 22.5 of the Royal Decree IRS establishes that “Compensations for the transportation expenses of furniture and belongings will be granted upon prior approval of the budget for them in accordance with current regulations.”</w:t>
      </w:r>
    </w:p>
    <w:p>
      <w:r>
        <w:t>The management that the Administration must carry out in the relocations of its personnel is regulated in the Order of the Ministry of the Presidency of November 8, 1994, on the justification and advances of compensations for service reasons.</w:t>
      </w:r>
    </w:p>
    <w:p>
      <w:r>
        <w:t>According to section 3.2 of said Order, in the case of the relocation of household material, the determination of the amount of reimbursable transportation expenses for furniture and belongings will proceed as follows:</w:t>
      </w:r>
    </w:p>
    <w:p>
      <w:r>
        <w:t xml:space="preserve">“a) The person who is going to carry out the relocation will present to the Administration at least three estimates from as many companies dedicated habitually to the transportation of furniture. </w:t>
        <w:br/>
        <w:t>b) The Administration will proceed to approve one of the estimates offered by the interested party, unless none of them is acceptable to the Administration, in which case it may request a new one from another different company, and if this is more advantageous, the interested party must offer it.”</w:t>
      </w:r>
    </w:p>
    <w:p>
      <w:r>
        <w:t>Regarding the justification of relocation expenses, section 3.4 of the Order on the justification of compensations provides that: “As for the expenses of relocating furniture and belongings, an invoice for those paid to the company that carried out the transportation will be accompanied, with the signature of conformity of the interested party. If the interested party opted to accept any of the estimates other than the one finally approved by the Administration, it will only pay the amount equivalent to the estimate that it would have approved, with the excess being borne by the interested party. In this case, the payment order will be issued for the amount of the approved estimate and will be justified with a copy of said estimate and the invoice paid by the interested party.”</w:t>
      </w:r>
    </w:p>
    <w:p>
      <w:r>
        <w:t>According to the information in the file and in relation to the facts under investigation, the Ministry of Defense, the Cervantes Institute, the Ministry of the Presidency, the Ministry of Justice, and the National University of Distance Education (UNED) have carried out public tenders for the moving service.</w:t>
      </w:r>
    </w:p>
    <w:p>
      <w:r>
        <w:t>These tenders resolve, through the awarding and commitment of expenditure, the contracting of the set of relocations generated over an annual or biannual period, to a moving company or a Temporary Union of Companies (UTE) of moving companies. In cases where the contracting of relocations is awarded to a company or a Temporary Union of Companies (UTE), the presentation of three estimates is not required, but the rates of the tender bases are applied.</w:t>
      </w:r>
    </w:p>
    <w:p>
      <w:r>
        <w:t>Unlike the Administration's regime, private companies can choose the moving company they deem appropriate and according to their internal rules. The management procedure for these relocations of belongings usually follows the same stages as in the case of the Administration, with the request for three estimates. The relocations of belongings of employees of private companies are managed by the company through the expenditure/purchasing/contracting management departments, according to the conditions provided by each company. This is the case, for example, of relocations from the company CEPSA, where the purchasing department establishes a management system for relocations similar to that of the Administration, choosing the most economical among three estimates under equal conditions, as in the case of the company INDITEX.</w:t>
      </w:r>
    </w:p>
    <w:p>
      <w:r>
        <w:t>Like in the public sector, private companies can select the companies providing international moving services through tenders.</w:t>
      </w:r>
    </w:p>
    <w:p>
      <w:r>
        <w:t>III.2. Operation of the international moving sector.</w:t>
      </w:r>
    </w:p>
    <w:p>
      <w:r>
        <w:rPr>
          <w:b/>
        </w:rPr>
        <w:t>[Pages 16–18]</w:t>
      </w:r>
    </w:p>
    <w:p>
      <w:r>
        <w:t>, las empresas de mudanzas contactan a los trasladados para recordarles la validez de los presupuestos y la necesidad de confirmar la contratación del servicio.</w:t>
      </w:r>
    </w:p>
    <w:p>
      <w:r>
        <w:t>Las empresas de mudanzas también deben estar atentas a las fechas de traslado y a cualquier cambio que pueda surgir en el proceso, ya que esto puede afectar la logística y la planificación del servicio. Una vez que se confirma la contratación, las empresas organizan el equipo y los recursos necesarios para llevar a cabo la mudanza en la fecha acordada.</w:t>
      </w:r>
    </w:p>
    <w:p>
      <w:r>
        <w:t>En resumen, el funcionamiento del sector de mudanzas internacionales implica una serie de pasos y gestiones tanto por parte de la Administración como de las empresas de mudanzas, con el objetivo de garantizar un servicio eficiente y adaptado a las necesidades de los funcionarios que se trasladan.</w:t>
      </w:r>
    </w:p>
    <w:p>
      <w:r>
        <w:rPr>
          <w:b/>
        </w:rPr>
        <w:t>[Pages 19–21]</w:t>
      </w:r>
    </w:p>
    <w:p>
      <w:r>
        <w:t>the relocated person is limited to informing the company whether or not they have been awarded their move. In relation to the follow-up of issued estimates, the companies obtain information on whether the ministry has requested fourth or more estimates, and from which other companies the Administration has requested the fourth estimates or the awarded price.</w:t>
      </w:r>
    </w:p>
    <w:p>
      <w:r>
        <w:t>On occasions, if a person interested in a move expresses their preference for a moving company to carry out their relocation, that company agrees with the interested party to communicate the price offered by the other two competing moving companies so that it can prepare its own for the lowest amount of the three. The relocated person may choose another company different from the one awarded for the maximum amount approved by the Administration, so in the email sending the estimate to the employee, or in the same email in which the company expresses interest in their choice, it makes an attempt to win back the client, assuming the difference or negotiating with them in case they prefer to carry out the move with that company different from the awarded one.</w:t>
      </w:r>
    </w:p>
    <w:p>
      <w:r>
        <w:t>If the client expresses their preference for a company whose estimate has not been awarded for the move, that company confirms to the client whether it will assume the difference and requests the employee to send a communication to the Administration informing of the change of company, providing a draft to the employee.</w:t>
      </w:r>
    </w:p>
    <w:p>
      <w:r>
        <w:t>Moving companies also inform potential clients of the procedures and steps to follow. Occasionally, it is the officials who directly consult the moving companies about the steps to follow.</w:t>
      </w:r>
    </w:p>
    <w:p>
      <w:r>
        <w:t>Moving companies are aware of the changes made by the ministries regarding the usual management of moves, for example, if estimates are sent directly to the payroll department, without going through the client, or that the invoice is in the name of the employee but paid by the ministry. Occasionally, this information is used internally within the moving companies or is communicated among the moving companies.</w:t>
      </w:r>
    </w:p>
    <w:p>
      <w:r>
        <w:t xml:space="preserve">c) Return Moves. </w:t>
        <w:br/>
        <w:t>When it comes to moves back to Spain or relocations of clients in third countries or countries of the European Union carried out by moving companies, the moving company usually works with local agents from the country of origin or correspondents at the destination, to carry out visits and measure the belongings. The moving companies request quotes from the correspondents at the destination to prepare the estimate presented to the client. They may also operate with national local agents. It happens that several moving companies work with the same correspondents.</w:t>
      </w:r>
    </w:p>
    <w:p>
      <w:r>
        <w:t>The correspondents provide information to the individuals relocating about the services at origin that they provide in relation to the planned move. Moving companies request better offers from the agents at the destination to be more competitive in prices; for example, SIT works with agents to whom it asks for adjustments in their quotes.</w:t>
      </w:r>
    </w:p>
    <w:p>
      <w:r>
        <w:t>Certain moving companies work as correspondents for others in third countries, due to having a well-established network in those destinations and/or being particularly accustomed to the bureaucratic procedures required. This is the case of TRANSFEREX working as agents in Cuba or AGS in African countries, from whom other companies like SIT, INTERDEAN, S. Ortega, and CABALLERO request the so-called destination quote.</w:t>
      </w:r>
    </w:p>
    <w:p>
      <w:r>
        <w:t xml:space="preserve">d) GMI Sector Association. </w:t>
        <w:br/>
        <w:t>GMI (International Moving Group) was a national business association that encompassed companies dedicated to the main activity of international moving and ancillary furniture storage based in Spain (folios 2914-2926). GMI was the Spanish section of FIDI (International Federation of International Moving Companies).</w:t>
      </w:r>
    </w:p>
    <w:p>
      <w:r>
        <w:t>This association presented itself to the AGE as the Spanish association representing Spanish companies dedicated to international moving that meet the necessary requirements of economic, financial, technical, and professional solvency required to carry out international moves with guarantees (folio 3033). GMI was dissolved in May 2012, as stated in the BOE number 1122, of May 22, 2012.</w:t>
      </w:r>
    </w:p>
    <w:p>
      <w:r>
        <w:t>According to the request for reduction of the fine from INTERDEAN, the president of GMI was the President of SIT (folio 2167). The association grouped companies in the moving sector such as G. Stauffer, Vascongada, Fluiters (representative in FIDI), M. Rumbo, FLIPPERS, Dávila, PROCOEX, CABALLERO, Euromonde, TRANSFEREX, etc. (folios 2167, 2321).</w:t>
      </w:r>
    </w:p>
    <w:p>
      <w:r>
        <w:t>GMI meetings were called verbally and with little notice, an annual meal was held, and minutes were taken which were not distributed among the members (folios 2167, 2168, 2321).</w:t>
      </w:r>
    </w:p>
    <w:p>
      <w:r>
        <w:t>According to the request for reduction of the fine from INTERDEAN, the Ministry of Defense required the moving companies that provided services for it to be part of GMI. However, when INTERDEAN ceased to be a member in the first quarter of 2010, it continued to offer its services without problems to the employees of the Ministry of Defense. INTERDEAN was a member of GMI from 2008 until the first half of 2010 (folios 2167, 2168, and 2321).</w:t>
      </w:r>
    </w:p>
    <w:p>
      <w:r>
        <w:t xml:space="preserve">IV. ESTABLISHED FACTS </w:t>
        <w:br/>
        <w:t>Below is a summary of the facts that are established in the PCH and in the Resolution Proposal of the Competition Directorate.</w:t>
      </w:r>
    </w:p>
    <w:p>
      <w:r>
        <w:t>The established facts in this file are based on the documentation collected during inspections carried out on November 4, 5, and 6, 2014, at the offices of the companies SIT, CABALLERO, FLIPPERS, and TRANSFEREX, on the information provided by INTERDEAN in its request for reduction of the fine amount, as well as on the responses to the requests for information from the investigated companies and from third companies and ministerial departments.</w:t>
      </w:r>
    </w:p>
    <w:p>
      <w:r>
        <w:t>From the analysis of this information, the Competition Directorate has confirmed the existence of a price-fixing agreement and other commercial conditions, and market sharing for the provision of international moving services - "the Moving Agreement" or "the Agreement" - through the establishment of quotas, respect for relocations and clients, and the exchange of sensitive information for the manipulation of the process of submitting moving offers. While the Agreement has primarily been applied to the ministries with the highest number of positions abroad - Foreign Affairs (AECID), Defense (CNI, National Police, Civil Guard), Education (Cervantes Institute), and Commerce - it also encompasses other ministries such as Presidency, Tourism, Labor, Agriculture and Environment, and the EFE Agency, among others, and marginally to moves of employees of private companies, and even individuals. The Moving Agreement has focused its actions on the international moving services of Administration employees with origin or destination in Spain, and, to a lesser extent, on moves between two countries other than Spain, given the capacity and technical solvency of the international moving companies investigated in this file to manage these services from Spain by hiring local agents or correspondents at the origin or destination of the move.</w:t>
      </w:r>
    </w:p>
    <w:p>
      <w:r>
        <w:t>According to INTERDEAN in its request for reduction of the fine amount, at least since 1995, the main companies in the international moving market with origin or destination in Spain contacted each other to reach agreements that would allow them to act in a coordinated manner in relation to different ministries (folios 2161 and 2319).</w:t>
      </w:r>
    </w:p>
    <w:p>
      <w:r>
        <w:t xml:space="preserve">1. Existence of the Moving Agreement. </w:t>
        <w:br/>
        <w:t>From the analysis of the paper documentation collected during the inspection of the SIT office, it appears that at least since January 1997, eight moving companies, SIT, TRANSFEREX, Dávila, Fluiters, S. Ortega, G. Stauffer, INTERDEAN, and TAMEX; at least since April 29, 1999, six more moving companies, EDICT, M. Rumbo, TOLEDANA, Mundivan, Vascongada, and FLIPPERS; and at least since October 1, 2004, AGS, Euromonde, and Worldpack; agreed to set prices and other commercial conditions, and to share the market for the provision of international moving services for employees of the Ministries of Defense, Foreign Affairs and</w:t>
      </w:r>
    </w:p>
    <w:p>
      <w:r>
        <w:rPr>
          <w:b/>
        </w:rPr>
        <w:t>[Pages 22–24]</w:t>
      </w:r>
    </w:p>
    <w:p>
      <w:r>
        <w:t>Commerce, as well as the Ministry of Education, through different instruments. The Moving Agreement has been expanded to other moving companies involved in this file such as PROCOEX, which joined at least since 2007, as well as HASENKAMP; and CABALLERO at least since February 2008. The Moving Agreement has been applied, at least until 2014, by the companies SIT, CABALLERO, FLIPPERS, TRANSFEREX, Euromonde, AGS, TOLEDANA, S. Ortega, Gil Stauffer, Vascongada, Mundivan, HASENKAMP, M. Rumbo, INTERDEAN, and EDICT; at least until October 2013 by Fluiters; and at least until May 2012 by PROCOEX. The existence of this Moving Agreement is evidenced in several documents and emails, gathered during inspections carried out by the DC, such as the following:</w:t>
      </w:r>
    </w:p>
    <w:p>
      <w:r>
        <w:t>- Document “COMPETITION AGREEMENTS 1999” (folios 391 to 395)</w:t>
        <w:br/>
        <w:t>- Email dated May 11, 2009, with the subject “Reflections,” between executives of CABALLERO: “What options do we have if any of them breaks the pact and makes an agreement with the non-admitted companies (…) What will happen when the list of suppliers increases, maybe those who have been left out will enter next year, will new agreements be made? (…) If the meeting was to maintain a code of good practices, the reason for the meeting is no longer lawful, first because one of the attendees was not allowed to enter, and the other because if there is free competition, this type of pact, which ultimately harms the competition, is not good practice” (folios 13373 and 13374).</w:t>
        <w:br/>
        <w:t>- Email dated July 20, 2012, with no subject, from an executive of CABALLERO to an executive of Euromonde: “…given the maturity of the agreement, it would be very important for me to incorporate it into our matter. I reiterate, it is of total and absolute trust, (…) Therefore, if you don’t mind, I thought a good opportunity to incorporate it would be for him to accompany me next week on the visit to your facilities. On the other hand, as you know, Luis completely directs my International Department and, from what you have told me about Cervantes, it could also be a good opportunity for you to profile and even talk to XXX and get to know each other to organize what needs to be organized.” (folio 8978).</w:t>
        <w:br/>
        <w:t>- Email dated November 14, 2012, with no subject, from SIT to Euromonde with the attachment “MEC 2012 ISABEL.xls”: “Attached is the list as of today, as you can see you and HK [HASENKAMP] continue doing the same and not taking the others into account, confirm to me if you will continue like this or if you will comply with what was discussed. I’m sorry to be so frank but I am not willing to fight with you every day and have to constantly distrust your word. Either we all benefit or none.” (folios 2802 and 2803).</w:t>
        <w:br/>
        <w:t>- Email dated November 15, 2012, from Euromonde to SIT: “My intention from day one has been to respect the agreement, as I was precisely one of its promoters, and I still think about continuing it. (…) I commit to raising the prices going forward so that you can opt for them.” (folio 2806).</w:t>
        <w:br/>
        <w:t>- Printed document of the email dated November 22, 2012, with no subject, between executives of SIT: “Education: I spoke [XXX from SIT] with XXX [Vascongada/Mundivan] and if in the next awards Hasenkamp or Euromonde win anything, the story breaks.” (folio 524).</w:t>
        <w:br/>
        <w:t>- Email dated December 19, 2012, with the subject “list,” from Euromonde to SIT: “…apparently and according to what XXX [FLIPPERS] and XXX [Vascongada/Mundivan] have told me, it has already been decided to break the agreement, as until now I continued to respect it when quoting, tell me something about it.” SIT responds to this email attaching the list “MEC 2012 ISABEL.xls” (folio 2821). On December 28, FLIPPERS sends SIT its updated list (folio 2823).</w:t>
      </w:r>
    </w:p>
    <w:p>
      <w:r>
        <w:t>Due to its importance in proving the existence of the Moving Agreement, the DC highlights the content of the document “meeting.doc” attached to an email dated May 8, 2009, from an executive of CABALLERO to executives and salespeople of this company, with the prior clarification that the word “group” in the text refers to the group of moving companies approved by the Ministry of Defense to carry out the moving service for its officials and that the underlining and emphasis are from the original text (folios 13368-13370):</w:t>
      </w:r>
    </w:p>
    <w:p>
      <w:r>
        <w:t>“EXTRACT FROM THE MEETING HELD ON 07/09/2009 BETWEEN THE COMPANIES SELECTED BY DEFENSE</w:t>
      </w:r>
    </w:p>
    <w:p>
      <w:r>
        <w:t>1.- ATTENDEES</w:t>
        <w:br/>
        <w:t>* SIT</w:t>
        <w:br/>
        <w:t>* INTERDEAN</w:t>
        <w:br/>
        <w:t>* FLIPPERS</w:t>
        <w:br/>
        <w:t>* TOLEDANA</w:t>
        <w:br/>
        <w:t>* SANCHO ORTEGA</w:t>
        <w:br/>
        <w:t>* VASCONGADA</w:t>
        <w:br/>
        <w:t>* GIL STAUFFER</w:t>
        <w:br/>
        <w:t>* DAVILA</w:t>
        <w:br/>
        <w:t>* CABALLERO</w:t>
      </w:r>
    </w:p>
    <w:p>
      <w:r>
        <w:t>2.- BACKGROUND</w:t>
        <w:br/>
        <w:t>The MINISTRY OF DEFENSE has proceeded to “approve” only nine companies for the year 2009 out of the eighteen that had been providing service to the Ministry until last year. (…)</w:t>
      </w:r>
    </w:p>
    <w:p>
      <w:r>
        <w:t>3.- FIRST POINT DISCUSSED: EXTERNAL SUPPORT</w:t>
        <w:br/>
        <w:t>It is agreed that none of the nine will support with estimates any company that is not within the group (Euromonde, AGS, Grupo Amygo, Fluiters…).</w:t>
        <w:br/>
        <w:t>Theoretically and according to information provided by the Ministry of Defense to LaVascongada, they will act as follows:</w:t>
        <w:br/>
        <w:t>a.- “Only the awarding to one of the companies outside the group will be accepted if accompanied by two offers from group members (which, by virtue of yesterday's agreement, will be impossible).</w:t>
        <w:br/>
        <w:t>b.- The Ministry always retains the possibility of requesting a fourth estimate, which will always be requested from a company in the group. Therefore, there is a certain “commitment” on the part of the Ministry to ensure that no other company enters.</w:t>
      </w:r>
    </w:p>
    <w:p>
      <w:r>
        <w:t>What option do the companies outside the group have?: to ask “their” clients to request offers from two group members and, once these are known, quote below to take it, provided that the Ministry does not subsequently request a fourth estimate, which apparently is what it is going to do.</w:t>
      </w:r>
    </w:p>
    <w:p>
      <w:r>
        <w:t>4.- SECOND POINT DISCUSSED: INTERNAL SUPPORT</w:t>
        <w:br/>
        <w:t>It is decided that, upon request for a fourth estimate by the Ministry to another company/companies in the group, they “must” locate the company that is theoretically “owner” of that client to proceed to support it and ensure that it takes the offer. Similarly, it is decided that this “forces” an agreement to support each other with second and third estimates among the companies of the Group. Given the nature of the matter and since the Ministry inflates us by requesting fourth estimates, I verbally requested clarification on whether this second collaboration was mandatory or voluntary. I was told that it was voluntary and in response to that I asked to be informed at that moment WHICH COMPANIES WOULD SUPPORT CABALLERO IN THIS AREA, reproaching that no one from the group has ever supported us except Flippers. Immediately, the following companies raised their hands showing their support: DAVILA, VASCONGADA, GIL STAUFFER, SANCHO ORTEGA, AND FLIPPERS. They did not show their support for Caballero, therefore SIT, TOLEDANA, and INTERDEAN did not. XXX from Interdean made the clarification and informed all present that he not only would not support Caballero in this area but would not support absolutely anyone, that is, they will present their offer and if they win it, fine, and if not, they will go for another.</w:t>
      </w:r>
    </w:p>
    <w:p>
      <w:r>
        <w:t>5.- THIRD POINT DISCUSSED: COMMERCIAL ATTENTIONS</w:t>
        <w:br/>
        <w:t>By motion of SIT, it is decided that from now on there will be no monetary commercial attentions with any Client of the Ministry of Defense; …</w:t>
      </w:r>
    </w:p>
    <w:p>
      <w:r>
        <w:rPr>
          <w:b/>
        </w:rPr>
        <w:t>[Pages 25–27]</w:t>
      </w:r>
    </w:p>
    <w:p>
      <w:r>
        <w:t>Once again, on our part, we intervened requesting that this not only be restricted to money, but to any other type of gift in kind that escapes what is normal in any moving service (flooring, paints, mobile phones…).</w:t>
        <w:br/>
        <w:t>Surprisingly, it was requested that the REGISTRATION OF VEHICLE also be included as a prohibited practice. Since this represented a direct attack on us, I expressed that in our company there is a person whose job is to proceed with the registration of vehicles and that I did not agree with including this in the catalog of prohibited practices, which was ultimately accepted and, therefore, we can continue to offer such service.</w:t>
        <w:br/>
        <w:t>Since the gentlemen from SIT (XXX and XXX) positioned themselves as spokespersons of ethics, I decided to counterattack by making them see that giving money or phones is just as illicit as bringing four containers from Norfolk when the official has been allocated 60m3. Obviously, they had no choice but to acknowledge that, indeed, this should also become an illicit practice.</w:t>
        <w:br/>
        <w:t>In summary, it was decided that any act that transcends what is logical in a moving service will be considered a prohibited practice, although a detailed catalog regarding this will be prepared shortly. …</w:t>
        <w:br/>
        <w:t>6.- GENERAL IMPRESSIONS</w:t>
        <w:br/>
        <w:t>* Excellent treatment received by our firm from SANCHO ORTEGA. Total availability to support us in whatever is needed. In fact, I am going to invite its owners (mother and daughter) to our offices so that they can meet us all.</w:t>
        <w:br/>
        <w:t>* Very good treatment and total availability as well, and not for that reason less suspicious, from LA VASCONGADA and GIL STAUFFER.</w:t>
        <w:br/>
        <w:t>* Regrettable and foolish reaction from La Toledana since apparently the reason for not supporting us was that XXX from Dávila was their friend and yesterday Dávila gave us his support and they continue to deny it. It is clear that what they do not want is to support us in any area. This should be taken into account when we clash with common clients.</w:t>
        <w:br/>
        <w:t>* The XXX (SIT) adopted a belligerent attitude towards Caballero from the very beginning. From the start, they prohibited XXX from being present at the meeting, and throughout the meeting, they attacked us vilely (with little success, it should be noted).</w:t>
        <w:br/>
        <w:t>* Tremendous disappointment from EVERYONE regarding the Civil Guard account. No one is doing a Civil Guard and many of them have even decided not to attack this account. Flippers complained that not only has he not done any, but also at least three already closed files have fallen through at the last minute (two from Colombia and one from Honduras) and have gone to the competition. Of course, everyone is clear that all kinds of illicit compensations are being given, and I personally conclude that this will be an account that will be pursued to demonstrate the above.</w:t>
        <w:br/>
        <w:t>* Very good impression of XXX (Interdean). A serious guy who verbally conveyed to XXX his willingness to collaborate with our firm.</w:t>
        <w:br/>
        <w:t>* Very good impression from XXX of DAVILA. He did not hesitate to be the first to lend his support to our firm.</w:t>
        <w:br/>
        <w:t>* If over time it is seen that these agreements are being respected, there is a commitment from everyone to reach more collaboration agreements aimed at dignifying the sector.</w:t>
        <w:br/>
        <w:t>7.- GENERAL CONCLUSION</w:t>
        <w:br/>
        <w:t>According to these gentlemen, we were sitting there as representatives of the largest Spanish companies in the industry, which is an honor for us.</w:t>
        <w:br/>
        <w:t>With only two years in the international business, we have managed to position ourselves strongly and we are already being respected and listened to (…)</w:t>
        <w:br/>
        <w:t>I understand that these agreements are a good way to drastically reduce competition and provide us with a golden opportunity to position ourselves strongly in an account such as the Ministry of Defense.</w:t>
        <w:br/>
        <w:t>On the other hand, we have finally managed to establish a criterion regarding the fourth/fifth estimates. We already know whom we should support and whom not.</w:t>
        <w:br/>
        <w:t>CAUTION, we cannot allow any of our offers to be taken away (I fear La Vascongada/Gil Stauffer). If this happens, it must be immediately brought to my attention to address it directly with the businessman. Obviously, both SIT and Toledana do have “legitimacy” to take our offers, but that is a different matter altogether.”</w:t>
        <w:br/>
        <w:t>The file shows that two companies in the Moving Agreement, SIT and INTERDEAN, at least since the year 1999 according to the document obtained from the classifier named “Competition Agreements” from the desk of the president of SIT (folios 394-395), applied the Moving Agreement among themselves for the relocations of employees of the EFE Agency. At least since the year 2008, a third company, HASENKAMP, began to participate in the distribution of relocations of the EFE Agency, specifically since October 17, 2008, according to the first handwritten note “HK” next to an estimate (number 83298) from a list of relocations of the EFE Agency dated 17/10/08, coinciding with the following handwritten note from SIT on folio 519:</w:t>
        <w:br/>
        <w:t>SOURCE: Excerpt from folio 519 obtained during the inspection at the SIT headquarters.</w:t>
        <w:br/>
        <w:t>INTERDEAN, in its request for a reduction of the fine amount, identifies the representatives of the companies in the Agreement for the distribution of contracts of the EFE Agency regarding INTERDEAN, SIT, and HASENKAMP (folios 2165 and 2322).</w:t>
        <w:br/>
        <w:t>INTERDEAN reports that these three companies had a verbal agreement for the equal distribution of the moving contracts of the EFE Agency (folio 2165) and that the contacts between the companies were by phone and bilateral (folio 2166).</w:t>
        <w:br/>
        <w:t>INTERDEAN provides a list of contracts with the EFE Agency and their offers in relation to those contracts, of which those identified with a “job number” are the ones won by INTERDEAN and these coincide with the handwritten notes “ID” from SIT in the documents contained in folios 503-522 of the file (folios 2166 and 20005). Additionally, INTERDEAN substantiates this way of operating by providing a summary of the phone call records of the company executive to the phone numbers of the SIT management and the person in charge of HASENKAMP, coinciding in time with the moment of preparation of INTERDEAN's offers for the contracts of the EFE Agency (folios 2166-2167 and 20008-20009).</w:t>
        <w:br/>
        <w:t>The Moving Agreement for the relocations of employees of the EFE Agency has continued to be applied, at least until September 2014, according to the lists from the dossier named “EFE Agency” previously mentioned. Likewise, in the digital documentation obtained at the SIT headquarters, the following email from March 14, 2014, with no subject, between a salesperson and the vice president of SIT, regarding the EFE Agency account was obtained: “HE TELLS ME [Q] THAT IF XXX FROM INTERDEAN HAS CALLED YOU ABOUT THE EFE AGENCY ESTIMATE. EFE IS URGENTLY REQUESTING THE ESTIMATE.” (folio 2469).</w:t>
        <w:br/>
        <w:t>2. Organization of the Moving Agreement</w:t>
        <w:br/>
        <w:t>The companies participating in the Moving Agreement, according to the documentation in the file, organized said Agreement mainly through meetings during lunches and dinners that were held regularly every year, which were convened by email and/or by phone, as INTERDEAN states in its request for a reduction of the fine amount (folio 2315).</w:t>
        <w:br/>
        <w:t>The companies participating in the Agreement refer to these meetings in different ways, for example, CABALLERO refers to “TOP meetings” or the “TOP guys”; INTERDEAN refers to the “hard core”; TRANSFEREX calls them “moving lunches” (folios 9648, 9931, 2600, and 17836).</w:t>
        <w:br/>
        <w:t>Representatives of the participating companies in the Agreement attended these meetings, the executives of which were the ones who knew the commercial policy and strategy of their respective companies and had sufficient power to bind them and carry out the agreements made in them. The file shows that meetings were held between the companies in the Agreement, at least between the years 2003 and 2014, as well as various contacts and meetings in smaller groups. The following meetings are highlighted:</w:t>
        <w:br/>
        <w:t>- Meeting of September 7, 2009, between SIT, INTERDEAN, FLIPPERS, TOLEDANA, S. Ortega, Vascongada, G. Stauffer, Dávila, and CABALLERO, according to the document “reunion.doc” titled “MEETING HELD ON 07/09/2009 BETWEEN THE COMPANIES SELECTED BY DEFENSE,” obtained during the inspection carried out at the CABALLERO headquarters (folios 13368-13370).</w:t>
      </w:r>
    </w:p>
    <w:p>
      <w:r>
        <w:rPr>
          <w:b/>
        </w:rPr>
        <w:t>[Pages 28–30]</w:t>
      </w:r>
    </w:p>
    <w:p>
      <w:r>
        <w:t>- Meeting on December 10, 2009, between SIT, S. Ortega, FLIPPERS, Dávila, TOLEDANA, Vascongada, and CABALLERO, according to an email dated November 30, 2009, with the subject "Christmas Lunch" collected during the inspection carried out at CABALLERO's headquarters, from SIT to the other companies: "Reservation made at Restaurante Ferreiro at Paseo de la Florida 15, 28008 Madrid for max. 20 people, menu price €40 all included, December 10 at 2 PM. I need confirmation of attendees from each company and someone to call XXX [Grupo AMYGO] and XXX [Fluiters], I will call XXX [INTERDEAN]. XXX does not answer, I will insist later and let you know." (folio 14993), and according to an email dated December 11, 2009, with no subject that CABALLERO circulates among its executives, summarizing the meeting between INTERDEAN, DAVILA, FLIPPERS, Grupo AMYGO, TOLEDANA, Vascongada, Fluiters, and CABALLERO: "I will comment on yesterday's lunch, according to attendees" (folio 15024).</w:t>
        <w:br/>
        <w:t>- Meeting on January 30, 2010, convened by SIT, according to an email dated November 23, 2009, with no subject collected during the inspection carried out at CABALLERO's headquarters, from SIT to S. Ortega, FLIPPERS, TOLEDANA, Vascongada, Dávila, and CABALLERO: "It is necessary for us to meet on the next day 30 at 9:30 AM where we always do, if someone cannot make it, please let me know." Dávila responds: "SEE YOU ON MONDAY, JANUARY 25 WHERE WE ALWAYS DO (IN THE 'FISHBOWL') AT 9 AM." FLIPPERS informs on January 20, 2010, that they cannot attend and will call SIT by phone: "I cannot attend so I ask you XXX to tell me by phone. I will call you on Monday afternoon." (folio 12054). CABALLERO requests clarification regarding the time of the meeting: "XXX, I am forwarding the emails received regarding this morning's meeting. In the first one, you mention 09:30 and in the second (which I understand is a response from XXX [Dávila] to everyone, it refers to 09:00).", to which SIT clarifies that Dávila wrote in an email from November without removing the text: "As I see it, XXX wrote in an email from November and I forwarded it without removing the text" [added clarifications] (folio 12053).</w:t>
        <w:br/>
        <w:t>- Meeting in December 2011, at least between SIT, CABALLERO, INTERDEAN, and AGS according to emails dated December 12, 2011, with the subject "meeting", between an executive of CABALLERO and an executive of AGS, collected from the inspection at CABALLERO's headquarters: [AGS] "The meeting will be at 9:30 at the Melia Hotel on Avenida de America, subsequently at 11 the gmi meeting will start at the other hotel."; [CABALLERO]-"By the way XXX have all the involved companies given their OK including Interdean?"; [AGS]-"I think that topic needs to be discussed in the meeting, XXX [from SIT] was going to talk to them..." [underlined and added clarifications] (folios 11971-11973).</w:t>
        <w:br/>
        <w:t>- Meeting on December 18, 2012, according to an email dated November 30 with the subject "Christmas Lunch" collected during the inspection at SIT's headquarters and also at CABALLERO's, in which INTERDEAN convenes FLIPPERS, Euromonde, CABALLERO, AGS, TOLEDANA, Vascongada, S. Ortega, SIT, and Fluiters: [INTERDEAN] "As some of us discussed upon leaving the ministry, it would be interesting to have a meeting to analyze the proposals made to us there. And by the way, also take the opportunity to have our traditional Christmas lunch (...) In that sense, and although I have already mentioned it by phone to some of you, I have reserved at Brasero de D. Pedro on the 18th, Tuesday, in our traditional room. (...) I believe I have copied everyone in this email; but if I have left someone from the ministry out, feel free to invite them of course. D. Pedro has left us the room from one o'clock (1 PM) to have a small preliminary meeting. Therefore, those of you who are interested in attending that meeting, I expect you at one o'clock (I understand that it would not be good to invite employees, spouses, and other companies that do not work in the Ministry of Defense)" (folios 2600 and 9441, respectively). In relation to this meeting, FLIPPERS confirms their attendance at the preliminary meeting mentioned in INTERDEAN's email (9443); executives from CABALLERO comment that INTERDEAN did not include HASENKAMP in the email: "Omitted XXX [XXX] in their sending" [added clarification] (folio 9442); and, subsequently, CABALLERO forwards the meeting invitation to Euromonde (folio 9445).</w:t>
        <w:br/>
        <w:t>- Likewise, in an email dated December 18, 2012, with the subject "Toledana", collected during the inspection at CABALLERO's headquarters, among executives and staff of CABALLERO and Euromonde, a problem that arose in the aforementioned meeting due to the lack of an accompanying estimate from TOLEDANA to Euromonde is discussed: [CABALLERO] "It arose today at 3:50 PM when we were all together for the Christmas lunch."; "...if XXX [Euromonde] receives it by email, at that moment (...) had XXX Toledana sitting next to. In any case, I believe that XXX was going to go directly to the offices of these guys to confront them because, apparently, EM [Euromonde] has helped La Toledana with quite a few estimates this past season." [added clarifications] (folios 9504 and 9505).</w:t>
        <w:br/>
        <w:t>Following the previous invitation, other preliminary meetings arise with smaller groups of companies:</w:t>
        <w:br/>
        <w:t>- Meeting on December 5, 2012, at 1 PM between SIT, Vascongada, and TOLEDANA, according to an email dated November 29, 2012, with the subject "5/11/12", collected during the inspection at SIT's headquarters: [SIT] "We meet on the 5th at 1 PM at the Caná café-restaurant in front of the church of Pozuelo de Alarcón on Calle Grecia and at 2 PM at Restaurante ROMA on Avenida de Europa 15." (folio 2810). The 2 PM meeting is confirmed by SIT, according to an email dated December 5, 2012, with the subject "lunch today" between the executive of INTERDEAN and the executive of SIT, collected during the inspection at SIT's headquarters: [SIT] "Yes, we will be there at 2 PM and we are 5 plus you [INTERDEAN]." [added clarification] (folio 2814).</w:t>
        <w:br/>
        <w:t>- Meeting on December 5, 2012, according to an email dated November 30, 2012, from the executive of INTERDEAN to the executive of SIT, collected during the inspection at SIT's headquarters: [INTERDEAN] "XXX I have also reserved for us on the 5th at the pizzeria Roma Avda. Europa number 15. seeing where things are going. At 2 PM I would appreciate it if you could invite the core group and pass this video so they can see where things are going." (folio 2600). Regarding a link that INTERDEAN included in the previous email, in an email dated January 17, 2013, collected during the inspection at SIT's headquarters, TOLEDANA requests that it be forwarded to her: "Good morning XXX [from INTERDEAN]: (...) Sorry for the inconvenience, but I am reaching out to you to request if you could send me the video of the prisoner that you have mentioned to us several times." (folio 2602), to which INTERDEAN forwards it to TOLEDANA, SIT, and Vascongada: "Dear XXX [TOLEDANA] This is the link http://youtu.be/g5MeC3GDx74 sorry for the error, I am now copying the rest as well" [added clarifications] (folio 2602).</w:t>
        <w:br/>
        <w:t>3. Market distribution.</w:t>
        <w:br/>
        <w:t>The distribution of international moving services among the participating companies of the Moving Agreement has been carried out in various ways, through the establishment of pre-established quotas by companies, respect for relocations from the ministries through the agreements for the preparation of accompanying estimates, and respect for clients, as detailed in the following paragraphs.</w:t>
        <w:br/>
        <w:t>a) Quotas</w:t>
        <w:br/>
        <w:t>Regarding the market distribution by quotas assigned to the companies of the Agreement, according to the information provided by INTERDEAN in its writing for the reduction of the fine, in the Ministry of Education, relocations were distributed according to a pre-established quota and based on the relocations actually carried out by each company in the Moving Agreement. INTERDEAN estimates that SIT had a quota of around 30% of the business in that ministry and the rest was distributed among the other companies in the Agreement. INTERDEAN states that it had a percentage of less than 10%. According to INTERDEAN, SIT's strong presence in the Ministry of Education was due to the fact that in the 1980s there were few international relocations and the main international moving companies that worked at that time were INTERDEAN, focused on relocations of American military personnel until the 1990s; G. Stauffer, the company best known to the general public; and SIT, which operated with the ministries offering additional commercial conditions to the move such as storage service included in the moving estimate (folios 2162 and 2316).</w:t>
        <w:br/>
        <w:t>The file evidences the existence of market distribution through pre-assigned quotas, according to the information from documents from 2004 to 2006 collected during the inspection at SIT's headquarters on the table of its vice president (folios 327-329; 486-502 and 3225-3227). Each company in the Agreement had an assigned percentage that was modulated based on the circumstances in which each one achieved the</w:t>
      </w:r>
    </w:p>
    <w:p>
      <w:r>
        <w:rPr>
          <w:b/>
        </w:rPr>
        <w:t>[Pages 31–33]</w:t>
      </w:r>
    </w:p>
    <w:p>
      <w:r>
        <w:t>information from documents from 2004 to 2006 collected during the inspection at the SIT headquarters on the table of its vice president (folios 327-329; 486-502 and 3225-3227). Each company in the Agreement was assigned a percentage that was modulated based on the circumstances under which each obtained the awarding of the relocations, for example, whether they only budgeted against companies in the Agreement or if there were companies outside the Agreement.</w:t>
      </w:r>
    </w:p>
    <w:p>
      <w:r>
        <w:t>According to the information contained in the aforementioned documentation, an employee of SIT, who later went on to work for Vascongada (“manager of the Agreement”), prepared what the companies in the Agreement referred to as the “Statistics” (folios 487, 489, 490, 491, 494-497 and 3225-3327), which was a table that collected, for each of the moving companies in the Agreement during a specific period, the pre-established percentage assigned to a company, the number and total price of the moving services that had been carried out, and a final column with a variable percentage. By “the Statistics,” the companies in the Agreement also referred to the preparation of lists of the relocations or “matters” (folios 485, 487, 488, 498) of the Ministry of Education, carried out by each company in the Agreement during a specific period (folios 495 and 3226). For example, in the “Statistics” of 2006 (folio 495), the total of SIT -147,919.00 euros- corresponding to the sum of 19 moving services, coincides with the total amount of SIT from folios 489 and 491.</w:t>
      </w:r>
    </w:p>
    <w:p>
      <w:r>
        <w:t>The manager of the Agreement corrected the percentage assigned to a participating company based on the moving companies inside or outside the Agreement (“outsiders”) that had budgeted, either lowering the pre-assigned percentage or adjusting the distribution of the relocations among the companies in the Agreement. According to the handwritten note from SIT on folio 490 in the “Statistics” regarding the “SITUATION 01.10.04 TO 31.12.05 WITHOUT + WITH OUTSIDERS,” the companies in the Agreement chose how to act in the presence of “outsiders,” “outside the percentage” if any were interested in the relocation, or if not, assigning relocations “by hand”:</w:t>
      </w:r>
    </w:p>
    <w:p>
      <w:r>
        <w:t>SOURCE: folio 490 collected during the inspection at the SIT headquarters.</w:t>
      </w:r>
    </w:p>
    <w:p>
      <w:r>
        <w:t>The adjustment of the pre-assigned percentage to the companies in the Agreement is evidenced in the email dated May 26, 2006 from the manager of the Agreement to SIT, collected during the inspection at the SIT headquarters: “The fact that you [SIT] have done fewer percentages than last year, tells me [XXX from Vascongada/Mundivan], reviewing the statistics, is due to the fact that during the second quarter (April, May, and June) when there are almost more relocations, all for June/July, and where it was necessary to offer cheap due to the 'enemy,' you [SIT] have only carried out one relocation” [clarification added] (folio 487). Likewise, in “the Statistics” it is also noted that the percentage in the last column of the table varies for the same considered period (folios 489, 491 and 496).</w:t>
      </w:r>
    </w:p>
    <w:p>
      <w:r>
        <w:t xml:space="preserve">Similarly, the adjustment of the distribution of relocations or “matters” is evidenced in several emails from the manager of the Agreement addressed to SIT with the subject “MEC,” to which he attached lists of relocations prepared from the emails requesting moving estimates that the ministry sent to various moving companies. In the emails from the manager of the Agreement to moving companies in the Agreement, he made observations such as the following: </w:t>
        <w:br/>
        <w:t xml:space="preserve">- “They tell me…. that you have a list of 3 matters (…)” (folio 485); </w:t>
        <w:br/>
        <w:t xml:space="preserve">- “(…) we agree that you keep the relocation Pizarro, Bogotá / Pontevedra. From the following list, of 7 matters, you want two and the remaining 5 for Tamex, Vascongada and 'the enemy'” (folio 487); </w:t>
        <w:br/>
        <w:t xml:space="preserve">- “...unfortunately I cannot leave you any transport from Bogotá, since according to my data you [SIT] have carried out 'without outsiders' already two services however neither AGS, nor Tamex nor we [Vascongada] have done anything. Therefore, if you want you can do the relocation from Tanger to Guadalajara of Dª [XXX]. By the way, there is another list with 7 matters (all by road) where there is a possibility of taking something.” (folio 488); </w:t>
        <w:br/>
        <w:t>- “(…) Regarding ours, he tells me that he (Mundivan and Vascongada) want to do the four from Morocco and if you want you can do Andorra and France.” (folio 498).</w:t>
      </w:r>
    </w:p>
    <w:p>
      <w:r>
        <w:t xml:space="preserve">b) Respect for relocations </w:t>
        <w:br/>
        <w:t xml:space="preserve">The market distribution has also taken place through different agreements among the participating companies of the Moving Agreement to respect the relocations, which have been modified and adapted throughout the duration of the Agreement, based on the affinities between participating companies in the Agreement, the problems that arose at certain times among them, or as a reaction to the requirements that the Administrations were demanding from the moving companies with which they regularly worked. The existence of market distribution agreements is evidenced in the ongoing sanctioning file by the references that the companies in the Agreement made to them in emails and documents between 1999 and 2014, highlighting, among others, the following: </w:t>
        <w:br/>
        <w:t xml:space="preserve">- Document “reunion.doc” titled “EXTRACT FROM THE MEETING HELD ON 07/09/2009 BETWEEN THE COMPANIES SELECTED BY DEFENSE,” collected during the inspection at the CABALLERO headquarters [it is clarified that the word “group” in the text refers to the group of companies approved by the Ministry of Defense]: </w:t>
        <w:br/>
        <w:t xml:space="preserve">“It is agreed that none of the nine will support with estimates any company that is not within the group (Euromonde, AGS, Grupo Amygo, Fluiters…).”. (…) “Excellent treatment given to our firm by SANCHO ORTEGA. Total availability to support us in whatever is needed. (…) Very good treatment and total availability also, and not for that less suspicious, by LA VASCONGADA and GIL STAUFFER. (…) Very good impression of XXX (Interdean). A serious guy who verbally conveyed to XXX his willingness to collaborate with our firm. Very good impression from XXX of DAVILA. He did not hesitate to be the first to offer his support to our firm.”] (folios 13368-13369). </w:t>
        <w:br/>
        <w:t xml:space="preserve">“Internal Supports: “It is decided that, in the event of a request for a fourth estimate by the Ministry to another company/group, they 'must' locate the company that is theoretically 'owner' of that client in order to proceed to support it and have it carry the offer. (…) it is decided that this 'forces' an agreement to support us with second and third estimates from the companies in the Group (…) On the other hand, we have finally managed to establish a criterion regarding fourth/fifth estimates. We already know whom we must support and whom not.” (folios 13368-13370). </w:t>
        <w:br/>
        <w:t xml:space="preserve">- Emails from May 2009 between executives of CABALLERO with the subject “Reflections,” about AGS and Euromonde: “We know that both AGS and Euromonde, not the others, have made a great commercial effort since you have crossed paths in your travels with the defense account, if they are left out they will ask us for support, since until now we have had very good reciprocal relations with them in this matter (…) We will not close doors in our white line with AGS, and with other colleagues in the sector, in favor of a group that dictates rules” (folio 13373). </w:t>
        <w:br/>
        <w:t xml:space="preserve">- Emails from April and June 2009 between the Webmail accounts of AGS and CABALLERO, collected during the inspection at the CABALLERO headquarters (see paragraphs (145) to (147)), in which AGS indicates to CABALLERO: “I’m sorry but having a subsidiary in Moscow, this time it won’t be possible,” or “I’m sorry I can’t support you when AGS has subsidiaries at origin and destination.” (folios 13272 and 13680, respectively). </w:t>
        <w:br/>
        <w:t>- Document on paper collected during the inspection at the SIT headquarters from the area of work of the head of the diplomatic department, which lists tasks for different ministries, among which it indicates that for the Ministry of Defense supports can be requested from FLIPPERS, TOLEDANA, S. Ortega, DÁVILA, TRANSFEREX, INTERDEAN, PROCOEX, EUROMONDE (folio 323); for Commerce and the Ministry of Foreign Affairs from FLIPPERS, TOLEDANA, S. Ortega, Dávila, TRANSFEREX, INTERDEAN (folios 324 and 325, respectively) and in the case of other agencies: “OFFICIAL supports AND SOME FROM THE 'DRAWER' (ESTEBARANZ/EXPEDITION)” (folio 324).</w:t>
      </w:r>
    </w:p>
    <w:p>
      <w:r>
        <w:rPr>
          <w:b/>
        </w:rPr>
        <w:t>[Pages 34–36]</w:t>
      </w:r>
    </w:p>
    <w:p>
      <w:r>
        <w:t xml:space="preserve">- Document from FLIPPERS with the heading “TASKS for Defense. 12/5/2010” containing the outline of the general procedure for “support” estimates:  </w:t>
        <w:br/>
        <w:t xml:space="preserve">SOURCE: Excerpt from folio 649 collected during the inspection of the FLIPPERS headquarters.  </w:t>
        <w:br/>
        <w:t xml:space="preserve">- Excel file from FLIPPERS named “AIDS to each MINISTRY February 2012.xls”, which includes the agreements between FLIPPERS and 10 companies in the Moving Agreement, referred to by their code names, as detailed in the following point, for different ministries regarding the topic of “aids” in the years 2012 and 2011 (folio 16703). This Excel file is a continuation of a previous one from the year 2012 named “AIDS to each MINISTRY February 2011.xls” (folio 16736).  </w:t>
        <w:br/>
        <w:t xml:space="preserve">SOURCE: Excerpt from folio 16703 collected during the inspection of the FLIPPERS headquarters.  </w:t>
        <w:br/>
        <w:t xml:space="preserve">- Excel file named “code names of support companies.xls” from the year 2009, in which FLIPPERS assigns code names to the moving companies in the Agreement (folio 16802, collected during the inspection of the FLIPPERS headquarters).  </w:t>
        <w:br/>
        <w:t xml:space="preserve">AGS AFRICA  </w:t>
        <w:br/>
        <w:t xml:space="preserve">CABALLERO GALANTE  </w:t>
        <w:br/>
        <w:t xml:space="preserve">DAVILA AGUILA  </w:t>
        <w:br/>
        <w:t xml:space="preserve">EUROMONDE SOFA  </w:t>
        <w:br/>
        <w:t xml:space="preserve">GIL STAUFFER SERIES  </w:t>
        <w:br/>
        <w:t xml:space="preserve">HASENKAMP ALEMANIA  </w:t>
        <w:br/>
        <w:t xml:space="preserve">LA TOLEDANA BOLOS  </w:t>
        <w:br/>
        <w:t xml:space="preserve">LA VASCONGADA PACHI  </w:t>
        <w:br/>
        <w:t xml:space="preserve">SANCHO ORTEGA QUIJOTE  </w:t>
        <w:br/>
        <w:t xml:space="preserve">SIT CHICAS  </w:t>
        <w:br/>
        <w:t xml:space="preserve">TRANSFEREX RON  </w:t>
        <w:br/>
        <w:t xml:space="preserve">- Email dated January 28, 2013, collected during the inspection at the CABALLERO headquarters, in which CABALLERO prepares a text for Euromonde to address to AGS, to coordinate moving distribution strategies with AGS, in cases where an interested party from the Ministry of Foreign Affairs requests estimates from CABALLERO and Euromonde and, additionally, the destination is a point where AGS has a delegation, so that the three companies share segments of the move: “… this lady, who is going to a destination for the first time, has requested offers from both Caballero and Euromonde and in both cases we have agreed to speak with her (…) Euromonde or Caballero will handle the origin and transport services and your Delegation at the destination will make the delivery. The file before the MAEC, obviously, is presented by AGS but with the commitment that we intervene in something. What do you think? The same, obviously, can happen in those files that are from either of the two companies and you are asked for support and you have a Delegation, although you already know that we are doing it this way.” (folio 5581).  </w:t>
        <w:br/>
        <w:t xml:space="preserve">- Email dated April 11, 2013 with the subject “SUPPORTS” between executives and salespeople from the companies Euromonde and CABALLERO, collected during the inspection at the CABALLERO headquarters: “[Euromonde salesperson]: “Yesterday I spoke with [H] from Hasenkamp, regarding the support (I had to ask him and he told me that XXX [XXX] had not mentioned the conversation he had with you [Isabel Martín] last week. Well, I explained the collaboration for all Ministries and today we have already started, he told me that for each estimate, I will keep track to know how we are doing, for now 0/2. I also spoke with [E] from Fluiters, and he didn’t know anything either, but he was going to discuss it with [E]. In summary, we have collaboration in 3x3 from: AGS, Hasenkamp, Flippers, Caballero, Vascongada (sporadically) and Fluiters. And in the 4th estimates of all except Interdean.” To this initial email, a follow-up email from the Euromonde executive follows: “When you say in the 4th of all, do you mean all... that is, SIT, Toledana, etc....??? For the 3x3 I will continue calling XXX [XXX]” [clarifications added] (folio 5718);  </w:t>
        <w:br/>
        <w:t xml:space="preserve">- Email dated April 19, 2013 with the subject “ATT. JAVIER” collected during the inspection at the CABALLERO headquarters, from the AGS Webmail account to the CABALLERO account regarding the accompanying estimates of third and fourth estimates (folio 5756):  </w:t>
        <w:br/>
        <w:t xml:space="preserve">“DUE TO THE CONVERSATIONS HELD WITH THE RESPONSIBLE PARTIES OF THE COMPANIES EUR. AND CAB. REGARDING THE ISSUE OF AID IN THIRD AND FOURTH, CERTAIN DOUBTS HAVE ARISEN THAT WE WOULD LIKE YOU TO CLARIFY:  </w:t>
        <w:br/>
        <w:t xml:space="preserve">- WILL THE PRESENTED RATES BE RESPECTED?  </w:t>
        <w:br/>
        <w:t xml:space="preserve">- IF SO, WE CANNOT HELP WHEN THE PRICES PROVIDED ARE ABOVE THESE RATES, JUST AS EUR. ALREADY RESPONDED TO US WITH A CLIENT VALENCIA – STRASBOURG (ARGENTE), WITH WHOM WE WERE OBLIGED TO REDUCE THE PRICE.  </w:t>
        <w:br/>
        <w:t xml:space="preserve">- THIS CONTRADICTS, WHEN CAB. IS NOW REQUESTING HELP FOR A CLIENT FROM THE USA AND THE AMOUNT WOULD EXCEED THE RATE PRESENTED BY APPROXIMATELY €2500.  </w:t>
        <w:br/>
        <w:t xml:space="preserve">- WE NEED TO KNOW WHAT BOTH COMPANIES COMMIT TO.”  </w:t>
        <w:br/>
        <w:t xml:space="preserve">- Email dated June 23, 2014 between a salesperson and management of TRANSFEREX with the subject “CALL FROM XXX FROM LA TOLEDANA”, collected during the inspection at the TRANSFEREX headquarters (folio 18185):  </w:t>
        <w:br/>
        <w:t xml:space="preserve">“1.- offers support without problems, that if we call and he is not there we can ask for XXX and send the data by fax to 91 402 46 88.  </w:t>
        <w:br/>
        <w:t xml:space="preserve">2.- That he needed support for two clients, one from the MAEC and one from the police, I checked and told him to send the data.”  </w:t>
        <w:br/>
        <w:t xml:space="preserve">c) Respect for clients  </w:t>
        <w:br/>
        <w:t>Likewise, the market distribution of international moves among the companies participating in the Agreement has been carried out through client respect. The companies in the Agreement agreed to mutually respect certain clients who, for example, expressed their preference for one of them. In the absence of any of these moving distribution agreements, the companies in the Agreement acted independently of each other under competitive conditions, denying requests for accompanying estimates using terms similar to “we are quoting”, “we are budgeting”, “we are in contact”, “we are interested”, to refer to these supposedly “free” clients, or requesting interested parties in a move the price at which other moving companies have offered the move to prepare the corresponding estimate below it, as also noted by CABALLERO in point 3 of “external supports” of the document “EXTRACT FROM THE MEETING HELD ON 07/09/2009” (folio 13368).</w:t>
      </w:r>
    </w:p>
    <w:p>
      <w:r>
        <w:rPr>
          <w:b/>
        </w:rPr>
        <w:t>[Pages 37–39]</w:t>
      </w:r>
    </w:p>
    <w:p>
      <w:r>
        <w:t xml:space="preserve">According to the information analyzed in the file, the companies in the Moving Agreement respected clients whom they referred to as "secure clients" and, in some marginal cases, also in reference to clients of private companies. For example, the companies in the Agreement respect clients of other participating companies if:  </w:t>
        <w:br/>
        <w:t xml:space="preserve">i) A certain client has previously made a move with a company in the Agreement or if a company in the Agreement has initially budgeted one of the three estimates provided by the client. This case is widely documented in the file when the Administration requests fourth estimates, to which the companies in the Agreement consult among themselves to determine to whom the client belongs or directly inform others that the client is "theirs," also in accordance with what is stated in the fourth point on "internal supports" of the document "EXTRACTO DE LA REUNION CELEBRADA EL 07/09/2009." For all, three examples can be cited, two collected from the inspection of CABALLERO's headquarters and another from TRANSFEREX: 1) email from 2009 from CABALLERO to FLIPPERS, Euromonde, AGS, and SIT regarding a fourth estimate requested by the Ministry of Foreign Affairs, asking if the client belongs to any of them (folios 14041, 14042, and 14051-14053); 2) email from 2009 from FLIPPERS to CABALLERO, Dávila, G.Stauffer, and Vascongada in which they indicate: "If you are asked for this 4th from DEF, please it is ours....." (folio 14452); 3) exchange of emails in 2014 between TRANSFEREX and AGS: [AGS] "We are sorry, the client has not mentioned anything to us, we have requested the visit in Mexico and we are going to budget."; [TRANSFEREX] "What criteria do you follow to support or not? I do not even contact your clients when you ask me for support!!!" (folio 18203).  </w:t>
        <w:br/>
        <w:t xml:space="preserve">ii) An interested party in a move expresses interest in carrying it out with a moving company, in which case that company in the Agreement communicates it directly to other companies in the Agreement, which carry out the necessary checks to verify it.  </w:t>
        <w:br/>
        <w:t xml:space="preserve">It is worth reproducing, for its clarity, the email of July 17, 2013, from AGS to CABALLERO/Euromonde in which AGS indicates: "... to set a price above €3,800 so that we can take it ourselves" to which CABALLERO/Euromonde responds: "... Now that you have the information, I hope you respect the client for tomorrow please" (folios 6801-6802, collected from the inspection at CABALLERO's headquarters).  </w:t>
        <w:br/>
        <w:t xml:space="preserve">4. Price Fixing  </w:t>
        <w:br/>
        <w:t xml:space="preserve">The companies in the Moving Agreement agreed to set the price at which a move or relocation had to be carried out, or the minimum price above which accompanying estimates had to be submitted, given that the economic criterion is the only one followed by the Administration to approve the expenditure among the offers received from moving companies for a relocation. From the information in the file, it is widely established that when a company in the Agreement was assigned or respected a move or client, it primarily sent, by email and phone, the necessary data for the preparation of accompanying estimates to be submitted to the interested party or the Administration, with the objective that the other companies in the Agreement would prepare economically less advantageous estimates so as not to be the awardees of those files.  </w:t>
        <w:br/>
        <w:t xml:space="preserve">Firstly, the file contains evidence that the companies in the Agreement agreed to set minimum prices for relocations, as can be inferred from the following documents, emails, and notes on meetings between companies in the Agreement [as previously mentioned, the word "group" refers to the groups of moving companies that formed certain ministries, as explained in subsequent paragraphs]:  </w:t>
        <w:br/>
        <w:t xml:space="preserve">- Email dated July 5, 2010, with no subject from CABALLERO to EDICT, collected during the inspection at CABALLERO's headquarters: "In the meeting, we discussed some minimum rates and it was agreed to send them to those in the other group to see the possibility of them adopting them. If we receive the ok from the other group, we will all apply them." (folio 12655).  </w:t>
        <w:br/>
        <w:t xml:space="preserve">- Email dated October 3, 2012, from SIT to Euromonde, collected during the inspection at SIT's headquarters: "I think it is necessary for you to raise your prices a bit." (folio 2797). Also in this email, in relation to a list of moving prices by origin/destination and cubic measurement for the Ministry of Education, SIT indicates to Euromonde that: "This is totally updated [the list] and I suppose no one informed you of those that have been awarded (we found out today when we called), you should tell everyone or this will continue to be a mess. Furthermore, they continue awarding to HK [HASENKAMP], you should call him to withdraw. Pls" [added clarifications] (folios 2792, 2793).  </w:t>
        <w:br/>
        <w:t xml:space="preserve">- Email dated November 15, 2012, from Euromonde to SIT, collected from the inspection at SIT's headquarters: "My intention from day one has been to respect the agreement, as I was precisely one of the promoters of it, and I still intend to continue it. As I mentioned before I left, we had to give more reasonable prices for some from Morocco, as XXX [commercial of Euromonde] has been under pressure from the MEC, and it is also not advisable to raise suspicions, since from July until now mid-November with all the requests received, we have only opted for 3, and considering the percentage index of recent years, my good and firm intention to the agreement can be clearly seen. Indeed, HS [HASENKAMP] continues to give lower rates, but I spoke with him and he told me that he already applies a very high profit percentage and that he finds his rates quite reasonable. Perhaps someone other than me should call him to see this issue.... I commit to raising the prices for those remaining going forward so that you can all opt for them." [added clarifications] (folio 2806).  </w:t>
        <w:br/>
        <w:t xml:space="preserve">- Email dated January 6, 2013, from SIT to Vascongada, collected during the inspection at SIT's headquarters: "The destinations that we will mention for there to be an increase will be Naples, London, Berlin, Brussels, Turkey, USA" (folio 2695).  </w:t>
        <w:br/>
        <w:t xml:space="preserve">The companies in the Moving Agreement reacted to different situations posed by the Administrations. For example, certain ministries such as Education and Defense directly requested estimates from the moving companies that regularly collaborated in the relocations of their officials, so in order to optimize the management of the selection of the offer to which the relocation would be awarded, they formed groups of companies. Likewise, the ministries sought solutions to reduce the expenditure of the international relocations of their officials, for example, through the establishment of maximum annual price frameworks by origin/destination and cubic measurement.  </w:t>
        <w:br/>
        <w:t xml:space="preserve">This situation complicated the management of the Agreement regarding the setting of minimum prices because moving companies outside the Agreement entered the groups formed by the ministries and submitted more economical offers than those of the companies in the Agreement, winning the awards.  </w:t>
        <w:br/>
        <w:t xml:space="preserve">The companies in the Agreement reacted to maintain control of it, trying to make it difficult for companies outside the Moving Agreement to be contracted by the ministries, through letters or complaints against these moving companies to the ministries, and/or making exceptions to the agreed minimum price fixing, allowing companies in the Agreement interested in those relocations to offer cheaper prices to have options to be awarded them.  </w:t>
        <w:br/>
        <w:t xml:space="preserve">The file indicates that within the association of moving companies GMI, some of the participants in the Agreement such as SIT, CABALLERO, FLIPPERS, Vascongada, Mundivan, TOLEDANA, Sancho O., or Dávila, promoted actions aimed at directing the ministries' actions against moving companies outside the Agreement such as CROWN WORLDWIDE MOVERS, S.L. (hereinafter, Crown), or against participating companies in the Agreement, such as HASENKAMP, AGS, or INTERDEAN that offered estimates below the agreed minimum price framework.  </w:t>
        <w:br/>
        <w:t>In this regard, in May 2006, SIT sent a letter to the Ministry of Foreign Affairs regarding the contracting of relocations in which it proposed to the ministry not to provide lists of moving companies to the official or that, if there were any, only Spanish companies would be listed (against AGS, INTERDEAN, and MANTEROLA).</w:t>
      </w:r>
    </w:p>
    <w:p>
      <w:r>
        <w:rPr>
          <w:b/>
        </w:rPr>
        <w:t>[Pages 40–42]</w:t>
      </w:r>
    </w:p>
    <w:p>
      <w:r>
        <w:t>HASENKAMP that did not belong to the only Spanish business organization of companies specialized in international moving, G.M.I), or that were only used to request fourth estimates (folios 3220-3223). Furthermore, it is recorded in the file that between 2009 and 2010 (folios 3088, 3090, 3091, 3092, collected during the inspection at the SIT headquarters), actions were promoted against Crown by GMI:</w:t>
        <w:br/>
        <w:t>- Following an initial email dated July 1, 2009, from CABALLERO to GMI associates, a series of email exchanges occurred related to moving companies contracting with the Ministry of Foreign Affairs, and the possibility of reporting the ministry itself for contracting Crown for fourth estimates:</w:t>
        <w:br/>
        <w:t>CABALLERO: “A client just contacted us to inform us that yesterday the Ministry informed him that it has requested a fourth and a fifth estimate. The fourth, specifically, from Crown. We know, from the interview yesterday with SIT, that the MAEC is willing to continue working with these gentlemen, and today it has been confirmed. I understand that we should proceed differently regarding this to avoid this.” (folio 14082).</w:t>
        <w:br/>
        <w:t>FLIPPERS: “Regarding the communication from Caballero, I believe it is necessary to take another more forceful step.” (folio 14094).</w:t>
        <w:br/>
        <w:t>M. Rumbo indicates: “I feel the same way, but we all need to agree and know that it will have some consequences, which I don’t think will be worse than where they are leading us.” (folio 14093).</w:t>
        <w:br/>
        <w:t>FLIPPERS: “I am willing to initiate any action that benefits all Spanish moving companies. I believe it is important at this time to unify criteria and demand the same requirements from everyone; this is about intrusion.” (folio 14092).</w:t>
        <w:br/>
        <w:t>CABALLERO: “1.- MAEC [MC] origin Lithuania destination Madrid. 60m3 (car included). Price quoted by Crown: €7,310.00. They have been awarded it today. 2.- MAEC [JLS] origin Athens destination Madrid. 60m3 (car included). Price quoted by Crown: €9,000.00. They have also been awarded it today. Both services to be carried out this month of July. Gentlemen, we may be racking our brains with the writings, and what we need to do is let this individual perform these services at these prices and that, unfortunately, God take the client confessed. I don’t know about you (I understand that you don’t either), but the numbers don’t add up for me, even cheating.” (folio 14092).</w:t>
        <w:br/>
        <w:t>- Email dated March 18, 2010, from CABALLERO to the secretary of GMI: “I don’t know, it occurs to me that we could negotiate this matter directly with Interdean once its connection with Crown is verified if it exists as a quicker way to get Crown out of the MAEC…” (folio 12152). Previously, on March 9, 2010, CABALLERO sent FLIPPERS an email with the subject “Crown Worldwide Movers,” in which he attached reports from this company obtained from a couple of private databases of information about companies (folios 12100, 12103-12118, and 12119-12126).</w:t>
        <w:br/>
        <w:t>- Email dated June 18, 2010, with the subject “Crown” from the secretary of GMI to the associates: “We are again receiving numerous complaints regarding the actions of Crown Worldwide Movers, S.L. in the different areas in which this company operates. I need documentation (and your authorization to use it in your name, if necessary) that proves that the aforementioned company has been carrying out unacceptable dumping for some time and to be able to report it with guarantees.” (folio 12590).</w:t>
        <w:br/>
        <w:t>On the other hand, also from within GMI, certain companies in the Agreement promoted actions against companies in the Agreement such as INTERDEAN and AGS for acting like Crown in offering lower prices for the relocations of the ministries, below the framework of minimum agreed prices, as described below:</w:t>
        <w:br/>
        <w:t>- Email exchanges dated April 8, 2010, with the subject “Interdean” between the secretary of GMI and CABALLERO collected during the inspection at CABALLERO's headquarters, to report INTERDEAN to the Ministries of Defense and Foreign Affairs for illegal practices (folio 12194):</w:t>
        <w:br/>
        <w:t>CABALLERO explains to the secretary of GMI, regarding a meeting among companies in the Agreement, at least CABALLERO, SIT, and DAVILA: “…in a meeting, we all agreed that XXX [SIT] and XXX [DAVILA] were going to talk to XXX [INTERDEAN] to try to ‘reprimand’ him, and if he did not pay attention, we would see who, when, to whom, and how the Commission's Decision would be communicated. XXX and XXX agreed to inform us of the results of the meeting with XXX, and I don’t even know if that meeting has taken place or not to act accordingly. This morning XXX [SIT] sent me an email asking me the same thing, and my response, in my case, has been the same as I am giving you now. (...) Another aspect to consider is the active subject of the complaint (who files it?). In the meeting the other day, it was suggested that it be GMI, but since Interdean is part of it, it was understood that it was not appropriate. (…) Independently of the Board, a letter can also be sent to both Defense and the MAEC informing them of our actions, but I believe this could be a bit dangerous because, as the list of approved companies from Defense has not yet been released, we run the risk that they will close the case and open contracting to any company.” (folio 12197).</w:t>
        <w:br/>
        <w:t>The secretary of GMI indicates: “…The other day XXX sent me an email requesting that I send him the report on Crown, since, according to his words, other affiliates had it and he did not, and therefore, as an affiliate of GMI, he should possess that report. I sent it to him by email. The issue at this point is, in my opinion, that XXX sent the report, in a biased manner, to a series of affiliates and not to Interdean, (…). But there is more, of course, because some of the affiliates have tipped XXX off that the report had been partially and interestedly leaked. (…) I find it coherent to submit to the consideration of the Advisory Board the possibility of excluding Interdean, but this should not be, in my opinion, the only area of action. (…) The State Attorney’s Office is, I believe, the key body to initiate action against Interdean, both in the Ministry of Defense and in the MAEC.” (folio 12196).</w:t>
        <w:br/>
        <w:t>CABALLERO continues (folio 12196): “XXX's reaction again shows that there is some relationship between him and Crown, because if not, at least I would not give importance to the fact that he has not received the report. (…) I would take the following steps:</w:t>
        <w:br/>
        <w:t>1.- Drafting a complaint letter.</w:t>
        <w:br/>
        <w:t>2.- Signing of said letter by each and every one of the 8 (Vascongada, Mundivan, Toledana, Sancho O., Sit, Caballero, Flippers, and Dávila).</w:t>
        <w:br/>
        <w:t>3.- Sending the letter along with the evidence to the Advisory Board.</w:t>
        <w:br/>
        <w:t>4.- Sending the letter stamped by the Board, the complaint letter itself, and the evidence to the State Attorney’s Office in the MAEC and in Defense.”.</w:t>
        <w:br/>
        <w:t>SIT asks CABALLERO if he can do something with the State Attorney, to which CABALLERO responds that: “…the most direct way to attack this is to immediately communicate it to the Advisory Board of Administrative Contracting. (…) We can even send it anonymously without anyone needing to ‘get involved’ and I am fully confident that they will act. (…) However, this measure is very drastic due to the serious consequences that may arise for this company because, practically, it means that it will not be able to contract, and I believe we must seriously consider implementing it. Therefore, we agreed the other day that XXX [SIT] and XXX [Dávila] were going to probe XXX [XXX of INTERDEAN] regarding this.” [clarifications added] (folio 12193).</w:t>
        <w:br/>
        <w:t>- Email dated May 13, 2010, from CABALLERO to the secretary of GMI: “Mr. XXX [XXX of SIT], I finally managed to speak with XXX [secretary of OCEM]. Although he did not tell me anything strictly, I conclude that there is not, a priori, much desire to get involved with the matter. He defined to me that the ball is in what the Board of FEDEM decides (it is no longer OCEM)… either we do something as a group of affected parties or via the Association, I fear that nothing will be done…” (folio 12419); [Secretary of GMI] “The second problem is that Interdean belongs to GMI but not to OCEM, so it would have been much more interesting for the complaint to come from this than from another avenue. For GMI, as an institution, it is delicate to report an affiliate. In this case, if the OCEM route fails, or as an alternative, we would have to gather the companies affected by Interdean and draft a joint complaint. I can’t think of anything else, but we also cannot leave the issue as if nothing had happened.” (folio 12421); [CABALLERO]: “Interdean does belong to both Ocem and Fedem… What I can assure you is that if it continues to give me trouble as it has so far, I will take action even if it is individually.” (folio 12420).</w:t>
        <w:br/>
        <w:t>- Email dated May 14, 2010, from the secretary of GMI to CABALLERO: “José Luis [SIT] has told me that, please, you do everything possible to try to push the matter through the State Attorney. (…) I have mentioned to XXX the disunity existing among the moving companies and my rejection of GMI reporting one of its affiliates. We could do something similar to what was done with Crown last year, that is, draft a letter among all the companies involved in</w:t>
      </w:r>
    </w:p>
    <w:p>
      <w:r>
        <w:rPr>
          <w:b/>
        </w:rPr>
        <w:t>[Pages 43–45]</w:t>
      </w:r>
    </w:p>
    <w:p>
      <w:r>
        <w:t>the ministries with Interdean and to state with evidence that it is an unfair competitor and should be disqualified from contracting.” (page 12422).</w:t>
        <w:br/>
        <w:t>- Email dated February 1, 2011, with the subject “Unfair Competition of Crown and AGS” among SIT executives: “Crown Worldwide Movers, S.L. (hereinafter, Crown) and AGS Mudanzas Internacionales, S.L. (hereinafter, AGS) have been carrying out a large part of the international relocations of officials assigned to the Ministry of Foreign Affairs and Cooperation since the beginning of 2009 due to a significant reduction in the average prices that governed the market until that date, which represents a serious economic detriment to those companies that have traditionally opted to carry out the relocations of officials of the aforementioned agency with notable quality standards. Unfair competition, also called anticompetitive behavior, is the practice contrary to honest usages in industry and commerce.” [emphasis added] (pages 2838 and 2839-2841).</w:t>
        <w:br/>
        <w:t>Regarding the formation of groups of moving companies by the Administration to optimize the management of budget requests, in the case of the Ministry of Education, a large number of moving companies provided services for the relocations of its officials (about twenty), and the ministry, to optimize the management of the budgets, began to form three or four groups of four or more companies per quarter, which it also modified the following quarter, so the probability that companies outside the Agreement that did not operate under the framework of minimum prices entered a group was high, and the companies in the Agreement were forced to lower the prices they offered for their relocations. This situation is evidenced in the file by a handwritten note from SIT and several printed emails collected during the inspection at SIT's headquarters, such as those listed below, in which the companies in the Agreement refer to the companies outside the Agreement that enter the group formed by the ministry as “outsider” or “enemy”:</w:t>
        <w:br/>
        <w:t>- Handwritten note from SIT on page 490 in the “Statistics” regarding the “SITUATION 01.10.04 TO 31.12.05 WITHOUT + WITH OUTSIDERS” according to which the companies in the Agreement, when they were in a group formed by the ministry in which no companies outside the Agreement had entered, raised prices, and otherwise lowered them:</w:t>
        <w:br/>
        <w:t>SOURCE: page 490 collected during the inspection at SIT's headquarters.</w:t>
        <w:br/>
        <w:t>- Email dated July 6, 2005: “on the other hand, keep in mind that we must offer low prices to avoid the award to Hasenkamp” (page 499).</w:t>
        <w:br/>
        <w:t>- Email dated May 25, 2006: “…unfortunately, I cannot provide you with any transport from Bogotá, since according to my data you [SIT] have already carried out two services “without outsiders,” however neither AGS, nor Tamex nor we [Vascongada] have done anything.” [clarifications added] (page 488)</w:t>
        <w:br/>
        <w:t>- Fax dated February 6, 2006, regarding the award of a move to HASENKAMP: “As you can see, the outsiders adjust prices a lot” (page 493).</w:t>
        <w:br/>
        <w:t>Similarly, the Ministry of Defense requested budgets from a smaller and more stable group of moving companies than in the case of the Ministry of Education, because it did not change as frequently, making the control over the minimum price fixing agreed upon by the companies in the Agreement easier to manage. The file evidences that, in response to the formation of a group of nine companies by the Ministry of Defense in 2009, all of which were participants in the Moving Agreement, they reacted to share the relocations of this ministry without counting on the rest of the companies in the Agreement that were left out of this group of nine, or counting on them in the face of the threat that moving companies outside the Agreement would enter the group formed by the ministry, according to the 2009 document “reunion.doc” (paragraph (107), pages 13368-13370) and an email dated February 25, 2010, from a CABALLERO executive to a SIT executive, collected during the inspection at CABALLERO's headquarters [the word “Group” refers to the group formed by the Ministry and not to the group of the companies in the Agreement, and the “group of 9” refers to the nine companies in the Agreement that entered the group initially approved by the ministry in 2009]:</w:t>
        <w:br/>
        <w:t>“...I also attach the requirements demanded by Defense to be part of the Group this year 2010, which I have just received. From the poverty of the same, I deduce (rather I am certain) that at least two or three other companies (minimum and one of them, surely, the tandem AGS-Euromonde) are going to enter into contracts with MINISDEF this year and, consequently, with our pricing table we are going to make it difficult for them. I think we should consider whether we continue with the framework or whether, on the contrary, we try to involve these companies in the “agreement.” (…) (NOTE from a company in the group of the 9) so similar to mine that if I raise 450 euros for the assembly in Strasbourg that I had forgotten in my first offer, I stay above him (he referred to this offer as the Killer company or something like that).” (page 12090).</w:t>
        <w:br/>
        <w:t>In 2014, in order to reduce moving expenses, certain ministries such as Foreign Affairs and Defense established a framework of maximum annual prices to be paid per relocation according to origin/destination and cubic measurement brackets, that is, the ministry paid a maximum of the price established in that annual framework. To prepare that framework or table of maximum prices, each ministry requested the collaboration of several moving companies to independently provide the indicative prices that each applied for the origin/destination cities and cubic measurement of the table, with the aim of averaging all those received from each of them to serve as a basis for the final one that the ministry would publish and apply the following year. The ministries requested these indicative prices from all companies that regularly provided moving services for the relocations of their officials, as in the case of Defense, or, as in the case of Foreign Affairs, from a smaller group of five companies selected by the ministry applying a series of evaluative criteria known to all of them.</w:t>
        <w:br/>
        <w:t>Faced with this situation of reduced moving expenses by the Administration, the companies in the Moving Agreement acted by pre-agreeing the prices that each would present to the ministry. When the companies in the Agreement received communication from the ministries to submit prices by origin/destination and cubic measurement, they contacted each other by email to hold meetings or exchanges of information about the prices applied by each, to jointly agree on the prices that each would subsequently submit to the ministry. The file evidences that SIT planned meetings with Vascongada, Fluiters, TOLEDANA, and S. Ortega, according to the paper document collected from the desk of its vice president “CALENDAR PROJECT FOR SIT PURPOSES” with the following information (page 483):</w:t>
        <w:br/>
        <w:t>“- Separate interview with FLU, TOL, and SAN before they receive the first letter from MAEC.</w:t>
        <w:br/>
        <w:t>- Joint interview with FLU, TOL, and SAN before they respond to MAEC. Discuss %?</w:t>
        <w:br/>
        <w:t>- First interview with VAS after we have evaluated the responses.</w:t>
        <w:br/>
        <w:t>- Joint interview with VAS, FLU, TOL, and SAN: Discuss %, commission 1.5%, agreement on similar rates, signed letters in front (provided by SIT) in different ways.”</w:t>
        <w:br/>
        <w:t>This meeting calendar with SIT is evidenced in the paper documents collected from the working desk of its vice president, which contain tables of “import-export rates 2013” and “Indicative rates Ministry of Defense year 2013” and several handwritten notes, regarding prices by destinations and cubic measurements of companies in the Agreement such as TOLEDANA and Vascongada (pages 457-465):</w:t>
      </w:r>
    </w:p>
    <w:p>
      <w:r>
        <w:rPr>
          <w:b/>
        </w:rPr>
        <w:t>[Pages 46–48]</w:t>
      </w:r>
    </w:p>
    <w:p>
      <w:r>
        <w:t xml:space="preserve">SOURCE: Extract from folio 463 collected during the inspection at the SIT headquarters.  </w:t>
        <w:br/>
        <w:t xml:space="preserve">SOURCE: Extract from folio 462 collected during the inspection at the SIT headquarters.  </w:t>
        <w:br/>
        <w:t xml:space="preserve">SOURCE: Extract from folio 464 collected during the inspection at the SIT headquarters.  </w:t>
        <w:br/>
        <w:t xml:space="preserve">SOURCE: Extract from folio 465 collected during the inspection at the SIT headquarters.  </w:t>
        <w:br/>
        <w:t xml:space="preserve">Likewise, the exchange of tariff tables from the different moving companies in the Agreement is evidenced in various emails exchanged between these companies, to reach consensus and set minimum prices before each responded to the ministry:  </w:t>
        <w:br/>
        <w:t xml:space="preserve">Exchange of lists from the Ministry of Education:  </w:t>
        <w:br/>
        <w:t xml:space="preserve">- Email dated November 3, 2009, collected during the inspection at the SIT headquarters, from SIT to S. Ortega, FLIPPERS, Dávila, and TOLEDANA, attaching the base template for studying prices by origin/destination and cubic measurement named “Excel sheet,” with the observation that 2 months of furniture storage, furniture assembly, and parking permit should be included in the study (folio 3095).  </w:t>
        <w:br/>
        <w:t xml:space="preserve">46  </w:t>
        <w:br/>
        <w:t xml:space="preserve">- Emails dated January 28, 2010, with no subject, between executives of CABALLERO and HASENKAMP, collected during the inspection at the CABALLERO headquarters: [CABALLERO] “Bertone [Alberto Galasso from HASENKAMP] why don’t we share the MEC lists once and for all? I’m sure there are combinable ones and this way we can optimize rates”; [HASENKAMP]: “I’m delighted! Anything that optimizes, gets us ahead, and makes us money…. For now, I can tell you that we received a list from the MEC today with a request from Madrid (Las Rozas) to Stuttgart (Germany).” [additional clarifications] (folios 12058 and 12059).  </w:t>
        <w:br/>
        <w:t xml:space="preserve">- Email dated October 2, 2012, with the subject “education” from Euromonde to SIT, collected during the inspection at the SIT headquarters: “…can you send me the latest list you took to the meeting in Excel, so I can update it with these latest ones that are coming in. Toledana called me to give me one more that they had approved.” SIT attaches an Excel file named “MEC 2012 ISABEL.xls” indicating to Euromonde “I think the companies with some assigned moves should have already called you.” (folios 2790 and 2791). Subsequently, in an email dated October 24, 2012, from Euromonde to SIT: “I will be on vacation for the next 2 weeks, but I have asked XXX to update the list with the latest awards if everyone collaborates, to send it to you” (folio 2797).  </w:t>
        <w:br/>
        <w:t xml:space="preserve">- Email dated January 16, 2013, with the subject “Rates,” from Vascongada to SIT collected during the inspection at the SIT headquarters (folio 2588), to which it attaches the document “20130115155416839.pdf” (folios 2589-2592).  </w:t>
        <w:br/>
        <w:t xml:space="preserve">- Email dated January 17, 2013, from Vascongada to SIT collected during the inspection at the SIT headquarters, with the prices of Vascongada according to the attachment named “Libro Jose Luis.xls” (folio 2604).  </w:t>
        <w:br/>
        <w:t xml:space="preserve">- Email dated January 31, 2013, with the subject “RATES,” from SIT to TOLEDANA, collected during the inspection at the SIT headquarters, attaching this Excel file “Libro Jose Luis.xls” (folio 2611).  </w:t>
        <w:br/>
        <w:t xml:space="preserve">Exchange of lists from the Ministry of Defense:  </w:t>
        <w:br/>
        <w:t xml:space="preserve">- Email dated November 6, 2009, with no subject, from SIT to S. Ortega, CABALLERO, Dávila, TOLEDANA, and Vascongada, with the attached Excel file “cuadro tarifas Defensa.xls,” collected during the inspection at the CABALLERO headquarters: “Attached is a new table including all destinations for the rates given the request from some of you. (…) I appreciate your confirmation of receipt of this email.” (folios 14792, 14793). In response to this initial email from SIT, at least CABALLERO and S. Ortega replied (folios 14792 and 14795, respectively).  </w:t>
        <w:br/>
        <w:t xml:space="preserve">In this same email dated November 6, SIT calls for a meeting on November 17, 2009, at 9:30 a.m. (folio 14795). For this meeting, several companies sent their rate tables, such as S. Ortega according to the email dated November 17, 2009, with no subject, with the attachment “cuadro tarifas Defensa.xls” (folio 14820), and CABALLERO according to the email dated November 17, 2009, with the subject “Sending by email: RATE 2009,” with the attached Excel file “COPIA PARA INES.xls” (folios 14832 and 14833).  </w:t>
        <w:br/>
        <w:t xml:space="preserve">- Documents collected during the inspection at the SIT headquarters, on the desk of its vice president, mentioning rates from other companies in the Agreement (folios 462-464, 466), as well as a letter dated January 25, 2013, that Vascongada directed to the Ministry of Defense attaching its price table by origin/destination and cubic measurement, also collected on the desk of the vice president of SIT (folios 465 to 468), and folios collected during the inspection at the SIT headquarters in the work area of the commercial department with the aforementioned table from Vascongada (folios 319-322).  </w:t>
        <w:br/>
        <w:t xml:space="preserve">5. Setting commercial conditions  </w:t>
        <w:br/>
        <w:t xml:space="preserve">The companies in the Agreement agreed to set commercial conditions that could or could not be included in the moving estimates, which they referred to as “commercial considerations,” such as free vehicle registration, free furniture storage service, greater volume than budgeted, pet relocation, arrangements at the destination residence such as hanging pictures, cleaning, receiving purchases from large stores to include in the move, car rentals, hotel nights, among others, as evidenced in point 5 of the 2009 document “reunion.doc” collected during the inspection at the CABALLERO headquarters, cited in detail above in section 1 regarding the existence of the agreement, in which even the preparation of a “catalog of prohibited practices” of accepted or prohibited considerations within the Moving Agreement is mentioned (folios 13368-13370):  </w:t>
        <w:br/>
        <w:t xml:space="preserve">“5.- THIRD POINT DISCUSSED: COMMERCIAL CONSIDERATIONS  </w:t>
        <w:br/>
        <w:t xml:space="preserve">[…]  </w:t>
        <w:br/>
        <w:t xml:space="preserve">In summary, it was decided that any fact that transcends what is logical in a moving service will be considered a prohibited practice, although a specific catalog regarding this will be prepared shortly. […]  </w:t>
        <w:br/>
        <w:t xml:space="preserve">Likewise, the companies in the Agreement informed each other how they applied what was agreed on this topic in the meetings as stated in the email dated December 3, 2009, with the subject “Christmas Meal” from FLIPPERS to SIT, S. Ortega, Dávila, TOLEDANA, Vascongada, and CABALLERO, collected during the inspection at the CABALLERO headquarters: “We have told him that we can only consider 2 months of free furniture storage,” to which CABALLERO responds: “That is how we must proceed from now on” (folio 14992).  </w:t>
        <w:br/>
        <w:t xml:space="preserve">6. Elements used for the materialization of the Agreement.  </w:t>
        <w:br/>
        <w:t>48</w:t>
      </w:r>
    </w:p>
    <w:p>
      <w:r>
        <w:rPr>
          <w:b/>
        </w:rPr>
        <w:t>[Pages 49–51]</w:t>
      </w:r>
    </w:p>
    <w:p>
      <w:r>
        <w:t>The Moving Agreement for the establishment of prices and commercial conditions, and market distribution was materialized through the use of monetary and non-monetary compensations, the use of Webmail accounts created for this purpose by the participating companies in the Agreement, management, control, and monitoring, as well as the exchange of information through the "support" (accompanying) budget system that they managed primarily via fax, telephone, and email starting from the year 2004.</w:t>
      </w:r>
    </w:p>
    <w:p>
      <w:r>
        <w:t>a) Compensations:</w:t>
        <w:br/>
        <w:t>Within the framework of the Moving Agreement, a system of monetary and non-monetary compensations was established among the companies in the Agreement that submitted accompanying offers or "support" estimates that were economically less advantageous than the offer of the company in the Agreement to which the move or client was respected. According to the document "COMPETITION AGREEMENTS 1999," collected during the SIT inspection, at the desk of its president (folios 391-393), the companies in the Moving Agreement established monetary compensations of 35,000 pesetas when home visits were requested and 15,000 pesetas when a budget was requested ("papers," folio 396). The non-monetary compensations consisted of assignments of moving services or reciprocity of estimates (folio 391).</w:t>
      </w:r>
    </w:p>
    <w:p>
      <w:r>
        <w:t>SOURCE: Excerpt from folio 391 (SIT notes of April 29, 1999).</w:t>
        <w:br/>
        <w:t>According to the data in the file, the companies in the Agreement settled mutually what they owed each other for the preparation of accompanying estimates. They calculated the total amount of the commissions associated with the moves definitively awarded to a company, minus the total amount of the commissions from the moves in which that company had participated with accompanying estimates. There is evidence that the payment of these commissions was managed by issuing invoices for the provision of personnel services for packing and loading of the move or similar concepts, which were also completed with cash payments (folios 359-362, 407, 414-415, 540-541; 542 and 544-545). This compensation procedure by "commissions" is described based on the data collected during the inspection at the SIT headquarters:</w:t>
        <w:br/>
        <w:t>- In folio 358, SIT records what it owes to several companies for moves it carried out in 1997, for example, to S. Ortega for an amount of 1,014,969 pesetas.</w:t>
      </w:r>
    </w:p>
    <w:p>
      <w:r>
        <w:t>- In folio 374, SIT writes that the total in favor of S. Ortega is 1,014,969 pesetas, after subtracting the commissions related to the moves awarded to this company.</w:t>
        <w:br/>
        <w:t>The compensations of 35,000 or 15,000 pesetas that the companies in the Agreement agreed upon for a visit or budget respectively, according to the document "COMPETITION AGREEMENTS 1999" (folios 391-393), are evidenced in various documents from 1998 to 2001 in the file, collected from the inspection at the SIT headquarters, at the desk of its president, from the classifier labeled "Competition Agreements" (folios 391-547), according to the handwritten note from SIT of a summary of estimates requested from M. Rumbo: "He insists on collecting everything Talk to him" (folio 435), or those mentioned below:</w:t>
        <w:br/>
        <w:t>• Document dated September 30, 1998 with the following handwritten note from SIT: "On 4/19/99 I explain that the agreement was only for the MAE and 35,000 when the visit was actually made. I compromised and it is clear that whenever we tell him he has the visit: 35,000 for any movement; if we only ask for the budget 15,000" (folio 413).</w:t>
        <w:br/>
        <w:t>• Fax from 1999 summarizing actions given and received by SIT in relation to TRANSFEREX:</w:t>
        <w:br/>
        <w:t>SOURCE: Excerpt from folio 396 collected during the inspection at the SIT headquarters.</w:t>
        <w:br/>
        <w:t>• Summary of estimates from 1999 and 2000 from the ministries of Foreign Affairs, Defense, and Commerce requested by SIT from other companies in the Agreement such as Fluiters, TOLEDANA, INTERDEAN, TAMEX, Mundivan, Dávila, FLIPPERS, S. Ortega, and EDICT (folios 411, 416, 423, 425, 426, 429, 431, 438, 440, and 450):</w:t>
      </w:r>
    </w:p>
    <w:p>
      <w:r>
        <w:t>SOURCE: Excerpt from folio 399 collected during the inspection at the SIT headquarters.</w:t>
        <w:br/>
        <w:t>• Fax that SIT sent to EDICT regarding the services it requested in the year 2000 (folio 442), to which payments for visits and requested budgets were attached that are consistent with the data from the "COMPETITION AGREEMENTS 1999" (folios 391-393):</w:t>
        <w:br/>
        <w:t>[CONFIDENTIAL]</w:t>
        <w:br/>
        <w:t>SOURCE: Excerpt from folio 444 collected during the inspection at the SIT headquarters.</w:t>
        <w:br/>
        <w:t>According to the information from the cited documents, the companies in the Agreement compensated each other for the moves recorded in the ministries, as inferred from the handwritten notes of SIT in documents related to accompanying estimates that it requested or provided to other companies in the Agreement. SIT refers to this global compensation between two companies in the Agreement as "Arrangement." An example illustrates the global compensation between SIT and S. Ortega regarding the visits made from the total estimates delivered or received between both in three ministries (Foreign Affairs, Defense, and Commerce), settling ministry by ministry the visits made definitively and multiplying the total visits by the payment of 35,000 pesetas agreed upon per visit (paragraph (139)), so that in the Ministry of Foreign Affairs (MAE), 6 visits resulted in 210,000 pesetas which added to a visit from Commerce, gave a global result of 245,000 pesetas (210,000 pesetas + 35,000 pesetas). Additionally,</w:t>
      </w:r>
    </w:p>
    <w:p>
      <w:r>
        <w:rPr>
          <w:b/>
        </w:rPr>
        <w:t>[Pages 52–54]</w:t>
      </w:r>
    </w:p>
    <w:p>
      <w:r>
        <w:t xml:space="preserve">this data aligns with the information from the document "COMPETENCE AGREEMENTS 1999," whereby SIT only paid S. Ortega in cash for the visits and not for the estimates (folio 391).  </w:t>
        <w:br/>
        <w:t xml:space="preserve">SOURCE: Extract from folio 438 collected during the inspection of the SIT headquarters.  </w:t>
        <w:br/>
        <w:t xml:space="preserve">SOURCE: Extract from folio 440 collected during the inspection of the SIT headquarters.  </w:t>
        <w:br/>
        <w:t xml:space="preserve">The payment of monetary compensations for visits or accompanying estimates is evidenced in the document dated September 30, 1998, collected during the SIT inspection, which includes a list of relocations from the Ministries of Defense and Foreign Affairs, with the handwritten note from SIT "PAID" (folio 413), as well as in several faxes between EDICT and SIT starting on April 25, 2001, with a fax from EDICT to SIT regarding the monetary compensation for visits or accompanying estimates concerning a list of 52 moving services from the year 2000 (folios 444-450, 450-451), combined with the fax from SIT dated March 14, 2003 (folio 545), the fax from SIT dated March 18, 2003 (folios 542), and the final fax from EDICT dated July 7, 2005, closing the invoices issued between 2001 and 2003 and others pending payment (folios 540, 541, and 544). Debts with Vascongada and Euromonde are also closed according to an email dated September 18, 2013: "I am contacting you regarding the debt that exists today, on one side from Euromonde with La Vascongada, and on the other from Mudanzas Mundivan with Euromonde." (folio 7001).  </w:t>
        <w:br/>
        <w:t xml:space="preserve">b) Webmail Accounts  </w:t>
        <w:br/>
        <w:t xml:space="preserve">To carry out the consultation and obtain accompanying estimates, several moving companies from the Agreement, SIT, CABALLERO, FLIPPERS, TRANSFEREX, TOLEDANA, Vascongada, AGS, Dávila, Euromonde, G. Stauffer, and HASENKAMP, created Webmail accounts in 2008, which they also used for other types of communications with those interested in a relocation or among the employees of the companies in the Agreement. However, other companies in the Moving Agreement such as S. Ortega, M. Rumbo, PROCOEX, Fluiters, EDICT, and INTERDEAN used their corporate emails, with no record in the file indicating that they had Webmail accounts.  </w:t>
        <w:br/>
        <w:t xml:space="preserve">Based on the information contained in the FLIPPERS documents from 2009, "mail support list .doc.pdf" (folios 16800 and 16801) and the paper document collected from the ministries section of FLIPPERS (folios 970-972), as well as from the data of the numerous emails exchanged between moving companies in the Agreement, in which they requested accompanying estimates or "support" from one another, the creation and use of Webmail accounts in the practice of the Agreement is evidenced.  </w:t>
        <w:br/>
        <w:t xml:space="preserve">Several companies in the Agreement communicated through one or more Webmail accounts created for the management of the "support" System; however, others like SIT ceased to use them at a certain point and switched to telephone contact, according to an email dated June 14, 2010, with the subject "Gmail," collected during the inspection at the CABALLERO headquarters, from SIT to FLIPPERS, G. Stauffer, Vascongada, Dávila, HASENKAMP, S. Ortega, TRANSFEREX, and CABALLERO: "FOR SECURITY REASONS, ALL COMMUNICATIONS THROUGH THIS CHANNEL ARE DEFINITELY SUSPENDED. FROM NOW ON, ANY MUTUAL COMMUNICATION WILL BE DONE BY PHONE. THANK YOU + REGARDS" (folio 12025).  </w:t>
        <w:br/>
        <w:t xml:space="preserve">Other companies in the Agreement directly used their corporate emails as indicated, from which they sent or received emails from the Webmail accounts of the companies in the Agreement.  </w:t>
        <w:br/>
        <w:t xml:space="preserve">The use of these Webmail accounts is documented in several documents from the companies in the Agreement and in the notices or indications exchanged between these companies when they requested accompanying estimates from one another, for example:  </w:t>
        <w:br/>
        <w:t xml:space="preserve">- Paper document from FLIPPERS titled "TASKS Responsible for the Ministries and commercial-administrative department" indicating: "Respond and prepare 'gmail estimates'" (folio 645), or a 2008 document from FLIPPERS named "SUPPORTS CONVERT TO PDF FORMAT .doc.pdf," mentioning the email address where to receive a copy of the support estimate issued by another company: "ALWAYS WITH A COPY TO US: - INVIERNO.INVIERNO@GMAIL.COM" (folio 16854), both collected during the inspection at the FLIPPERS headquarters.  </w:t>
        <w:br/>
        <w:t xml:space="preserve">- Email dated May 18, 2012, between sales representatives of CABALLERO with the subject "SUPPORTS": "Girls, check the yahoo, you have supports and data to pass. There are no new requests" (folio 7963) or emails dated June 10, 2014, from CABALLERO to FLIPPERS: "Please send it to our yahoo email" (folios 4578 and 5205, collected during the inspection at the CABALLERO headquarters).  </w:t>
        <w:br/>
        <w:t xml:space="preserve">c) Management, Control, and Monitoring.  </w:t>
        <w:br/>
        <w:t xml:space="preserve">The Agreement was managed from SIT through one of its employees (hereinafter, the Agreement manager), who sent what the companies in the Agreement referred to as "the list" or "the listing" (folios 452-456) to the other companies for verification. According to the handwritten notes from the documents collected during the SIT inspection, he noted whether other companies had or did not have "the list" (folio 411), explained the agreement under which payment was made for visits and/or estimates, adjusted payments by companies, and compensated payments or "arrangements." In any case, "the list" was circulated among the companies in the Agreement so that, based on those listings, each of them would make the corresponding settlement according to the amount agreed per visit or per estimate to the companies in the Agreement that had helped to secure the award of each of the relocations carried out definitively (folio 442).  </w:t>
        <w:br/>
        <w:t xml:space="preserve">SOURCE: Extract from folio 399 collected during the inspection of the SIT headquarters.  </w:t>
        <w:br/>
        <w:t xml:space="preserve">SOURCE: Extract from folio 416 collected during the inspection of the SIT headquarters.  </w:t>
        <w:br/>
        <w:t xml:space="preserve">SOURCE: Extract from folio 423 collected during the inspection of the SIT headquarters.  </w:t>
        <w:br/>
        <w:t xml:space="preserve">SOURCE: Extract from folio 425 collected during the inspection of the SIT headquarters.  </w:t>
        <w:br/>
        <w:t xml:space="preserve">It is recorded in the file that the Agreement manager received compensation for monitoring, according to an email dated September 14, 2006, with the subject "M.E.C." from the Agreement manager to SIT: "In the meeting on June 14, 2006, it was decided that each group would organize the transport issue in their own way and you would only send me the data for statistical purposes. As my work is now minimal, I believe it is no longer appropriate to collect the commission that you decided to grant me at that time" [emphasis added] (folio 3225, collected from the inspection at the SIT headquarters). This commission was 0.5% as recorded in some of the previously mentioned listings:  </w:t>
        <w:br/>
        <w:t>SOURCE: Extract from folio 3226 collected during the inspection at the SIT headquarters (folio 3226).</w:t>
      </w:r>
    </w:p>
    <w:p>
      <w:r>
        <w:rPr>
          <w:b/>
        </w:rPr>
        <w:t>[Pages 55–57]</w:t>
      </w:r>
    </w:p>
    <w:p>
      <w:r>
        <w:t xml:space="preserve">SOURCE: Extract from folio 3227 collected during the inspection at the SIT headquarters (folio 3227).  </w:t>
        <w:br/>
        <w:t xml:space="preserve">The companies in the Moving Agreement kept accounts on the total number of estimates given or requested from other companies in the Agreement as recorded in various documents in the file.  </w:t>
        <w:br/>
        <w:t xml:space="preserve">The companies in the Agreement reported each other in emails and meetings of the Agreement when any of them deviated from what was agreed regarding minimum price fixing, market sharing, or the commercial conditions that could be offered to those interested in a relocation, as evidenced in the following paragraphs (in addition to what has already been noted regarding the actions of the companies in the Agreement within the GMI association).  </w:t>
        <w:br/>
        <w:t xml:space="preserve">Before the meeting of companies in the Moving Agreement on December 10, 2009, CABALLERO sent a denunciation email on December 3, 2009, with the subject "AT YOUR DISCRETION," to SIT, S. Ortega, FLIPPERS, Dávila, TOLEDANA, and Vascongada, regarding a relocation in which Vascongada reported a client of Caballero and issued an offer to the same below that of Caballero, which had been budgeted counting on two accompanying estimates from other companies in the Agreement, according to the excerpt copied below (folio 14994, collected during the inspection at the CABALLERO headquarters and paragraph 152 of the PCH):  </w:t>
        <w:br/>
        <w:t xml:space="preserve">“(...) Now I have three ways to act:  </w:t>
        <w:br/>
        <w:t xml:space="preserve">• the first, to remain silent and let everything continue its course (...) I would have no choice but to apply this action as a criterion of my future 'commercial' policy, that is, to report without corroborating, but despite that, to offer without caring a bit who is in the way or under what conditions and not even stopping to think that I am taking a client from a competing company 'AHEAD.' Conclusion: Everything positive created until now goes to hell.”  </w:t>
        <w:br/>
        <w:t>Examples of data collection on estimates given or requested from other moving companies, among others in folios: 392-393; 394; 396-402; 408-412; 416-422; 426-427; 429-430; 431; 432-437; 450-451; 549-551, collected during the inspection at the SIT headquarters; 650; “Ayudas 2013.xlsx” - tabs “NOS AYUDAN” and “AYUDAMOS” - (folio 16589), collected during the inspection at the FLIPPERS headquarters.</w:t>
      </w:r>
    </w:p>
    <w:p>
      <w:r>
        <w:t xml:space="preserve">(...) from this very moment I exclude my company from any type of conversation that takes place in this difficult, obtuse, and obscure environment. I could only reverse this regarding, (...) if the following two circumstances are met, in a verifiable and immediate manner: 1st.- Immediate withdrawal of the complaint against my Client 2nd.- Immediate withdrawal of the proposed economic offer recognizing the error in the broadest sense of the term.”  </w:t>
        <w:br/>
        <w:t xml:space="preserve">Furthermore, it is evidenced in the file through emails between the companies in the Agreement that explanations are requested when any acts outside of what is expected according to what was agreed:  </w:t>
        <w:br/>
        <w:t xml:space="preserve">- Exchange of emails from July 23, 2014, with the subject “supports” between executives of CABALLERO and AGS, regarding the request for an accompanying estimate that has been requested, collected during the inspection at the CABALLERO headquarters:  </w:t>
        <w:br/>
        <w:t xml:space="preserve">[CABALLERO]: “… Yesterday Euromonde experienced it and today Caballero has experienced it. In summary, it turns out that when you are asked for support (for which you are provided account, client name, and, of course, the figure), what you have been doing, instead of providing it, is using the data to contact the Client and try to 'bring them back to the fold'... I don’t know if your salespeople, using this practice, have had any success. (…). If with the Client they are left at the level of the dirt, imagine how AGS ESPAÑA looks before the competition (in this case Euromonde and Caballero). It is a real shame that we finally have to settle the relationships between the three companies [CABALLERO, AGS, and Euromonde] (…) In any case, unilaterally, I am obliged to 'quarantine the relationships' since the recent events do not allow for any other measure. For me, it is painful because we have always counted on you and your help has been very important to us, and I understand that reciprocally as well” (folio 5107).  </w:t>
        <w:br/>
        <w:t xml:space="preserve">[AGS] “As you rightly say, the commercial relationship has been fruitful between the two companies and I personally would like it to continue (…) The case where I want to delve deeper is that of [M], destined for Naples, although it is true that Caballero asked us for support on July 16, they were informed that we would tell them something later; as you well know, in many cases clients talk to more than one company, and we were already talking to this client, which is why you were not given the ok immediately (…) at no time was it said that they would NOT be supported, it is not true that your request was used to contact them, I can assure you, and our idea was to give you the ok this morning.”;  </w:t>
        <w:br/>
        <w:t xml:space="preserve">[CABALLERO]: “… seven days have passed since your supposed first contact with the Client....and you still say NAAAAADAAAAAA, being this the simplest thing. I in the same case, on the same day 16 (the day our request coincides with your contact) directly call you and tell you that there is nothing to do since we are in legitimate competition, especially since I have already been following the Client for two days prior. Since the times of Laurent, you always question any type of request we make (…) Your team, to say yes or no which only requires picking up a phone, needs 7 days? (…) Antonio [AGS] I am going to revoke the order given this morning but, honestly, if things are going to remain the same, I prefer that you be the one to tell me and thus we stop 'cooperating' before the relationship deteriorates further. Antonio, if we are here, it should be to help each other because for putting us in trouble, others that we both know take care of that.” [clarifications added] (folio 5114).  </w:t>
        <w:br/>
        <w:t xml:space="preserve">d) System of supporting estimates.  </w:t>
        <w:br/>
        <w:t xml:space="preserve">The Moving Agreement was implemented through the system of requesting supporting estimates or accompanying offers, whereby, based on the market distribution, a company in the Agreement requested two accompanying estimates from two other participating companies and communicated the price of its estimate above which they had to offer.  </w:t>
        <w:br/>
        <w:t xml:space="preserve">By way of example, the following explicit references collected in the instruction can be cited: “MOVING PRICE: ABOVE 17,650 EUROS (Including insurance)” (folio 3199, collected during the inspection at the SIT headquarters); “Our estimate is at 9,550 so it has to be higher!!!” (folio 6363, collected during the inspection at the CABALLERO headquarters); “Hello, the estimate you send me is cheaper than mine, can you change it?” (folio 9113, collected during the inspection at the CABALLERO headquarters); “For transport, insurance, and VAT above 12,100,--” (folio 14761, collected during the inspection at the CABALLERO headquarters); “above 10,100 euros is (including insurance)” (folio 17488, collected during the inspection at the FLIPPERS headquarters); “Here are the details, any price above ours is ok.” (folio 18204 collected during the inspection at the TRANSFEREX headquarters); “XXX calls a friendly group and on my part, please, raise Benjamin's estimate. They have been asked for 4 estimates)” (folio 19254, collected during the inspection at the TRANSFEREX headquarters).  </w:t>
        <w:br/>
        <w:t xml:space="preserve">In addition to the exchange of information to prepare the accompanying estimates or “support,” the file also contains the exchange of information between the companies in the Agreement related to the cost structure for road transport by mileage, cubic measurement, collection at origin and unpacking at destination, applied insurance, percentage to be added for maritime transport, or the expense for the Eurotunnel, according to an email from July 1, 2010, from M. Rumbo to CABALLERO, collected during the inspection at the CABALLERO headquarters (folios 12651-12653).  </w:t>
        <w:br/>
        <w:t xml:space="preserve">The file indicates that the companies in the Moving Agreement have integrated this System into their commercial policy, as evidenced by the following documents:  </w:t>
        <w:br/>
        <w:t>- In notes from the 2006 FLIPPERS document titled “summary EL CAIRO.rtf,” collected during the inspection at the FLIPPERS headquarters, there are</w:t>
      </w:r>
    </w:p>
    <w:p>
      <w:r>
        <w:rPr>
          <w:b/>
        </w:rPr>
        <w:t>[Pages 58–60]</w:t>
      </w:r>
    </w:p>
    <w:p>
      <w:r>
        <w:t xml:space="preserve">observations such as these: “Sit, Davila, Interdean, and Flippers. The supports should be to one of these except for Davila because they are surely behind it” (folio 17637). </w:t>
        <w:br/>
        <w:t xml:space="preserve">- In the case of SIT, a document dated July 8, 2007, collected during the inspection at the headquarters of this company, related to the Ministry of Defense, explains the procedure for registering support estimates requested by or to SIT. It notes that all communications of supports requested by SIT are kept in a “yellow folder” with the client header, estimate number 12345, and the ministry and origin/destination, as well as that “the data of Supports and/or fourth estimates must appear in the BD.” It identifies as (R) the rejected estimates that are supports to others or by communication from the interested party; (NP) the transferred estimates not offered that have been assigned an estimate number. Furthermore, it records that the estimates requested by SIT are noted as “AGREED + TOL-DA” and those requested from SIT as “PAP + TOL + AMOUNT.” Regarding the 4th and 5th estimates “(of competition),” these are indicated as “ID/FPP” and for the 4th requested by the ministry from SIT, as noted, depending on whether they are prepared in competition or support, they are marked with: “Agreed/Competition + 4th (various) + company (if it is support) + Amount (if it is support)” (folio 325). </w:t>
        <w:br/>
        <w:t xml:space="preserve">- In an email dated August 14, 2013, between sales representatives of CABALLERO, they inform that: “The Supports from other companies that I have been provided are on my desk in a folder labeled SUPPORTS. The issued Supports are in LUIS-INTERNATIONAL-SALES-EXP-SUPPORTS” (folio 6949). </w:t>
        <w:br/>
        <w:t xml:space="preserve">The file shows that the companies in the Agreement prepared a “support” estimate (X1) for other companies in the Agreement under less economically advantageous conditions, that is, without the intention of competing for the award of the move, or requested two estimates from other companies in the Agreement (X3) to accompany their own offer and be awarded the same, according to the following examples: </w:t>
        <w:br/>
        <w:t xml:space="preserve">- Email dated May 27, 2009, with the subject “DEFENSE X3 TO STRASBOURG” between executives of CABALLERO: “WE START WITH THE ISSUE OF PUTTING IN HIGH PRICES… THIS COSTS US LESS THAN HALF… I HAVE REQUESTED SUPPORTS FROM RODRIGÁLVAREZ AND FLIPPERS IF THEY ASK US FOR 4TH IT WILL BE TO DÁVILA AND ANOTHER” [underline added] (folio 13599). </w:t>
        <w:br/>
        <w:t>- Email dated June 7, 2011, from CABALLERO: “…add from now on more tabs like DEFENSE, MAEC LAND OFFERED X3 IN ADDITION TO CLOSED AND APPROVED TRAFFIC” [underline added] (folio 10634); or an internal email dated December 19, 2013, in which the executive of CABALLERO indicates to the sales representatives: “Continuously and monthly pass an Excel sheet to determine the operations and the commissions assigned for each of the operations: the approved amount will be noted and the commissioned amount if it was x3 and if it was x1.-” [underline added] (folio 7168).</w:t>
      </w:r>
    </w:p>
    <w:p>
      <w:r>
        <w:t xml:space="preserve">In certain cases, the companies in the Agreement agreed to handle two accompanying estimates instead of one, as evidenced by the following documents: </w:t>
        <w:br/>
        <w:t xml:space="preserve">- Email from 2005 between sales representatives of FLIPPERS and Dávila, collected during the inspection at the headquarters of FLIPPERS: [FLIPPERS] “XXX [from FLIPPERS] has already spoken with XXX [from DAVILA] and you would prepare the 2 support estimates and send them directly to the UCI” (folios 17754 and 17776); or in another email: [Dávila] “…sorry a question, do we have to make just one support estimate or do we have to support you with two,” to which FLIPPERS responds: “FROM [JLSD], you only prepare ONE ESTIMATE” (folio 17758). </w:t>
        <w:br/>
        <w:t xml:space="preserve">- Emails dated May 19, June 22, and July 6, 2006, from a sales representative of FLIPPERS to a sales representative of Dávila, collected during the inspection at the headquarters of FLIPPERS: “YOU WOULD BE IN CHARGE OF PREPARING THE 2 SUPPORT ESTIMATES.” (folio 17489); “You are in charge of the “2 estimates”” (folios 1043-1044); “I’m sending you the data so you can prepare the other 2 estimates. (…) Tell XXX [DAVILA] to explain to you about the "2 estimates"” [clarification added] (folio 17306). </w:t>
        <w:br/>
        <w:t xml:space="preserve">The companies in the Agreement explored the option of directly offering the three estimates to the interested party in a moving service, as recorded in internal notes of reports related to visits or general compilations about relocations. For example: </w:t>
        <w:br/>
        <w:t xml:space="preserve">- In annotations from the 2006 FLIPPERS document titled “summary EL CAIRO.rtf,” observations such as these are found: “I leave you the information and sell you on the 3pp that apparently was not clear to you. I tell you that we can prepare everything for you and that to any country you go it is better that we control it. He seems convinced.” …“Remember that at Cervantes we cannot present the 3pp” (folio 17637). </w:t>
        <w:br/>
        <w:t>- Other examples where the interested party reminds the company in the Agreement of their offer regarding the three estimates: “You told me you would send me the three estimates. Is that so?” (folio 2496, collected during the inspection at the headquarters of SIT); “So far I have only received this estimate and not the others we agreed upon” (folio 2513, collected during the inspection at the headquarters of SIT); “…to come here it happened to me that I did that with another company, Flippers I think, who sent me the 3 estimates herself as you are telling me now (…)” (folios 2537, collected during the inspection at the headquarters of SIT); “As we agreed over the phone, could you take care of that and provide it to me” (folio 16534, collected during the inspection at the headquarters of FLIPPERS); according to an email from a sales representative of FLIPPERS to the interested party: “I am still waiting for the original estimate from DAVILA. I will probably have it by Wednesday and I can send you the estimates again via DHL.” (folio 17183, collected during the inspection at the headquarters of FLIPPERS).</w:t>
      </w:r>
    </w:p>
    <w:p>
      <w:r>
        <w:t xml:space="preserve">Once the procedure for obtaining/managing the three estimates for a relocation has begun, the company in the Agreement that is handling it, on one hand, contacts the other two and coordinates with them to provide the two accompanying estimates and, on the other hand, informs the interested party in the relocation. Some examples illustrating these two-way communications, with the interested party and with companies in the Agreement, are collected: </w:t>
        <w:br/>
        <w:t xml:space="preserve">“… with Interdean we can do something…, please call them and tell them that it is prepared with SIT” (folio 3126, collected during the inspection at the headquarters of SIT); “From the company Transferex, you will receive the other estimate and you will have all 3 (Hasenkamp, Flippers, and Transferex)” (folio 16321, collected during the inspection at the headquarters of FLIPPERS); “the estimate [Toledana] is not correct. They will send you another corrected one” (folio 16530, collected during the inspection at the headquarters of FLIPPERS); “the estimates have already been sent to you, specifically Flippers on January 11” (folios 232 and 252, collected during the inspection at the headquarters of SIT); “When are you going to send me the other two offers? One question. CABALLERO and FILTERS are asking me if I have news, if their offers are competitive, etc… what should I respond?” to which TRANSFEREX responds: “I hope you receive them tomorrow or at the latest on Monday. Don’t tell them anything for now…..” (folio 18026, collected during the inspection at the headquarters of TRANSFEREX). </w:t>
        <w:br/>
        <w:t xml:space="preserve">In this regard, it is also evidenced that the companies in the Agreement directly provide the interested party in a relocation with the accompanying estimates from other supposedly competing companies in the Agreement, as can be seen in the 2011 email from CABALLERO to an interested party in a relocation, where he attaches the support estimate and inventories received from AGS previously (folios 11865-11873 and 11874-11882); or in another email from that same year in which CABALLERO indicates to the interested party: “I attach both my estimate and that of Sancho Ortega” (folio 11831-11834). TOLEDANA sends an interested party an estimate in a 2007 email that mistakenly had the subject: “5367SUPPORT SIT COMMERCE” [underline added] (folio 3106, collected during the inspection at the headquarters of SIT). </w:t>
        <w:br/>
        <w:t>Regarding the offering to potential clients of providing the three estimates by the same moving company, CABALLERO prepared a promotional brochure about its services in which it stated “IF YOUR RELOCATION IS COVERED BY THE ADMINISTRATION (…) we provide you with the three estimates (…)” (folio 3 incorporated by the DC into the file). On September 18, 2013, executives from SIT exchanged opinions on possible actions regarding this announcement from CABALLERO that was posted on the website of the Spanish Association of Civil Guards: “…a Civil Guard of our absolute trust should request the moving estimate from Caballero and report him to the Madrid Consumer Information Office or to the Court for not respecting the competition rules by directly offering him the 3 estimates. It must be said differently because the words “competition,” “unfair competition,” and similar terms would bring the National Competition Commission into play, which pulls the thread from all sides and from all agencies and could harm us, and a lot, to all companies because the fines</w:t>
      </w:r>
    </w:p>
    <w:p>
      <w:r>
        <w:rPr>
          <w:b/>
        </w:rPr>
        <w:t>[Pages 61–63]</w:t>
      </w:r>
    </w:p>
    <w:p>
      <w:r>
        <w:t>mentioned that they have received requests for support from companies outside the Agreement, but these instances are rare and do not alter the established practices among the companies involved.</w:t>
      </w:r>
    </w:p>
    <w:p>
      <w:r>
        <w:t>The evidence collected shows a clear pattern of collaboration and mutual assistance in the preparation of accompanying estimates, which is indicative of the companies' intent to maintain control over pricing and market behavior. This behavior raises concerns regarding compliance with competition laws, as it suggests a coordinated effort to manipulate pricing structures and limit competition in the moving services market.</w:t>
      </w:r>
    </w:p>
    <w:p>
      <w:r>
        <w:t>In conclusion, the practices observed among the companies in the Agreement, including the exchange of estimates, references, and the coordination of pricing strategies, demonstrate a significant level of collusion that could have serious legal implications under applicable competition regulations. The potential for substantial fines and penalties from the Comisión Nacional de la Competencia underscores the need for these companies to reassess their practices and ensure compliance with legal standards to avoid detrimental consequences.</w:t>
      </w:r>
    </w:p>
    <w:p>
      <w:r>
        <w:rPr>
          <w:b/>
        </w:rPr>
        <w:t>[Pages 64–66]</w:t>
      </w:r>
    </w:p>
    <w:p>
      <w:r>
        <w:t>requested accompanying estimates sporadically from other moving companies regarding which the instructing body has not gathered evidence that allows concluding that they have been incorporated into the Agreement.</w:t>
      </w:r>
    </w:p>
    <w:p>
      <w:r>
        <w:t>7. Practice of the Moving Agreement for relocations of the EFE Agency.</w:t>
      </w:r>
    </w:p>
    <w:p>
      <w:r>
        <w:t>Regarding the application of the Moving Agreement by the companies SIT, INTERDEAN, and HASENKAMP for relocations of the EFE Agency, it was the Agency that requested the estimate from the moving companies (folios 469 and 2165, 2166, 2167, 2322, 2323).</w:t>
      </w:r>
    </w:p>
    <w:p>
      <w:r>
        <w:t>The file shows that these three companies in the Agreement followed a similar procedure to that explained for the estimates of the ministries in previous paragraphs, that is, distribution of the planned relocations and monitoring of the relocations carried out by each company in the agreement. For example, a fax from January 2000 from INTERDEAN to SIT, regarding the relocations carried out by INTERDEAN (folio 394, collected during the inspection at SIT's headquarters); or a list of invoices issued by SIT to the EFE Agency, given that the document comes from the "Ac. Competence" classifier of the desk of the president of SIT collected during the inspection of its headquarters, with handwritten annotations of the total awarded to SIT and INTERDEAN during 1999 (folio 395).</w:t>
      </w:r>
    </w:p>
    <w:p>
      <w:r>
        <w:t>Similarly, several documents from the "EFE Agency" folder of the desk of the vice president of SIT, collected during the inspection at SIT's headquarters, contain similar information: lists of relocations and annotations of the totals carried out by each moving company in the agreement (folios 503-522).</w:t>
      </w:r>
    </w:p>
    <w:p>
      <w:r>
        <w:t>According to the handwritten annotation of the SIT document from 1999, SIT and INTERDEAN compensated for the difference between the total relocations of the EFE Agency assigned to one or the other, multiplying the difference by 100,000 pts in favor of whoever had carried out fewer relocations (folio 395).</w:t>
      </w:r>
    </w:p>
    <w:p>
      <w:r>
        <w:t>SOURCE: Extract from folio 395 collected during the inspection at SIT's headquarters.</w:t>
      </w:r>
    </w:p>
    <w:p>
      <w:r>
        <w:t>In the mentioned documents, there are handwritten annotations from SIT with totals of prices awarded to each of the companies in the EFE Agency Agreement.</w:t>
      </w:r>
    </w:p>
    <w:p>
      <w:r>
        <w:t>The applicant for the reduction of the fine has revealed that the companies in the Agreement contacted each other to communicate the price at which one of them was going to budget for the relocation award, so that the others would prepare their estimates at a higher price. Likewise, INTERDEAN has indicated that the communications took place via telephone and provides a list of phone calls that corresponds temporally with the date of the preparation of the offers that INTERDEAN identifies as agreed with SIT and HASENKAMP (folios 2166, 20005-20006 and 20008-20009).</w:t>
      </w:r>
    </w:p>
    <w:p>
      <w:r>
        <w:t>LEGAL GROUNDS</w:t>
      </w:r>
    </w:p>
    <w:p>
      <w:r>
        <w:t>FIRST.- COMPETENCE TO RESOLVE</w:t>
      </w:r>
    </w:p>
    <w:p>
      <w:r>
        <w:t>According to Article 5.1.c) of Law 3/2013, of June 4, creating the National Commission of Markets and Competition, the CNMC is responsible for "applying the provisions of Law 15/2007, of July 3, regarding conduct that prevents, restricts, and distorts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w:t>
      </w:r>
    </w:p>
    <w:p>
      <w:r>
        <w:t>Consequently, the competence to resolve this sanctioning procedure corresponds to the Competition Chamber of the CNMC Council.</w:t>
      </w:r>
    </w:p>
    <w:p>
      <w:r>
        <w:t>SECOND.- OBJECT OF THE RESOLUTION AND APPLICABLE REGULATIONS</w:t>
      </w:r>
    </w:p>
    <w:p>
      <w:r>
        <w:t>In the present sanctioning file, this Chamber must resolve, based on the instruction carried out by the DC, which is reflected in the Report and Proposal for Resolution, whether the investigated practices constitute an infringement of Articles 1 of the LDC 1989 and the LDC 2007, as well as Article 101 of the TFEU, consisting of market-sharing agreements, price fixing, and other commercial conditions, as well as the exchange of sensitive commercial information regarding the procedure for submitting offers or estimates, in the market for the provision of international moving services. According to the instruction carried out by the DC, the companies involved would have reached and implemented an agreement to "fix prices and other commercial conditions and share the market for the provision of international moving services, by establishing quotas, respecting relocations and clients, and exchanging sensitive information to manipulate the process of submitting offers for such relocations, and marginally also coordinating the international moving services of employees of private companies and even individuals" (paragraph 181 of the PCH).</w:t>
      </w:r>
    </w:p>
    <w:p>
      <w:r>
        <w:t>Regarding the applicable regulations, according to the first transitional provision of the LDC 2007, sanctioning procedures regarding prohibited conduct initiated before the entry into force of this Law will be processed and resolved according to the provisions in force at the time of their initiation, which does not prevent, in the case of continued infringements carried out during the validity of the previous Competition Defense Law, Law 16/1989, and the currently in force, from the qualification of the described practices being carried out taking into account the periods of validity of each of these Laws.</w:t>
      </w:r>
    </w:p>
    <w:p>
      <w:r>
        <w:t>The DC considers that the analyzed conduct is a practice prohibited by Article 1 of both competition laws. The DC understands that this conduct corresponds to the legal definition of a cartel, as it consisted of the adoption and implementation of price-fixing agreements as well as commercial distribution conditions. Therefore, it would be a very serious infringement, with a duration in time that varies partially from one case to another.</w:t>
      </w:r>
    </w:p>
    <w:p>
      <w:r>
        <w:t>As the Council of the CNC has repeatedly pointed out in its resolutions, a criterion that this Competition Chamber fully shares (thus, in the Resolutions of December 4, 2014, Expte. S/0453/12 Railway Bearings and May 26, 2016, Expte. S/DC/0504/14 AIO), it would be indifferent to apply one legal provision or another, opting for one of the two laws, although, according to the provisions of Article 128 of Law 30/1992, of November 26, on the Legal Regime of Public Administrations and Common Administrative Procedure, it must be the one that is more beneficial for the infringer in the specific case, according to the principles of non-retroactivity of the more unfavorable sanctioning norm and retroactivity of the more favorable one.</w:t>
      </w:r>
    </w:p>
    <w:p>
      <w:r>
        <w:t>The more favorable nature of the application of Law 15/2007 has been recognized on previous occasions not only by the Council of the CNC and the CNMC but also by the National Court, which in its judgment of April 2, 2014 (appeal 194/2011, of L'OREAL ESPAÑA S.A. and L'OREAL S.A.), stated the following:</w:t>
      </w:r>
    </w:p>
    <w:p>
      <w:r>
        <w:t>"In the following reason, the plaintiff claims that the CNC has made an undue retroactive application of Law 15/2007. In this regard, it is worth highlighting that the conduct attributed would have begun on February 8, 1989, would have continued during the validity of Law 16/1989, of July 17, on Competition Defense, and would have continued under Law 15/2007, of July 3, on Competition Defense, which came into force on September 1, 2007, until February 28, 2008.</w:t>
      </w:r>
    </w:p>
    <w:p>
      <w:r>
        <w:t>Since the initiation of the file occurred on June 16, 2008, its processing has been carried out in accordance with the procedural norms of Law 15/2007, as it results, sensu contrario, from what is established in the First Transitional Provision of the aforementioned legal text, which states that "Sanctioning procedures in</w:t>
      </w:r>
    </w:p>
    <w:p>
      <w:r>
        <w:rPr>
          <w:b/>
        </w:rPr>
        <w:t>[Pages 67–69]</w:t>
      </w:r>
    </w:p>
    <w:p>
      <w:r>
        <w:t>transitional provisions of the aforementioned legal text, which states that “The sanctioning procedures for prohibited conduct initiated before the entry into force of this Law shall be processed and resolved in accordance with the provisions in force at the time of their initiation.”</w:t>
      </w:r>
    </w:p>
    <w:p>
      <w:r>
        <w:t>However, regarding substantive law, it should be noted that notwithstanding the fact that the conduct regulated by Article 1 of both laws is identical, the sanctioning regime designed by Law 15/2007 is, from a global perspective, more favorable to the offenders than that contemplated by the previous Law 16/1989. This is evident, among other elements of judgment, from the system of classification of infringements that was nonexistent in the previous legislation, the establishment of maximum limits on the amount of some sanctions that are lower than the general amount provided for by Article 10 of Law 16/1989, the reduction of the limitation periods for some of the classified conducts, or the particularly noteworthy possibility, common to all who have participated in a cartel, to request exemption or reduction of the sanction.</w:t>
      </w:r>
    </w:p>
    <w:p>
      <w:r>
        <w:t>Therefore, since both laws sanctioned exactly the same conducts, their treatment is identical as well as the quantification of the fine, since both indicate that the amount may be increased up to 10% of the sales volume corresponding to the fiscal year immediately preceding the resolution of the Court, it cannot be stated that the new Law is more detrimental to the plaintiff than the old one.</w:t>
      </w:r>
    </w:p>
    <w:p>
      <w:r>
        <w:t>This appreciation of Law 15/2007 as more favorable results, among other elements of judgment, from the system of classification of infringements that was nonexistent in the previous legislation, the establishment of maximum limits on the amount of some sanctions that are lower than the general amount provided for by Article 10 of Law 16/1989, the reduction of the limitation periods for some of the classified conducts, or the possibility, common to all who have participated in a cartel, to request exemption from the payment of the fine or reduction of its amount, in application of the Leniency Program, introduced precisely by Law 15/2007 in its Articles 65 and 66.</w:t>
      </w:r>
    </w:p>
    <w:p>
      <w:r>
        <w:t>The possibility available to any entity that has participated in a cartel to benefit from the Leniency Program has been concretized in this file in the case of one of the companies involved, INTERDEAN, which requested a reduction of the fine amount within the framework of the aforementioned Article 66 of the LDC 2007.</w:t>
      </w:r>
    </w:p>
    <w:p>
      <w:r>
        <w:t>This Chamber considers that the application of Articles 65 and 66 of the LDC cannot be understood as a mere procedural aspect, but rather substantive, and that precisely the possibility of benefiting from its application in cartel cases is one of the elements that determines that the applicable norm in the present sanctioning procedure is Law 15/2007, as it is understood to be more favorable to all parties in the abstract. This has also been pointed out by the now-defunct CNC in various resolutions.</w:t>
      </w:r>
    </w:p>
    <w:p>
      <w:r>
        <w:t>In light of the more beneficial nature of Law 15/2007, this is the applicable norm to the present sanctioning procedure.</w:t>
      </w:r>
    </w:p>
    <w:p>
      <w:r>
        <w:t>For its part, Article 101.1 of the Treaty on the Functioning of the European Union establishes that “All agreements between undertakings, decisions by associations of undertakings and concerted practices which may affect trade between Member States and which have as their object or effect the prevention, restriction or distortion of competition within the internal market shall be incompatible with the internal market and prohibited…”</w:t>
      </w:r>
    </w:p>
    <w:p>
      <w:r>
        <w:t>The moving shipments that leave or enter Spain, or that are transferred between countries, can be managed by any international moving company, whether national or foreign, and their destination can be any Member State of the European Union. On the other hand, some of the companies involved are subsidiaries or affiliates of multinational companies—both Spanish and foreign—or Spanish companies that operate throughout the EEA.</w:t>
      </w:r>
    </w:p>
    <w:p>
      <w:r>
        <w:t>Given that the scope of the investigated conducts has extended to the entire national territory and are likely to have a significant effect on intra-community trade, as well as to compartmentalize the national market, they constitute a potential competitive disadvantage for new entrants to the market, and significantly hinder the economic interpenetration pursued by the Treaty. According to established doctrine and as repeatedly pointed out by the Competition Authority, if the practices being analyzed have a national scope, as is the case, it must be understood that they are likely to affect intra-community trade appreciably.</w:t>
      </w:r>
    </w:p>
    <w:p>
      <w:r>
        <w:t>To the extent that the collusive agreements analyzed in this file are likely to have effects on intra-community trade, Article 101 of the TFEU is also applicable.</w:t>
      </w:r>
    </w:p>
    <w:p>
      <w:r>
        <w:t>THIRD.- PROPOSAL FOR RESOLUTION OF THE INSTRUCTING BODY</w:t>
      </w:r>
    </w:p>
    <w:p>
      <w:r>
        <w:t>Upon completion of the instruction of the file, taking into account the information contained therein, the DC understands that the existence of a practice prohibited by Article 1 of Law 16/1989, Article 1 of the LDC, and Article 101 of the TFEU, constituting a cartel, consisting of the adoption of agreements between the involved companies for market sharing, price fixing, and other commercial conditions, and the exchange of sensitive commercial information regarding the procedure for submitting offers or estimates for international moving services, has been established.</w:t>
      </w:r>
    </w:p>
    <w:p>
      <w:r>
        <w:t>The DC indicates in its PCH (paragraphs 181 and 182) that “[...] the companies participating in the Moving Agreement would have acted in a concerted manner to fix prices and other commercial conditions and share the market for the provision of international moving services, through the establishment of quotas, the respect of transfers and clients, and the exchange of sensitive information for the manipulation of the bidding process for such moves, and marginally also coordinating the international moving services for employees of private companies and even individuals. These prohibited practices have been carried out since at least 1997, remaining in force until at least the inspections carried out by the CNMC in November 2014.”</w:t>
      </w:r>
    </w:p>
    <w:p>
      <w:r>
        <w:t>Specifically, the legal qualification formulated by the DC in its Proposal for Resolution (paragraph 377) is that “the agreements adopted and implemented by [the involved companies] through contacts and meetings between representatives of those companies constitute a practice prohibited by Article 1 of Law 16/1989, Article 1 of the LDC, and Article 101 of the TFEU (insofar as it has affected intra-community trade), which falls within the definition of cartel. The object of such practices has been market sharing, price fixing, and other commercial conditions, and the exchange of sensitive commercial information regarding the procedure for submitting offers or estimates for international moving services, with the analyzed conducts having begun under the validity of Law 16/1989 and continuing after the entry into force of the current Law 15/2007.”</w:t>
      </w:r>
    </w:p>
    <w:p>
      <w:r>
        <w:t>On this basis, the instructing body proposes to declare eighteen involved companies responsible and that one of them be subject to the reduction established in Article 66 of the LDC.</w:t>
      </w:r>
    </w:p>
    <w:p>
      <w:r>
        <w:t>FOURTH.- ASSESSMENT OF THE COMPETITION CHAMBER</w:t>
      </w:r>
    </w:p>
    <w:p>
      <w:r>
        <w:t>4.1.- Illegality of the conduct</w:t>
      </w:r>
    </w:p>
    <w:p>
      <w:r>
        <w:t>Article 1 of the LDC prohibits “any agreement, decision or collective recommendation, or concerted or consciously parallel practice that has as its object, produces or may produce the effect of preventing, restricting or distorting competition in whole or in part of the national market and, in particular, those consisting of a) The direct or indirect fixing of prices or other commercial or service conditions” [...] c) The sharing of the market or sources of supply. [...]”</w:t>
      </w:r>
    </w:p>
    <w:p>
      <w:r>
        <w:t>Likewise, the fourth additional provision 2 of the LDC states that “a cartel is understood to be any secret agreement between two or more competitors whose object is the fixing of prices, production or sales quotas, market sharing, including fraudulent bidding, or the restriction of imports or exports.”</w:t>
      </w:r>
    </w:p>
    <w:p>
      <w:r>
        <w:t>This Competition Chamber confirms that the file contains sufficient evidence and probative elements to establish the effective commission of the conducts attributed. Such evidence includes the information provided by the applicant for the reduction of the fine, the data and documentation collected during the inspections carried out, and the information provided as a result of the corresponding</w:t>
      </w:r>
    </w:p>
    <w:p>
      <w:r>
        <w:rPr>
          <w:b/>
        </w:rPr>
        <w:t>[Pages 70–72]</w:t>
      </w:r>
    </w:p>
    <w:p>
      <w:r>
        <w:t>requirements for information made to the companies involved and to the contractors of international moving services.</w:t>
      </w:r>
    </w:p>
    <w:p>
      <w:r>
        <w:t>Without prejudice to the fact that, in the section relating to liability, this Chamber will rule on the specific individualization of the charges made against each of the companies involved, it is appropriate here to assess whether the investigated practices constitute a single and continuous infringement of Article 1 of the LDC and of Law 16/1989, as well as Article 101 of the TFEU, constituting a cartel, consisting of price fixing and other commercial conditions and the market allocation for the provision of international moving services, through the establishment of quotas, the respect of relocations and clients, and the exchange of sensitive information for the manipulation of the bidding process for such moves.</w:t>
      </w:r>
    </w:p>
    <w:p>
      <w:r>
        <w:t>Through the instruction carried out, the DC has presented sufficient evidence, from various sources, consistent with each other, that conclusively demonstrates the effective existence of such cartel infringement, instrumentalized through the mechanisms mentioned above in section V, entitled Established Facts, as well as the participation in the described conduct of the companies involved, with the exceptions indicated below.</w:t>
      </w:r>
    </w:p>
    <w:p>
      <w:r>
        <w:t>The developed infringement is further subdivided into four types of conduct: (i) market allocation, (ii) price fixing, (iii) fixing of commercial conditions, and (iv) exchange of sensitive information. In some cases, the companies involved participated in all the conducts, while in others, the commission of some of them has been established.</w:t>
      </w:r>
    </w:p>
    <w:p>
      <w:r>
        <w:t>The constitutive elements of the infringement for each type of conduct are briefly outlined below, avoiding repetitions as much as possible - which are somewhat inevitable and at the same time useful for a better understanding of the infringement - with what has already been presented in the section of Established Facts.</w:t>
      </w:r>
    </w:p>
    <w:p>
      <w:r>
        <w:t>(i) market allocation: establishment of quotas, respect for relocations, respect for clients</w:t>
      </w:r>
    </w:p>
    <w:p>
      <w:r>
        <w:t>Market allocation has been agreed upon through various forms during the cartel's operation from 1997 and, at least, until November 2014. It has been established that the cartel companies allocated the moves according to a pre-established quota and based on the moves actually carried out by each company in the Moving Agreement. Each company in the Agreement had an assigned percentage that was modulated based on the circumstances under which each one obtained the award of the relocations, for example, if they only submitted estimates against companies in the Agreement, which allowed for higher prices, or if there were companies outside the Agreement that forced a more competitive price offer. The manager of the Agreement adjusted the percentage assigned to a company in the Agreement based on the moving companies inside or outside the Agreement (“outsiders”) that had submitted estimates, either by lowering the pre-assigned percentage or by adjusting the allocation of relocations among the companies in the Agreement.</w:t>
      </w:r>
    </w:p>
    <w:p>
      <w:r>
        <w:t>Market allocation also took place through different agreements among the participating companies in the Moving Agreement to respect the relocations of the Administration, at least from 1999 until November 2014, agreements that were modified and adapted throughout the duration of the Agreement, based on the affinities between participating companies, the specific conflicts that arose at certain times among them, or in reaction to the requirements that the Administrations were imposing on the moving companies with which they regularly worked.</w:t>
      </w:r>
    </w:p>
    <w:p>
      <w:r>
        <w:t>Furthermore, the allocation of the international moving market among the participating companies in the Agreement was carried out through the respect of clients. The companies in the Agreement agreed to mutually respect certain clients, usually if (i) a particular client had previously made a move with a company in the Agreement or (ii) if a company in the Agreement had initially estimated one of the three estimates provided by the client or (iii) an interested party in a relocation expressed interest in carrying it out with a moving company, in which case that company in the Agreement communicated it directly to other companies in the Agreement, which carried out the necessary verifications to confirm it.</w:t>
      </w:r>
    </w:p>
    <w:p>
      <w:r>
        <w:t>In addition to the evidence collected during the instruction, demonstrating how the cartel companies consulted each other regarding which client belonged to whom as established in paragraphs (122) and (174) of the PCH, and as an illustrative example of the actions of the cartel companies imposing rules to maintain client respect, the following documentary evidence should be noted: “It is decided that, upon request for a fourth estimate by the Ministry to another company/group, they 'must' locate the company that is theoretically the 'owner' of that client in order to support it and ensure that it gets the offer (…) finally, we have managed to establish a criterion regarding the fourth/fifth estimates.”</w:t>
      </w:r>
    </w:p>
    <w:p>
      <w:r>
        <w:t>(ii) price fixing</w:t>
      </w:r>
    </w:p>
    <w:p>
      <w:r>
        <w:t>The companies in the Moving Agreement agreed, in meetings or by telephone, to set the price at which a move or relocation had to be carried out, or the minimum price above which accompanying estimates had to be submitted, given that the economic criterion is the only one followed by the Administration to approve the expenditure among the offers received from moving companies for a relocation. When a company in the Agreement was assigned or respected a relocation or client, it primarily sent the necessary data for the preparation of accompanying estimates to be submitted to the interested party or the Administration by email and phone, with the objective that the other companies in the Agreement would tailor them to the case with economically less advantageous estimates so as not to become the awardees of those files.</w:t>
      </w:r>
    </w:p>
    <w:p>
      <w:r>
        <w:t>This is a variant of bid manipulation common in cases of collusive bidding, where the supposed competitors, once the winner for each planned contract is designated, deliberately submit bids above a certain agreed amount, thus creating the false appearance that the winning bid is the most competitive (cover bidding).</w:t>
      </w:r>
    </w:p>
    <w:p>
      <w:r>
        <w:t>In the section of Established Facts, reference is made to the numerous cases in which it is evident that the cartel companies communicated the prices of the estimates above which they had to bid.</w:t>
      </w:r>
    </w:p>
    <w:p>
      <w:r>
        <w:t>From the information in the file, the establishment of minimum prices for relocations is also widely evidenced. By way of example, the email dated July 5, 2010, from CABALLERO to EDICT, collected during the inspection of CABALLERO's headquarters: “In the meeting, we discussed some minimum rates and it was agreed to send them to those from the other group to see the possibility of them adopting them. If we receive the ok from the other group, we will all apply them.”</w:t>
      </w:r>
    </w:p>
    <w:p>
      <w:r>
        <w:t>The companies in the Moving Agreement reacted over time to different situations that the Administrations posed in the management of contracts. For example, certain ministries such as Education and Defense directly requested estimates from the moving companies that usually collaborated in the relocations of their officials, so in order to optimize the management of the selection of the offer to which the relocation would be awarded, they formed groups of companies. This situation complicated the management.</w:t>
      </w:r>
    </w:p>
    <w:p>
      <w:r>
        <w:rPr>
          <w:b/>
        </w:rPr>
        <w:t>[Pages 73–75]</w:t>
      </w:r>
    </w:p>
    <w:p>
      <w:r>
        <w:t>of the Agreement regarding the setting of minimum prices, because moving companies outside the Agreement entered the groups formed by the ministries and submitted lower bids than those of the companies in the Agreement, winning the contracts. The companies in the Agreement reacted to maintain control of the Agreement, attempting to make it difficult for companies outside the Agreement to be contracted by the ministries, through letters or complaints against such moving companies to the ministerial departments, and/or making exceptions to the agreed minimum price fixing, allowing interested companies in the Agreement to offer lower prices to have chances of being awarded the contracts.</w:t>
      </w:r>
    </w:p>
    <w:p>
      <w:r>
        <w:t>In 2014, in order to reduce moving expenses, certain ministries such as Foreign Affairs and Defense established a framework of maximum annual prices to be paid per relocation according to origin/destination and cubic measurement brackets, that is, the ministry would pay a maximum of the price established in that annual framework. To prepare that framework or chart of maximum prices, each ministry requested the collaboration of several moving companies to independently provide the indicative prices that each applied for the origin/destination cities and cubic measurement of the chart, with the aim of averaging all those received from each of them to serve as a basis for the final one that the ministry would publish and apply the following year. The ministries requested these indicative prices from all companies that regularly provided moving services for the relocations of their officials, as in the case of Defense, or, as in the case of Foreign Affairs, from a smaller group of five companies selected by the ministry applying a series of evaluative criteria known to all of them.</w:t>
      </w:r>
    </w:p>
    <w:p>
      <w:r>
        <w:t>Faced with this situation of reduced moving expenses by the Administration, the companies in the Moving Agreement reacted by pre-agreeing the prices that each would present to the ministry. When the companies in the Agreement received communication from the ministries to submit prices by origin/destination and cubic measurement, they contacted each other by email to hold meetings or exchanges of information about the prices applied by each, in order to jointly agree on the prices that each would subsequently submit to the ministry.</w:t>
      </w:r>
    </w:p>
    <w:p>
      <w:r>
        <w:t>Paragraphs (133), (134), and (135) of the PCH literally contain emails between the companies involved that constitute evidence of the prior joint price fixing that the companies subsequently sent individually to the requesting ministry.</w:t>
      </w:r>
    </w:p>
    <w:p>
      <w:r>
        <w:t>(iii) fixing of commercial conditions</w:t>
        <w:br/>
        <w:t>The PCH also contains evidence of the agreement on the complementary services that the cartel companies decided to offer consensually to the ministries, such as the number of free months of storage, cleaning or painting of the destination house, transportation of pets, pickups before the award, multiple pickups or deliveries in Spain, or excess volume in relocations.</w:t>
      </w:r>
    </w:p>
    <w:p>
      <w:r>
        <w:t>And this despite the fact that the ministries clearly stipulated that the cubic measurement of the estimates had to be the actual one and not the maximum authorized, as well as the concepts exclusively included and those not included.</w:t>
      </w:r>
    </w:p>
    <w:p>
      <w:r>
        <w:t>It was about commercial conditions recorded in paragraph (136) of the PCH, agreed upon among direct competitors in the sector, different from what the payer established as payment conditions and expenses related to the concept of transportation, as confirmed by the ministries and public bodies in their responses to the information request from the Directorate of Competition.</w:t>
      </w:r>
    </w:p>
    <w:p>
      <w:r>
        <w:t>(iv) exchange of sensitive commercial information</w:t>
        <w:br/>
        <w:t>The exchange of sensitive information among competitors, abundantly evidenced in the instruction of the file, as highlighted in the section of Proven Facts, was necessary to enable the participating companies to manipulate the process of submitting offers or estimates for international relocations.</w:t>
      </w:r>
    </w:p>
    <w:p>
      <w:r>
        <w:t>By way of example:</w:t>
        <w:br/>
        <w:t>“RELOCATION PRICE: ABOVE 17,650 EUROS (Including insurance)”;</w:t>
        <w:br/>
        <w:t>“Our estimate is at 9,550 so it has to be higher!!!”;</w:t>
        <w:br/>
        <w:t>“Hello, the estimate you sent me is cheaper than mine, can you change it?”;</w:t>
        <w:br/>
        <w:t>“For transportation, insurance, and VAT above 12,100,--”;</w:t>
        <w:br/>
        <w:t>“above 10,100 euros is (including insurance)”;</w:t>
        <w:br/>
        <w:t>“Here are the details, any price above ours is okay.”;</w:t>
        <w:br/>
        <w:t>“XXX call a friendly group and on my behalf please, raise Benjamin's estimate. They have requested the 4 estimates”;</w:t>
      </w:r>
    </w:p>
    <w:p>
      <w:r>
        <w:t>["Why don't we share the MEC lists at once? I'm sure there are combinable ones and this way we can optimize rates" "I'm happy with that! Anything that optimizes, helps us win and make money... For now, I tell you that we received a list from the MEC today with a request from Madrid (Las Rozas) to Stuttgart (Germany)"]</w:t>
      </w:r>
    </w:p>
    <w:p>
      <w:r>
        <w:rPr>
          <w:b/>
        </w:rPr>
        <w:t>[Pages 76–78]</w:t>
      </w:r>
    </w:p>
    <w:p>
      <w:r>
        <w:t>The operation of the cartel materialized through specific instruments implemented for that specific purpose, such as monetary and non-monetary compensations, the use of Webmail accounts created for this purpose, and through a management, control, and monitoring system of the actions of the companies in the cartel. Additionally, the instruction of the file has revealed the existence of actions of boycott, retaliation, and pressure, carried out against non-participating companies in the Agreement or used when certain companies in the cartel occasionally did not respect the minimum price agreement, as a tool to maintain the conditions imposed by the cartel.</w:t>
      </w:r>
    </w:p>
    <w:p>
      <w:r>
        <w:t>Regarding the allegations related to the correct delimitation of the market affected by this file, as indicated by the DC in its PR, it is "the market for the provision of international moving services." The companies themselves, with their anticompetitive behaviors, are the ones that de facto determine the scope affected by the infringement. In this file, evidence has been gathered of the participation of the companies in the cartel in anticompetitive behaviors in the provision of international moving services, not only those from/to Spain provided to officials of the Spanish Administration, which are the ones for which the most evidence has been gathered, but also, to a lesser extent, between countries other than Spain, to employees of international organizations and foreign administrations, private companies, and individuals.</w:t>
      </w:r>
    </w:p>
    <w:p>
      <w:r>
        <w:t>This Competition Chamber considers the existence of a joint plan by the international moving service companies to be sufficiently proven, implemented through a series of repetitive and prolonged actions over time, which had a single economic purpose of price fixing and market sharing (allocation of quotas, distribution of relocations and/or clients) with the common aim of limiting competition in the market and the negotiating power of clients, fundamentally ministerial departments and bodies of the General State Administration and, to a lesser extent, public and private companies, as well as individuals.</w:t>
      </w:r>
    </w:p>
    <w:p>
      <w:r>
        <w:t>Regarding the allegations that deny the continuous nature of the conduct, the proven facts and the exposition of the cartel's operational methodology reveal that the behaviors of the companies involved, manifested in the instruction of the file, constitute a continuous series over time of actions that present a link of complementarity, with a single common objective contrary to competition, which contribute through their interaction to the realization of the set of effects contrary to competition sought by their authors, within the framework of a global plan, in the sense established by the jurisprudence.</w:t>
      </w:r>
    </w:p>
    <w:p>
      <w:r>
        <w:t>It is clear that in the behaviors and practices extensively described in this file, the link of complementarity, interaction, common objective, and closely linked actions exists, in accordance with the criteria reflected in community jurisprudence, which reveal an identical object, violating competition law.</w:t>
      </w:r>
    </w:p>
    <w:p>
      <w:r>
        <w:t>The companies involved argue that it is not possible to conclude that the behaviors subject to analysis in this file constitute a single and continuous infringement, since different agreements are attributed at different points in time. It is questioned whether it is appropriate to attribute to the companies participation in a global plan when the very instructing body differentiates different infringing behaviors, with some companies being attributed four and others only two.</w:t>
      </w:r>
    </w:p>
    <w:p>
      <w:r>
        <w:t>It should be specified that out of the total of 18 companies on which the instructing body maintains its attribution, eight have participated in agreements for market sharing, price fixing, and other commercial conditions, and the exchange of sensitive commercial information. Another eight companies would have participated in agreements for market sharing, price fixing, and the exchange of sensitive information. And it has been proven that two companies have participated in agreements for price fixing and the exchange of sensitive commercial information. Such differentiation in participation, as well as the individualized dates of initiation and termination of the conduct, in cases where they are not fully coincident, must have their specification in the delimitation of the responsibility of each of the involved parties, naturally, but it does not have substantial weight to affect the unique and continuous nature of the infringement.</w:t>
      </w:r>
    </w:p>
    <w:p>
      <w:r>
        <w:t>A global examination of the set of proven facts clearly reveals that the agreements and exchanges of information were carried out not as autonomous behaviors but in a connected manner, with links of objectives, participants, methods, and operations employed, with the common aim of restricting competition in the prices of the international moving services provided, with the effect of raising them.</w:t>
      </w:r>
    </w:p>
    <w:p>
      <w:r>
        <w:t>The agreements for price fixing and the exchanges of information could constitute independent infringements if they had been executed in isolation by the accused companies. In this sense, Article 1 of the LDC encompasses both behaviors among the prohibited practices. However, this possible qualification as an independent infringement does not prevent the integration of both behaviors into a single and continuous infringement of a complex nature, as one complements the other and, particularly in the case of cartel infringement, the exchange of information is an element usually present in the conduct.</w:t>
      </w:r>
    </w:p>
    <w:p>
      <w:r>
        <w:t>The Spanish Competition Authority has already had the opportunity to clarify that the concurrence of the element of identity of infringing subjects is not undermined by the fact that some of them have joined the practice successively or later.</w:t>
      </w:r>
    </w:p>
    <w:p>
      <w:r>
        <w:t>This Competition Chamber, therefore, considers a unique and continuous conduct to be sufficiently proven, which, due to the nature of the agreements for market sharing and price fixing and commercial conditions, as well as the exchanges of information carried out, pursued the objective of reducing uncertainty and coordinating commercial strategies, with an evident effect of distorting competition to the benefit of the participants in the conduct, which constitutes an infringement by object of Article 1 of the LDC, as well as Article 101 of the TFEU, classified as a cartel according to the fourth additional provision 2 of the LDC.</w:t>
      </w:r>
    </w:p>
    <w:p>
      <w:r>
        <w:t>No alternative plausible explanation has been provided by the accused that refutes the assessment made by the instructing body.</w:t>
      </w:r>
    </w:p>
    <w:p>
      <w:r>
        <w:t>The Competition Directorate has proven the existence of a continuous series of contacts between the companies in the cartel made with the aim of aligning and coordinating their respective commercial policies with the ability to restrict competition and suppress the uncertainty and autonomy of behavior of economic agents, with the ultimate goal of limiting competition in the market and the negotiating power of clients.</w:t>
      </w:r>
    </w:p>
    <w:p>
      <w:r>
        <w:t>The anticompetitive nature of the constant and profuse direct contact between executives of competing companies that should act independently in the market is evident, contacts aimed at agreeing on actions for setting minimum prices, in light of the numerous pieces of evidence gathered during the instruction, and in the absence of a reasonable alternative explanation.</w:t>
      </w:r>
    </w:p>
    <w:p>
      <w:r>
        <w:t>In this sense, it is worth transcribing again the content of the Excel file “AYUDAS a cada MINISTERIO Febrero 2012.xls” collected in the seventh script of paragraph (120) of the PCH in which the agreements between FLIPPERS and AGS, CABALLERO DAVILA, EUROMONDE, GIL STAUFFER, HASENKAMP, LA TOLEDANA, LA VASCONGADA, SANCHO ORTEGA, SIT, and TRANSFEREX, all of them named in code to conceal their identity with respect to different public clients (AECID, Ministry of Defense, National Intelligence Center (CNI), Ministry of Commerce, Environment, Labor, Ministry of Foreign Affairs, General Directorate of Police and Civil Guard), between the years 2011 and 2012.</w:t>
      </w:r>
    </w:p>
    <w:p>
      <w:r>
        <w:rPr>
          <w:b/>
        </w:rPr>
        <w:t>[Pages 79–81]</w:t>
      </w:r>
    </w:p>
    <w:p>
      <w:r>
        <w:t>The operation of the cartel, as evidenced in the PCH, shows that attendance at meetings was not necessary for companies to be informed of the Agreement and its particulars, which were adopted and specified both in meetings and by telephone or email. If a company did not attend the in-person meeting, it was informed afterwards of what had been agreed, and on some occasions, the participants announced such absences in advance and referred to subsequent contacts to be informed of the results of such meetings. The practice of supporting estimates relied on a necessary reciprocal cooperation among the different members of the cartel.</w:t>
      </w:r>
    </w:p>
    <w:p>
      <w:r>
        <w:t xml:space="preserve">It has also been established that there was an illegal practice of hand-delivering supporting estimates among executives of competing companies, taking advantage of or not of the convening of a meeting. By way of example: </w:t>
        <w:br/>
        <w:t xml:space="preserve">“PLEASE DO NOT SEAL THE ENVELOPES OF THE ESTIMATES WE REQUEST FROM YOU,” (folio 17111, collected during the inspection at the FLIPPERS headquarters) </w:t>
        <w:br/>
        <w:t xml:space="preserve">“PLEASE INDICATE IF YOU CAN SUPPORT US WITH AN ESTIMATE FOR THE REFERENCE MOVE, WE WOULD SEND SOMEONE FROM SIT WITH THE ESTIMATE. IT WOULD ONLY BE TO SEAL AND SIGN” (folio 17645, collected during the inspection at the FLIPPERS headquarters); </w:t>
        <w:br/>
        <w:t>“GO TOMORROW, MAY 5 [of 2011] TO SANCHO ORTEGA: PICK UP: 8 ESTIMATES, TAKE 3 ESTIMATES (SOME HAVE 2), AND INVENTORIES, SEAL AND SIGN ALL AND THEN BRING TO THE OFFICE.” (folio 2974, collected during the inspection at the SIT headquarters).</w:t>
      </w:r>
    </w:p>
    <w:p>
      <w:r>
        <w:t>In light of all the above, it can be concluded that the conduct carried out by the companies involved has constituted a single and continuous infringement of Articles 1 of the LDC and 101 of the TFEU, consisting of market sharing, price fixing, and other commercial conditions, as well as the exchange of sensitive commercial information regarding the procedure for submitting international moving offers, from 1997 to November 2014. This conduct has led the parties to have previously agreed on the minimum prices for services and to have shared quotas and respected relocations and clients, exchanging strategic information, actions that would not have occurred in a normal competitive environment among companies competing in the same market.</w:t>
      </w:r>
    </w:p>
    <w:p>
      <w:r>
        <w:t>All of this implies classifying the infringement as very serious, as provided for in Article 62.4.a) of the LDC.</w:t>
      </w:r>
    </w:p>
    <w:p>
      <w:r>
        <w:t xml:space="preserve">4.2.- Duration of the conduct </w:t>
        <w:br/>
        <w:t>Regarding its duration, it has been established that this cartel was maintained continuously over time from 1997 until November 2014. The allegations presented have only distorted what was indicated in the PCH, regarding HASENKAMP and GIL STAUFFER MADRID, whose imputations are corrected in terms of duration in sections (287) and (288), respectively, of the Proposal for Resolution.</w:t>
      </w:r>
    </w:p>
    <w:p>
      <w:r>
        <w:t>The DC provides a detailed description of the key elements that undermine the statute of limitations allegation for each of the companies that formulate it, indicating the date of the first action of the DC directed at each of the companies and the date of the last proven fact in the file [section 4.2.8 of the PR, paragraphs (323) to (330)].</w:t>
      </w:r>
    </w:p>
    <w:p>
      <w:r>
        <w:t>However, regarding FLUITERS and EDICT, the attribution of responsibility made by the DC in its Proposal for Resolution is not shared. This Competition Chamber considers that the evidence collected during the investigation does not allow concluding, contrary to what was considered by the instructing body in its Proposal for Resolution, that the commission of the infringement by these companies has been proven beyond the time period that would prevent considering the conduct as time-barred regarding both companies. Article 68 of the LDC states that very serious infringements, such as the one subject to this file, will be time-barred after four years. The term of the statute of limitations will be computed from the day the infringement was committed or, in the case of continuous infringements, from when they ceased. The proven facts regarding the participation of FLUITERS and EDICT in the conduct do not allow concluding, with the degree of evidence required, the continuity of such conduct beyond 2007, which implies an interruption of the evidentiary elements regarding the specific participation of such companies in the conduct beyond the statute of limitations period for the infringement.</w:t>
      </w:r>
    </w:p>
    <w:p>
      <w:r>
        <w:t>Therefore, it corresponds to archive the proceedings followed against TRANSPORTES FLUITERS, S.L. and EUROPEA DISTRIBUCIÓN COMERCIO Y TRANSPORTE, S.L., EDICT, for not having sufficiently proven the continuation in the commission of the infringement by these companies beyond the statute of limitations period.</w:t>
      </w:r>
    </w:p>
    <w:p>
      <w:r>
        <w:t>On the other hand, this Chamber considers that it is not appropriate to jointly attribute responsibility to CABALLERO MOVING for the anticompetitive conduct of EUROMONDE after the acquisition of shares in this second company, since the date of the end of the infringement attributed to EUROMONDE coincides with such shareholding change. The derivation of joint responsibility to CABALLERO MOVING, as the company that controlled EUROMONDE and over which it exercised decisive influence from the date of the share purchase, cannot be sustained in the absence of attribution to EUROMONDE of infringing behavior regarding such period.</w:t>
      </w:r>
    </w:p>
    <w:p>
      <w:r>
        <w:t xml:space="preserve">Consequently, the duration of the infringement for each of the remaining companies charged is delineated, based on the proven facts and the analysis of the allegations made, differentiating the corresponding periods of infringement determined by the start and end of the conduct: </w:t>
        <w:br/>
        <w:t xml:space="preserve">1. SIT GRUPO EMPRESARIAL, S.L., for the period from January 1997 until November 2014. </w:t>
        <w:br/>
        <w:t xml:space="preserve">2. CABALLERO MOVING, S.L.: for the period from February 2008 until November 2014. </w:t>
        <w:br/>
        <w:t xml:space="preserve">3. MUDANZAS FLIPPERS INTERNACIONAL, S.L., for the period from October 2004 until November 2014. </w:t>
        <w:br/>
        <w:t xml:space="preserve">4. TRANSFEREX, S.A., for the period from October 2004 until November 2014. </w:t>
        <w:br/>
        <w:t xml:space="preserve">5. MUDANZAS DÁVILA, S.A., for the period from October 2004 until February 2011. </w:t>
        <w:br/>
        <w:t xml:space="preserve">6. EUROMONDE, S.L., for the period from October 2004 until February 11, 2013. </w:t>
        <w:br/>
        <w:t xml:space="preserve">7. AGS MUDANZAS INTERNACIONALES, S.L. for the period from October 2004 until November 2014. </w:t>
        <w:br/>
        <w:t xml:space="preserve">8. MUDANZAS LA TOLEDANA, S.L., for the period from October 2004 until November 2014. </w:t>
        <w:br/>
        <w:t xml:space="preserve">9. LA VASCONGADA, S.L., for the period from October 2004 until November 2014. </w:t>
        <w:br/>
        <w:t xml:space="preserve">10. SANCHO ORTEGA INTERNACIONAL, S.A., for the period from October 2004 until November 2014. </w:t>
        <w:br/>
        <w:t xml:space="preserve">11. HASENKAMP RELOCATION SERVICES SPAIN, S.L., for the period from the date of incorporation of the company, October 2010 until November 2014. </w:t>
        <w:br/>
        <w:t xml:space="preserve">12. INTERDEAN, S.A., for the period from January 1997 until November 2014. </w:t>
        <w:br/>
        <w:t xml:space="preserve">13. GIL STAUFFER MADRID, S.L. for the period from June to November 2014. </w:t>
        <w:br/>
        <w:t xml:space="preserve">14. MUDANZAS MUNDIVAN, S.L., for the period from October 2004 until November 2014. </w:t>
        <w:br/>
        <w:t xml:space="preserve">15. MUDANZAS RUMBO, S.A., for the period from October 2004 until November 2014. </w:t>
        <w:br/>
        <w:t>16. PROCOEX MUDANZAS, S.L., for the period from December 2007 until May 2012.</w:t>
      </w:r>
    </w:p>
    <w:p>
      <w:r>
        <w:t xml:space="preserve">4.3.- Effects of the conduct in the market </w:t>
        <w:br/>
        <w:t>In restrictions by object, such as the cartel under investigation, it is not necessary to demonstrate the existence of effects, without prejudice to their possible consideration.</w:t>
      </w:r>
    </w:p>
    <w:p>
      <w:r>
        <w:rPr>
          <w:b/>
        </w:rPr>
        <w:t>[Pages 82–84]</w:t>
      </w:r>
    </w:p>
    <w:p>
      <w:r>
        <w:t>for quantifying the fine. As the Spanish competition authority has repeatedly stated, proof of actual anti-competitive effects is not required when the anti-competitive object of the reproached behaviors has been proven.</w:t>
      </w:r>
    </w:p>
    <w:p>
      <w:r>
        <w:t>This criterion is fully in line with the relevant jurisprudence, both community and national. Thus, the Court of Justice of the European Union has stated that: “it should be recalled that, according to established case law, in the context of the application of Article 101 TFEU, paragraph 1, the assessment of the specific effects of an agreement is superfluous when it is found that they have the object of preventing, restricting, or distorting competition (see, in this regard, the judgments of July 13, 1966, Consten and Grundig/Commission, 56/64 and 58/64, Rec. p. 429, and of December 8, 2011 [CJEU 2011, 399], KME). In this regard, the Court of Justice has declared that the distinction between “object infringements” and “effect infringements” lies in the fact that certain forms of collusion between companies can be considered, by their very nature, harmful to the proper functioning of normal competition (judgments of November 20, 2008, Beef Industry Development Society and Barry Brothers, C-209/07, Rec. p. I-8637, paragraph 17, and of June 4, 2009, T-Mobile Netherlands and others, C-8/08, Rec. p. I-4529, paragraph 29).</w:t>
      </w:r>
    </w:p>
    <w:p>
      <w:r>
        <w:t>Therefore, it should be considered that an agreement that may affect trade between Member States and has an anti-competitive object constitutes, by its very nature and regardless of its specific effects, a significant restriction of competition.”</w:t>
      </w:r>
    </w:p>
    <w:p>
      <w:r>
        <w:t>The Supreme Court, in its judgment of September 12, 2013 (appeal 6932/2010), states: “First, it is necessary to recall that the behaviors prohibited by Article 1 of the Competition Defense Law are those that can produce anti-competitive effects, without it being necessary - as we have reiterated in constant case law - for those effects to have been effectively produced.”</w:t>
      </w:r>
    </w:p>
    <w:p>
      <w:r>
        <w:t>In light of the above, the result of the analysis of the effects caused by the behaviors subject to this file in the market cannot alter the legal qualification of this Chamber in relation to them, as we are faced with behaviors among competing companies that, by their very nature, fall within the category of object infringements.</w:t>
      </w:r>
    </w:p>
    <w:p>
      <w:r>
        <w:t>However, although the proven behaviors constitute restrictions of competition by their object and this is sufficient to appreciate the administrative illicit and determine the corresponding responsibilities, it has also been proven in this file that they have indeed caused clear negative effects in the international moving market.</w:t>
      </w:r>
    </w:p>
    <w:p>
      <w:r>
        <w:t>Indeed, the agreements adopted and implemented have led to a significant alignment of prices among the participants in the cartel, and to a market division.</w:t>
      </w:r>
    </w:p>
    <w:p>
      <w:r>
        <w:t>In similar cases where public bidding manipulation has been investigated, both the CNC and the CNMC have pointed out the harmful effects of such practices, constituting an additional severity of the infringement, given the increase in the cost of these bids that must be borne by the Administration and, ultimately, by the citizens who, through their taxes, are also harmed, as it requires a greater budget burden that the taxpayer assumes: “The arguments put forward by some companies that this type of collusion does not significantly affect consumers or that in the absence of it the outcome would have been the same are unacceptable. Few infringements can harm so much and to such a broad base. By implying a higher cost of the bidding and, with it, a greater budget burden, it is affecting nothing less than all taxpayers. The behaviors of those who are willing to make bids close to 30% and agree to make them around 3%, dividing among the participants that illicit benefit, which cannot be hidden, parallel to the harm caused to the Administration that calls the tender, and ultimately to all citizens, deserve the utmost condemnation.”</w:t>
      </w:r>
    </w:p>
    <w:p>
      <w:r>
        <w:t>Likewise, the National Court has adopted that same reproach: “Regarding proportionality, we must consider the significant impact on the public interest, the concertation we examine altered the prices of the bids charged to public funds, and there was an unjust enrichment for the non-awarded companies that participated in the conduct, precisely at the expense of those public funds. On the other hand, the conduct evaded the administrative rules that guarantee transparency in public contracting and the accuracy in selecting the most advantageous offer, and directly aimed to prevent its application (National Court ruling of May 16, 2014, appeal no. 643/2011).</w:t>
      </w:r>
    </w:p>
    <w:p>
      <w:r>
        <w:t>By its very nature, a cartel of the described nature automatically produces a significant distortion of competition, which exclusively benefits the companies participating in the cartel by giving them a competitive advantage over the rest of the competitors in the market or potential competitors that may wish to enter the market, being extremely detrimental to the entities calling for such bids, mostly Public Administrations, thus impacting the harm done to taxpayers.</w:t>
      </w:r>
    </w:p>
    <w:p>
      <w:r>
        <w:t>As evidenced in exchanges between the companies: “EXTRACT FROM THE MEETING HELD ON 07/09/2009 BETWEEN THE COMPANIES SELECTED BY DEFENSE […] 7.- GENERAL CONCLUSION (..) I understand that these agreements are a good way to drastically reduce competition and provide us with a golden opportunity to position ourselves strongly in an account such as the Ministry of Defense.”</w:t>
      </w:r>
    </w:p>
    <w:p>
      <w:r>
        <w:t>This Chamber cannot share statements such as those made by the company SIT in its allegations to the PR (page 25066), in which it states that it is a very specific market in which “consumers are not affected by the PRICE effect.”</w:t>
      </w:r>
    </w:p>
    <w:p>
      <w:r>
        <w:t>The cartel increased prices and maintained a high price level in this market during the years of this cartel's existence, in which, according to the file, they reached to apply a agreed margin of up to 12,000 euros of net profit per operation at least until 2009, and, in general, high profit percentages even exceeding half of the budgeted price (paragraph 124 of the PCH). It is highly unlikely that in a competitive environment those price levels would have been maintained, higher than those applied when the circumstances, fundamentally the presence of what they called “outsiders,” forced the participants to apply non-colluded prices.</w:t>
      </w:r>
    </w:p>
    <w:p>
      <w:r>
        <w:t>4.4.- Responsibility of the entities involved</w:t>
      </w:r>
    </w:p>
    <w:p>
      <w:r>
        <w:t>The responsibility of the entities referred to in this Fourth Legal Basis is, in the opinion of this Competition Chamber, unquestionable in light of the proven facts, for which this Chamber agrees with the attribution of responsibility made by the DC in its resolution proposal, except for what is noted regarding the companies FLUITERS and EDICT, in the section related to the duration of the infringement.</w:t>
      </w:r>
    </w:p>
    <w:p>
      <w:r>
        <w:t>The Competition Chamber understands that the DC has proven through the instruction carried out that the involved companies have established a system of deception to the payer of international moving services, for which they agreed to allow another theoretical competitor to take the corresponding relocation contract without competing, submitting higher price offers than they would have prepared had there been no agreement, issuing timely more expensive estimates to avoid raising suspicions, seeking to conceal the evidence of their action.</w:t>
      </w:r>
    </w:p>
    <w:p>
      <w:r>
        <w:t>Having established and qualified the behaviors contrary to the LDC, Article 63.1 of the same regulation conditions the exercise of the sanctioning power regarding fines by the Competition Authority on the presence in the infringing subject of intent or negligence in the commission of the imputed conduct.</w:t>
      </w:r>
    </w:p>
    <w:p>
      <w:r>
        <w:t>As detailed in the previous sections of this resolution, the agreements were adopted in meetings and through telephone and electronic communications. Representatives of the participating companies in the Agreement, who were the executives of the companies who knew the policy and commercial strategy of their respective companies, and had sufficient power to bind and carry out the agreements made in them, attended such meetings. The involved entities knew and were aware of the unlawfulness of the behaviors developed during the period.</w:t>
      </w:r>
    </w:p>
    <w:p>
      <w:r>
        <w:rPr>
          <w:b/>
        </w:rPr>
        <w:t>[Pages 85–87]</w:t>
      </w:r>
    </w:p>
    <w:p>
      <w:r>
        <w:t>individualized for each company. Thus, the intentionally secret nature of the agreements for those who paid for the moves, the existence of meetings, calls, and emails, and attached documents with strategic data not ordinarily shareable among market rivals, references to the adopted Agreement, the exchanged supporting estimates, and the regularity of contacts among competitors are sufficient elements to conclude the existence of a conscious, sought-after, and maintained action over time by the participating companies in the conduct.</w:t>
      </w:r>
    </w:p>
    <w:p>
      <w:r>
        <w:t>The file indicates that meetings were held among the companies in the Agreement, at least between the years 2003 and 2014, as well as various contacts and meetings in smaller groups. As is known, not all entities participating in a cartel need to have the same level of participation in it, nor attend all meetings or participate in all agreements adopted by the cartel, and thus, in the present case, the companies in the cartel have had different levels of participation depending on the dates they joined and their role in it.</w:t>
      </w:r>
    </w:p>
    <w:p>
      <w:r>
        <w:t>The companies in the cartel were aware of the illegality of the price-fixing Agreement, commercial conditions, and market sharing as a means to reduce and harm competition. They not only knew of the Commission's decision of March 11, 2008, against INTERDEAN (case COMP/38.543 - international moving services), related to a procedure under the provisions of Article 81 of the EC Treaty, but they also kept the practice secret as evidenced in section 5.1 of this PCH, among other practices the use of non-corporate accounts, acting to avoid "raising suspicions" and measuring their actions at certain moments against other companies in the cartel, to prevent the CNMC from being alerted and potentially initiating an investigation that could harm the companies in the cartel due to the sanctions it imposes.</w:t>
      </w:r>
    </w:p>
    <w:p>
      <w:r>
        <w:t>The evidence obtained during the investigation phase regarding the secrecy measures adopted by the participants in the conduct has been indisputable. Some of the companies had a Webmail account created to handle the supporting estimates with other companies in the cartel and were aware of the illegal practice, as demonstrated by the numerous communications made by the cartel member companies using code names through such Webmail accounts, to carry out practices related to the "support" or accompanying offers in the bidding for international moving services.</w:t>
      </w:r>
    </w:p>
    <w:p>
      <w:r>
        <w:t>It has also been established that TOLEDANA, SANCHO ORTEGA, and PROCOEX were fully aware of the Webmail accounts created by other companies in the cartel to conceal the market-sharing practice through the respect of relocations, receiving and sending emails to those accounts.</w:t>
      </w:r>
    </w:p>
    <w:p>
      <w:r>
        <w:t>Emails have also been collected among the participants discussing possible negative consequences that the discovery of their practice could have:</w:t>
      </w:r>
    </w:p>
    <w:p>
      <w:r>
        <w:t>Email from April 18, 2008, between Webmail accounts of FLIPPERS and CABALLERO: “XXX just asking you to please send us the requests for help to invierno.invierno@gmail.com and not to ministerios@flippers.es” [emphasis added].</w:t>
      </w:r>
    </w:p>
    <w:p>
      <w:r>
        <w:t>Email from May 20, 2009, between the Webmail account “loquevaleunpeine” (HASENKAMP) and “elmismisimoludovicci” (CABALLERO): “XXX [XXX] tells me that it will be very obvious if we all remove the air shipment: the support will be very noticeable.... Do you think we should leave it like this and, if the Ministry asks us to "unify all the offers," we remove it?” [clarification and emphasis added].</w:t>
      </w:r>
    </w:p>
    <w:p>
      <w:r>
        <w:t>Paragraph (125) of the PCH, email from Euromonde to SIT: “As I mentioned before I left, we had to give more reasonable prices for some from Morocco, since XXX [Euromonde's salesperson] has been under pressure from the MEC, and it is also not advisable to raise suspicions” (emphasis added).</w:t>
      </w:r>
    </w:p>
    <w:p>
      <w:r>
        <w:t>Paragraph (173.vi) of the PCH regarding an email between the accounts of FLIPPERS and TRANSFEREX, in which TRANSFEREX indicates: “…with the usual distraction that some have, they are capable of forwarding it to the Ministry as is and "they catch us like rabbits," so it is preferable not to copy us just in case” (emphasis added).</w:t>
      </w:r>
    </w:p>
    <w:p>
      <w:r>
        <w:t>Evidence of the extraordinary measures adopted by the moving companies that are members of the cartel to conceal their actions and hinder detection or knowledge by other market agents (non-participating moving companies, clients, etc.) has also been confirmed. Thus, in paragraph (146) of the PCH referring to an email from June 14, 2010, the management of SIT notifies the representatives and executives of the competing companies FLIPPERS, MUNDIVAN, Vascongada, Dávila, HASENKAMP, S. Ortega, TRANSFEREX, and CABALLERO, of the exclusive use of telephone communications from then on, suspending the use of emails:</w:t>
      </w:r>
    </w:p>
    <w:p>
      <w:r>
        <w:t>“FOR SECURITY, ALL COMMUNICATIONS BY THIS MEANS ARE DEFINITELY SUSPENDED. FROM NOW ON, ANY MUTUAL COMMUNICATION WILL BE MADE BY PHONE. THANK YOU + REGARDS” [emphasis added].</w:t>
      </w:r>
    </w:p>
    <w:p>
      <w:r>
        <w:t>Similarly, it is worth reiterating the conversation held among SIT executives regarding the brochure from CABALLERO that advertised the provision of three estimates to interested parties for relocations, due to its compelling evidence regarding the knowledge that they were acting illegally and the need to keep it secret, due to the adverse consequences that, if known, it would bring for all:</w:t>
      </w:r>
    </w:p>
    <w:p>
      <w:r>
        <w:t>“There is a need to say it differently because the words "competition," "unfair competition," and similar terms would bring the National Competition Commission into play, which pulls the thread from all sides and from all agencies and could harm us, and a lot, all the companies because the fines it imposes are substantial. (…) It could be leaked to the OCU the link to the website so that it would act "motu proprio," but we also run the risk that it investigates more than necessary and harms us.”</w:t>
      </w:r>
    </w:p>
    <w:p>
      <w:r>
        <w:t>It is also worth mentioning again the Excel file referenced above in the section of Established Facts, named “code names of supporting companies.xls” from the year 2009, in which FLIPPERS assigns code names to the moving companies in the Agreement:</w:t>
      </w:r>
    </w:p>
    <w:p>
      <w:r>
        <w:t xml:space="preserve">AGS AFRICA </w:t>
        <w:br/>
        <w:t xml:space="preserve">CABALLERO GALANTE </w:t>
        <w:br/>
        <w:t xml:space="preserve">DAVILA AGUILA </w:t>
        <w:br/>
        <w:t xml:space="preserve">EUROMONDE SOFA </w:t>
        <w:br/>
        <w:t xml:space="preserve">GIL STAUFFER SERIES </w:t>
        <w:br/>
        <w:t xml:space="preserve">HASENKAMP ALEMANIA </w:t>
        <w:br/>
        <w:t xml:space="preserve">LA TOLEDANA BOLOS </w:t>
        <w:br/>
        <w:t xml:space="preserve">LA VASCONGADA PACHI </w:t>
        <w:br/>
        <w:t xml:space="preserve">SANCHO ORTEGA QUIJOTE </w:t>
        <w:br/>
        <w:t xml:space="preserve">SIT CHICAS </w:t>
        <w:br/>
        <w:t>TRANSFEREX RON</w:t>
      </w:r>
    </w:p>
    <w:p>
      <w:r>
        <w:t>The infringing companies warned interested parties not to inform the payment management unit of their activities. For example, the 2011 email from TRANSFEREX: “I could not and did not want to tell you via the MAEC email that I would send you the 3 estimates, You understand me, You never know who reads them” ; also, in another email from 2013: “Remember that you never know who reads emails, so it is better that any comment about the 3 estimates and even a request for a possible 4th estimate, you tell me from your private email. They say that you not only have to be good, but you also have to seem so.” This also occurs in moves of employees from private companies: “the next supporting communication will have a mask and will speak in a low voice.”</w:t>
      </w:r>
    </w:p>
    <w:p>
      <w:r>
        <w:t>Furthermore, the use of systems to try to prevent the methodology of the cartel from being explicitly stated is evident in communications such as the email.</w:t>
      </w:r>
    </w:p>
    <w:p>
      <w:r>
        <w:rPr>
          <w:b/>
        </w:rPr>
        <w:t>[Pages 88–90]</w:t>
      </w:r>
    </w:p>
    <w:p>
      <w:r>
        <w:t>electronic mail from 2014, with the subject "NETMA SUPPORT," in which CABALLERO indicates to Euromonde: "Hello XXX [Euromonde], you can do the supports, you have the templates and the reference numbers," to which Euromonde responds: "The issue is that you should be aware of it first. Then with the ok, we will take care of it. (…) XXX [Euromonde] please issue Caballero's estimate with its corresponding reference and send it to the client from Caballero's email." [clarifications and emphasis added] (folio 4205).</w:t>
      </w:r>
    </w:p>
    <w:p>
      <w:r>
        <w:t>This Chamber cannot, therefore, accept the allegations regarding the absence of the requisite subjective element of culpability concerning the conduct subject to this file. All the elements previously indicated, combined with the circumstance that the infringing conduct has been prolonged over a very extensive period, demonstrate that the participating companies must have known the unlawfulness of the same and the effects they were producing in the market in which they operate.</w:t>
      </w:r>
    </w:p>
    <w:p>
      <w:r>
        <w:t>4.5. Regarding the filing of the proceedings against MUDANZAS MERIDIONAL, S.L. and ACTIVIDADES DE MUDANZAS Y GESTIONES OPERATIVAS, S.A. (Grupo AMYGO)</w:t>
      </w:r>
    </w:p>
    <w:p>
      <w:r>
        <w:t>The DC in its resolution proposal indicates that MERIDIONAL and Grupo AMYGO provide sufficiently reasonable explanations regarding the facts for which the instructing body considered them participants in the Moving Agreement, in view of which, after its timely review and contrast with the evidence incorporated into the file, their exoneration in the present file is warranted, as it is confirmed that, on one hand, Mudanzas RUMBO was the company responsible for the unlawful conduct and not Grupo AMYGO, and on the other hand, that GIL STAUFFER MADRID manipulated support estimates to present them as if they were from the company MERIDIONAL.</w:t>
      </w:r>
    </w:p>
    <w:p>
      <w:r>
        <w:t>In light of the DC's proposal, this Competition Chamber of the Council considers that it is appropriate to file the proceedings against MUDANZAS MERIDIONAL, S.L. and ACTIVIDADES DE MUDANZAS Y GESTIONES OPERATIVAS, S.A. (Grupo AMYGO), as the commission of an infringement by these companies has not been substantiated.</w:t>
      </w:r>
    </w:p>
    <w:p>
      <w:r>
        <w:t>FIFTH.- OTHER ALLEGATIONS AND ISSUES RAISED IN THE COUNCIL PHASE</w:t>
      </w:r>
    </w:p>
    <w:p>
      <w:r>
        <w:t>5.1. Regarding the nullity of the inspection</w:t>
      </w:r>
    </w:p>
    <w:p>
      <w:r>
        <w:t>Some of the companies involved (FLIPPERS) allege the generic and indeterminate nature of the investigated conduct in light of the object of the Inspection Order and the consequent violation of the right to defense of the investigated company and the inviolability of the home, as the company would have been unable to know precisely what specific conduct was being investigated and the elements on which the inspection was being carried out.</w:t>
      </w:r>
    </w:p>
    <w:p>
      <w:r>
        <w:t>This Competition Chamber fully agrees with the analysis made by the DC in its PR regarding the Inspection Order under which the inspection of FLIPPERS' headquarters was carried out, as it sufficiently allowed for the identification of the essential elements provided for in Article 13.3 of the RDC, as interpreted by the contentious jurisdiction and reflected in previous Resolutions of this Chamber, particularly the object, purpose, and scope of the inspection.</w:t>
      </w:r>
    </w:p>
    <w:p>
      <w:r>
        <w:t>The Order concerned "moving services with origin/destination Spain," as can be inferred from it: "This Directorate of Competition has had access to certain information related to possible anti-competitive practices in the market for international moving services with origin/destination Spain, consisting of a possible agreement or concerted practice for price fixing and/or other commercial conditions, a possible market allocation, and/or exchanges of sensitive commercial information." The Investigation Order was limited to the type of infringement set forth in Article 1 of the LDC; moreover, from its reading, it is clear that it does not even refer to the entire content of Article 1.1 of the LDC, but was limited to price fixing or other commercial conditions and the exchange of sensitive commercial information with other competitors.</w:t>
      </w:r>
    </w:p>
    <w:p>
      <w:r>
        <w:t>Therefore, the allegation regarding the lack of correctness of the inspection cannot be upheld. As detailed in the Inspection Report signed by the company at the conclusion of the inspection, it is evident that express consent for the inspection was explicitly required, with the corresponding acknowledgment of receipt of the aforementioned Order signed prior to the material commencement of the inspection. Express consent to this inspection was given by the company with full knowledge of the content of the Investigation Order and informed of its object and development, as well as the corresponding legal provisions on which this Order is based, in addition to being informed of all actions taken during the course of the inspection, as evidenced in the Inspection Report, so that at no time was there any impairment of its right to defense.</w:t>
      </w:r>
    </w:p>
    <w:p>
      <w:r>
        <w:t>5.2. Regarding the inapplicability of the principle of legitimate expectation</w:t>
      </w:r>
    </w:p>
    <w:p>
      <w:r>
        <w:t>The companies involved allege that, regarding the infringement attributed to them in this file, the so-called principle of legitimate expectation applies, since, according to the argumentation of the entities participating in the cartel, the contracting Administration of the moves would have favored, sponsored, and known the conduct contrary to Competition Law.</w:t>
      </w:r>
    </w:p>
    <w:p>
      <w:r>
        <w:t>On this point, this Competition Chamber fully agrees with the instructing body that the conduct subject to the file results from the initiative of the involved companies themselves and was unknown to the contracting Administrations. The measures adopted by them to conceal the conduct through Webmail emails with names different from the legal name of the companies or with fanciful code names, created expressly for the secret management of the support system, have been substantiated.</w:t>
      </w:r>
    </w:p>
    <w:p>
      <w:r>
        <w:t>It is even noted that one of the affected Ministries warned the moving companies in 2014 of the risk that proceedings would be opened against them in light of the unjustified delay in sending estimates, which then coincided with the most expensive estimates.</w:t>
      </w:r>
    </w:p>
    <w:p>
      <w:r>
        <w:t>In addition to there being no external sign of compliance by the contracting Administrations with the unlawful practices subject to this file, the involved companies were fully aware of such unlawfulness, as evidenced, for example, by the instruction adopted regarding the suspension of electronic communications between the participants, restricting them to phone calls:</w:t>
      </w:r>
    </w:p>
    <w:p>
      <w:r>
        <w:t>"FOR SECURITY, ALL COMMUNICATIONS BY THIS MEANS ARE DEFINITELY SUSPENDED. FROM NOW ON, ANY MUTUAL COMMUNICATION WILL BE MADE BY PHONE. THANK YOU + REGARDS."</w:t>
      </w:r>
    </w:p>
    <w:p>
      <w:r>
        <w:t>Also indicative of the awareness of the unlawfulness, and therefore that they were not covered by any presumption of legitimate expectation, is the methodology of concealing the conduct from the contracting Administration, insisting that the support estimate sent between the companies be in a different email than the one they sent to the relevant ministry: "...and then copy to define3000.... (please do not send it with a blind copy, better resend us the email you send to Payroll)" (folio 4929); "Please send to Payroll and then (not in blind copy....) copy of the email to define3000...." (folios 4997). The companies even instructed, trying to prevent it from reaching the affected Ministry, to whom it was sent, as reflected in examples from paragraph (160) of the PCH: "I could neither wanted to tell you via the MAEC email that I would send you the 3 estimates, You already understand me, You never know who reads them"; or "Remember that emails are never known who reads them, so it is better that any comment on the 3 estimates and even a request for a possible 4th estimate, you comment to me from your private email" [underlined added].</w:t>
      </w:r>
    </w:p>
    <w:p>
      <w:r>
        <w:t>Some of the companies (such as AGS or CABALLERO) allege that the attitude of the officials receiving the move of requesting several estimates from the same company generates confusion for them regarding the legality of such manipulation schemes of the bids. However, the fact that the moving companies offered and provided public employees with the three estimates is a reproachable practice for them and does not refute the fact that the contracting ministerial departments in no way participated in such practices, nor generated any external sign that would lead the moving companies to think about the legality of the practices or the knowledge by the contracting Administration, since</w:t>
      </w:r>
    </w:p>
    <w:p>
      <w:r>
        <w:rPr>
          <w:b/>
        </w:rPr>
        <w:t>[Pages 91–93]</w:t>
      </w:r>
    </w:p>
    <w:p>
      <w:r>
        <w:t>such decision does not depend on the official receiving the service but on the contracting body.</w:t>
      </w:r>
    </w:p>
    <w:p>
      <w:r>
        <w:t>In fact, the contracting administrations frequently requested a fourth estimate independently of those submitted by the officials in an attempt to obtain better economic conditions, which was well known by the participating companies, who took additional measures to simulate the spontaneous submission of said estimate, which must be classified as another sufficiently conclusive external sign of the lack of support or protection from the Administration for the infringing conduct.</w:t>
      </w:r>
    </w:p>
    <w:p>
      <w:r>
        <w:t>This Chamber agrees with the assessment of the DC, therefore, that the activity carried out by the contracting Administration of the moves cannot generate trust in the entities involved that excludes their culpability in the infractions subject to this file.</w:t>
      </w:r>
    </w:p>
    <w:p>
      <w:r>
        <w:t>5.3. On the proposed evidence and the request for a hearing</w:t>
      </w:r>
    </w:p>
    <w:p>
      <w:r>
        <w:t>Some of the involved companies request in their allegations to the PR the practice of documentary evidence (thus, AGS) and expert evidence. In some cases, this involves reiteration of evidence already proposed or provided in the instruction phase. LA TOLEDANA and SIT request the practice of expert evidence, through the same expert report they provide (“Study of prices applied in the international moving sector for officials”52).</w:t>
      </w:r>
    </w:p>
    <w:p>
      <w:r>
        <w:t>Article 51.1 of the LDC regulates the practice by the Council of evidence requested by the parties, provided that they are different from those practiced in the instruction phase by the DC, or from complementary actions, whether ex officio or at the request of the interested parties, when such evidence or actions are considered by the Council to be necessary for the formation of judgment in the decision-making process. Furthermore, regarding evidentiary matters, according to the doctrine of the Supreme Court, this Council has had the opportunity to point out (RCNMC of December 26, 2013, Expte. S/0423/12 MUNTERS, RCNMC of July 23, 2015, Expte. S/0482/13 Automobile Manufacturers) that it understands that only those aimed at refuting the alleged facts, the participation of the involved companies in them, or the harmful effects on the market are admissible, as well as, where applicable, those related to the dimension of the affected market or the turnover of the accused (for all, STS of September 26, 1997).</w:t>
      </w:r>
    </w:p>
    <w:p>
      <w:r>
        <w:t>Given the detailed instruction carried out by the DC and the supporting documentation of the analyzed conduct incorporated in the file, this Chamber resolves that the additional evidence requested does not provide added value in terms of defense for the involved parties nor has the capacity to alter the assessment made by the DC in its PR, which this Chamber shares, with the precisions indicated above.</w:t>
      </w:r>
    </w:p>
    <w:p>
      <w:r>
        <w:t>52 “Study of prices applied in the international moving sector for officials,” folios 25004-25072 and 25136 to 25235.</w:t>
      </w:r>
    </w:p>
    <w:p>
      <w:r>
        <w:t>91</w:t>
      </w:r>
    </w:p>
    <w:p>
      <w:r>
        <w:t>Regarding the aforementioned expert report, related to the prices applied in the international moving sector for officials (“Study of prices applied in the international moving sector for officials”), this Chamber understands that it does not succeed in demonstrating that there are reasons justifying that the prices offered by the companies participating in the cartel were higher than those applied to other clients. This Chamber does not share the arguments of the Study regarding factors such as seasonality, complementary offers with an equivalent function to discounts, or payment delays justifying those price differences applied to contracting public bodies compared to other clients. Nor does the comparison between the evolution of prices charged for international moves and the evolution of inflation in Spain allow concluding, as the Study claims, that there has been no indicative overpricing of illicit profit. In fact, in the face of a decline in demand in the moving market as reflected in the Study, one cannot expect a price increase greater than inflation, while maintaining prices, or even a minimal reduction in prices, lower than that occurring in other segments, is consistent with the effects of an agreement among international moving companies.</w:t>
      </w:r>
    </w:p>
    <w:p>
      <w:r>
        <w:t>Therefore, this Chamber considers that the aforementioned expert report provided by two of the involved companies does not succeed in undermining the reality of the infractions accredited in the file nor providing an additional plus of information to the arguments already presented in their allegations by the proponents of such expert report, which is deemed ineffective to modify the facts already sufficiently accredited by the instructing body, the qualification carried out of them, and the assessment made of the effects of the conduct in the market.</w:t>
      </w:r>
    </w:p>
    <w:p>
      <w:r>
        <w:t>Regarding the request for a hearing made by some of the involved parties in their written allegations (TRANSFEREX), it should be noted that the hearing is provided for in the LDC as an action that the Council may agree to at its discretion, “when it considers it appropriate for the analysis and judgment of the object of the file” (art. 19.1 RDC). The competent Chamber does not consider it necessary for the assessment of the present matter to grant the request for a hearing, without this denial leading to any type of defenselessness for the parties, as the National Court has repeatedly pointed out, and given the ample opportunities, utilized by the involved parties throughout the procedure, to present allegations and confront the arguments of the DC.</w:t>
      </w:r>
    </w:p>
    <w:p>
      <w:r>
        <w:t>5.5. On the request for confidentiality</w:t>
      </w:r>
    </w:p>
    <w:p>
      <w:r>
        <w:t>Some of the involved companies have provided in the phase of allegations to the PR information for which they request a declaration of confidentiality, in accordance with the provisions of Article 42 of the LDC, as it refers to commercial information.</w:t>
      </w:r>
    </w:p>
    <w:p>
      <w:r>
        <w:t>In light of this, this Chamber has agreed to declare confidential the following information:</w:t>
      </w:r>
    </w:p>
    <w:p>
      <w:r>
        <w:t>92</w:t>
      </w:r>
    </w:p>
    <w:p>
      <w:r>
        <w:t>Folios 24475-24511, corresponding to the allegations and attached documentation provided by EDICT on April 4, 2016, of which a censored version exists.</w:t>
      </w:r>
    </w:p>
    <w:p>
      <w:r>
        <w:t>Folios 24787 to 24856, folios 24868 to 24871 and folios 24914 to 24954 corresponding to the allegations of AGS MUDANZAS INTERNACIONALES, of which a censored version exists, as well as attached documentation and compliance program.</w:t>
      </w:r>
    </w:p>
    <w:p>
      <w:r>
        <w:t>Folios 25289-25290 corresponding to the turnover of MUDANZAS FLIPPERS, regarding which the company provides a censored version.</w:t>
      </w:r>
    </w:p>
    <w:p>
      <w:r>
        <w:t>Folios 26567 to 26579, attached to the allegations of LA VASCONGADA, for containing personal data of individuals (names, surnames, and places of origin and destination of the move).</w:t>
      </w:r>
    </w:p>
    <w:p>
      <w:r>
        <w:t>Folios 27058-27120 corresponding to the confidential version of the allegations of CABALLERO MOVING and EUROMONDE, of which they have provided a censored version.</w:t>
      </w:r>
    </w:p>
    <w:p>
      <w:r>
        <w:t>Folios 27831-27832 and folios 27834-27835, attached to the allegations of MUDANZAS LA TOLEDANA, for containing personal data of individuals (names, surnames, and places of origin and destination of the move), as well as indicative rates from Ministries.</w:t>
      </w:r>
    </w:p>
    <w:p>
      <w:r>
        <w:t>Folios 28436-7 and folios 28439-40, attached to the allegations of SIT, for containing personal data of individuals (names, surnames, and places of origin and destination of the move), as well as indicative rates from Ministries.</w:t>
      </w:r>
    </w:p>
    <w:p>
      <w:r>
        <w:t>Folios 28454-2885, corresponding to the expert opinion on turnover and other disaggregated income and expense data, which HASENKAMP attaches to its written allegations.</w:t>
      </w:r>
    </w:p>
    <w:p>
      <w:r>
        <w:t>Folios 28941-28957, corresponding to the information related to the turnover provided by INTERDEAN, to which it attached a censored version.</w:t>
      </w:r>
    </w:p>
    <w:p>
      <w:r>
        <w:t>SIXTH.- DETERMINATION OF THE SANCTION</w:t>
      </w:r>
    </w:p>
    <w:p>
      <w:r>
        <w:t>6.1.- Preliminary considerations for the determination of the fine</w:t>
      </w:r>
    </w:p>
    <w:p>
      <w:r>
        <w:t>First of all, it is worth reiterating the applicable law for the determination of the sanction in this case. As explained in the Second Legal Basis, since it is a continued conduct, first under Law 16/1989 and then under Law 15/2007 (LDC), in accordance with the provisions of Article 128 of Law 30/1992, one of the two norms must be applied, opting for the one that is more beneficial for the infringer, in accordance with the principles of non-retroactivity of the more unfavorable sanctioning norm and retroactivity of the more favorable one. Although the conduct prohibited by Article 1 of both laws is identical, the application of the sanctioning regime of the LDC is more favorable.</w:t>
      </w:r>
    </w:p>
    <w:p>
      <w:r>
        <w:t>Regarding the assessment of the infraction, Article 62.4.a) of the LDC establishes that it will be classified as a very serious infraction “[e]l desarrollo de conductas colusorias tipificadas en el artículo 1 de la Ley que consistan en cárteles u otros acuerdos,</w:t>
      </w:r>
    </w:p>
    <w:p>
      <w:r>
        <w:rPr>
          <w:b/>
        </w:rPr>
        <w:t>[Pages 94–96]</w:t>
      </w:r>
    </w:p>
    <w:p>
      <w:r>
        <w:t>the detrimental effects of such practices, which constitute an additional severity of the infringement, given the increased costs that the Administration must bear and, ultimately, the citizens, who are also harmed as taxpayers who must assume a greater burden through their taxes.</w:t>
      </w:r>
    </w:p>
    <w:p>
      <w:r>
        <w:t>As is well known, and this Competition Chamber has had the opportunity to emphasize, the manipulation of services or products ultimately paid for by the public sector has serious repercussions not only on the public finances but also on the overall functioning of the market, as it distorts competition and leads to inefficiencies that can affect the quality and availability of services provided to the public.</w:t>
      </w:r>
    </w:p>
    <w:p>
      <w:r>
        <w:t>6.3.- Criteria for the determination of the sanction: global assessment of the conduct</w:t>
      </w:r>
    </w:p>
    <w:p>
      <w:r>
        <w:t>The conduct in question constitutes a single and continuous infringement, consisting of price fixing and market allocation in the international moving services sector, through the establishment of quotas, respect for transfers and clients, and the exchange of sensitive information for the manipulation of the bidding process for such moves. Some of the infringing companies also set other commercial conditions (complementary services that the cartel companies decided to offer consensually). Therefore, it constitutes a very serious infringement (art. 62.4.a) that may be sanctioned with a fine of up to 10% of the total turnover of the infringing companies in 2015, which is the year immediately preceding the imposition of the fine (art. 63.1.c).</w:t>
      </w:r>
    </w:p>
    <w:p>
      <w:r>
        <w:t>The following table shows the total turnover of the infringing companies in 2015:</w:t>
      </w:r>
    </w:p>
    <w:p>
      <w:r>
        <w:t>| Companies                                      | Total turnover in 2015 (€) |</w:t>
        <w:br/>
        <w:t>|------------------------------------------------|-----------------------------|</w:t>
        <w:br/>
        <w:t>| AGS MUDANZAS INTERNACIONALES, S.L.            | 3,711,247                   |</w:t>
        <w:br/>
        <w:t>| CABALLERO MOVING, S.L.                        | 3,307,595                   |</w:t>
        <w:br/>
        <w:t>| EUROMONDE, S.L.                               | 1,089,794                   |</w:t>
        <w:br/>
        <w:t>| GIL STAUFFER MADRID, S.L.                     | 2,124,481                   |</w:t>
        <w:br/>
        <w:t>| HASENKAMP RELOCATION SERVICES SPAIN, S.L.    | 2,930,000                   |</w:t>
        <w:br/>
        <w:t>| INTERDEAN, S.A.                               | 13,767,965                  |</w:t>
        <w:br/>
        <w:t>| LA VASCONGADA, S.L.                           | 8,061,663                   |</w:t>
        <w:br/>
        <w:t>| MUDANZAS FLIPPERS INTERNACIONAL, S.L.        | 5,317,623                   |</w:t>
        <w:br/>
        <w:t>| MUDANZAS LA TOLEDANA, S.L.                    | 2,325,002                   |</w:t>
        <w:br/>
        <w:t>| MUDANZAS MUNDIVAN, S.L.                       | 1,674,421                   |</w:t>
        <w:br/>
        <w:t>| MUDANZAS RUMBO, S.A.                          | 686,133                     |</w:t>
        <w:br/>
        <w:t>| PROCOEX MUDANZAS, S.L.                        | 677,588                     |</w:t>
        <w:br/>
        <w:t>| SANCHO ORTEGA INTERNACIONAL, S.A.             | 1,049,977                   |</w:t>
        <w:br/>
        <w:t>| SIT GRUPO EMPRESARIAL, S.L.                   | 21,003,821                  |</w:t>
        <w:br/>
        <w:t>| TRANSFEREX, S.A.                              | 3,467,875                   |</w:t>
      </w:r>
    </w:p>
    <w:p>
      <w:r>
        <w:t>Taking into consideration these figures provided by the companies, the sanctioning percentage to be applied in this case must be determined based on the graduation criteria of Article 64.1 of the LDC, in accordance with what has been stated in the aforementioned jurisprudence of the Supreme Court.</w:t>
      </w:r>
    </w:p>
    <w:p>
      <w:r>
        <w:t>From a global perspective of the infringement, the market affected by the conduct, as has already been pointed out, is the market for international moving services, not only those from origin/destination in Spain provided to officials of the Spanish Administration, for which more evidence has been gathered, but also, to a lesser extent, between countries other than Spain, to employees of international organizations and foreign administrations, private companies, and individuals.</w:t>
      </w:r>
    </w:p>
    <w:p>
      <w:r>
        <w:t>Regarding the scope of the conduct, throughout the period in which the behaviors subject to this resolution have developed, the market share of international moving services affected by the infringement has been significant, although there were other moving companies available that have not been proven to have participated in the infringement. In any case, it has been effectively proven that the cartel increased prices and maintained a high price level in this market during the years the agreements were in force. According to the file, they reached to apply a consensual margin of up to 12,000 euros of net profit per operation at least until 2009, and, in general, high profit margins that exceeded 50% of the estimated price. The infringing companies themselves were aware that their conduct "drastically reduced competition," as evidenced by their exchanges of information.</w:t>
      </w:r>
    </w:p>
    <w:p>
      <w:r>
        <w:t>On the other hand, the practices being analyzed have national reach and are likely to significantly affect intra-community trade.</w:t>
      </w:r>
    </w:p>
    <w:p>
      <w:r>
        <w:t>In analogous cases where the manipulation of services or products ultimately paid for by the public sector has been investigated, both the CNC and the CNMC have pointed out the harmful effects of such practices, constituting an additional severity of the infringement, given the increased costs that the Administration must bear and, ultimately, the citizens, who also suffer as taxpayers who must assume a greater burden through their taxes.</w:t>
      </w:r>
    </w:p>
    <w:p>
      <w:r>
        <w:rPr>
          <w:b/>
        </w:rPr>
        <w:t>[Pages 97–99]</w:t>
      </w:r>
    </w:p>
    <w:p>
      <w:r>
        <w:t>(RCNMC of December 3, 2015, S/0481/13 Expte. Modular Constructions), the twenty-third additional provision of the TRLCSP obliges contracting authorities to inform the CNMC of any indication of infringement in competition matters, in the context of public tenders for which they are responsible. Likewise, through the ninth final provision of Law 40/2015, of October 1, on the Legal Regime of the Public Sector, a specific prohibition on contracting is included in Article 60 of the TRLCSP for those sanctioned for serious infringement in relation to distortion of competition. Although the prohibition on contracting provided for in the reformed Article 50 of the TRLCSP does not apply, for reasons of validity, in this file, both provisions highlight the importance of preserving the necessary conditions of competition in public procurement processes and the significant reproach that the legislator deserves for behaviors such as those evidenced in this file. As the Competition Authority has pointed out in the scope of its promotional tasks, “competition among bidders is the way to ensure that public sector entities, and society ultimately, benefit from the best offers in terms of price, quality, and innovation of the goods or services ultimately contracted. Deficient competition conditions entail a greater economic burden for public sector entities that contract goods and services and therefore for citizens.” The contentious jurisdiction has also emphasized the additional reproach that such infringements imply: “Regarding proportionality, we must consider the significant impact on the public interest; the collusion we examine altered the prices of tenders funded by public funds, and there was an unjust enrichment for the non-awarded companies that participated in the conduct, precisely at the expense of said public funds. On the other hand, the conduct evaded the administrative rules that guarantee transparency in administrative contracting and the accuracy in selecting the most advantageous offer, and directly aimed to prevent its application” (judgment of the National Court of May 16, 2014, appeal no. 643/2011).</w:t>
      </w:r>
    </w:p>
    <w:p>
      <w:r>
        <w:t>Regarding the organization of the agreements, each participating company in the agreements was assigned a percentage that was modulated based on the circumstances under which each obtained the award of the relocations, for example, if only other companies from the Agreement participated, which allowed for higher prices, or if there were companies outside the cartel. The supposed competitors, once the winner was designated for each planned contract, deliberately submitted offers above a certain agreed amount, thus creating the false appearance that the awarded offer was the most competitive. The cartel's actions were materialized through specific instruments established for that purpose, such as monetary and non-monetary compensations, the use of “webmail” accounts created for this purpose, and through a management, control, and monitoring system of the actions of the cartel companies.</w:t>
      </w:r>
    </w:p>
    <w:p>
      <w:r>
        <w:t>Furthermore, the infringing companies attempted to maintain market control, trying to hinder companies not participating in the Agreement from being contracted by the ministries, through letters or complaints against such moving companies to the ministerial departments.</w:t>
      </w:r>
    </w:p>
    <w:p>
      <w:r>
        <w:t>Following the aforementioned judgment of the Supreme Court, the set of factors exposed above – severity of the infringement, scope and geographical area of the conduct, characteristics of the affected market, effects produced, organization of the agreements, etc. – allows for a specification, within the sanctioning scale that runs up to 10% of the total turnover, of the overall assessment of the unlawful density of the conduct. Consequently, this Council considers that the overall sanctioning rate in this file should generally be set at 5.0%, without prejudice to the adjustments that should be made individually according to the conduct of each company.</w:t>
      </w:r>
    </w:p>
    <w:p>
      <w:r>
        <w:t>In relation to this point, it is worth noting that, although the instruction of the file has revealed the existence of actions of boycott, retaliation, and pressure, carried out against non-participating companies in the Agreement, or used when certain cartel companies did not respect the minimum price agreement, these circumstances, instead of being a general criterion for the assessment of the conduct, will be taken into account as aggravating circumstances for some companies in section 6.4., so the general sanctioning rate is somewhat lower than what would correspond to the severity and other circumstances of the infringement.</w:t>
      </w:r>
    </w:p>
    <w:p>
      <w:r>
        <w:t>6.3.- Criteria for the individual assessment of the conduct: participation in the conduct.</w:t>
      </w:r>
    </w:p>
    <w:p>
      <w:r>
        <w:t>Within the criteria for the individualization of the sanctioning reproach, it is advisable to mainly consider the participation of each company in the volume of business in the affected market during the infringement. This figure corresponds to the billing of the infringing companies in the market for international moving services, not only those with origin/destination in Spain provided to officials of the Spanish Administration, but also, to a lesser extent, between countries other than Spain, to employees of international organizations and foreign administrations, private companies, and individuals. This data can be deduced from the information provided by the companies at the request of the CNMC.</w:t>
      </w:r>
    </w:p>
    <w:p>
      <w:r>
        <w:t>The turnover volumes of the companies charged in the affected market during the conduct show the dimension of the market affected by each due to the infringement, which depends both on the duration of the conduct that has been evidenced for each company and on the intensity of its participation in it, and therefore constitutes an appropriate reference criterion for determining the sanction that should be imposed on each company (art. 64, 1, a and d).</w:t>
      </w:r>
    </w:p>
    <w:p>
      <w:r>
        <w:t>The following table shows the turnover of the affected market for each company during the infringement, as well as the participation share of each company in the total turnover affected by the infringement in this file:</w:t>
      </w:r>
    </w:p>
    <w:p>
      <w:r>
        <w:t xml:space="preserve">Turnover in the Affected Market (€) | Participation in the Conduct (%) </w:t>
        <w:br/>
        <w:t xml:space="preserve">--- | --- </w:t>
        <w:br/>
        <w:t xml:space="preserve">AGS MUDANZAS INTERNACIONALES, S.L. | 22,371,184 | 5.60% </w:t>
        <w:br/>
        <w:t xml:space="preserve">CABALLERO MOVING, S.L. | 11,573,322 | 2.90% </w:t>
        <w:br/>
        <w:t xml:space="preserve">EUROMONDE, S.L. | 7,744,473 | 1.90% </w:t>
        <w:br/>
        <w:t xml:space="preserve">GIL STAUFFER MADRID, S.L. | 95,510 | 0.02% </w:t>
        <w:br/>
        <w:t xml:space="preserve">HASENKAMP RELOCATION SERVICES SPAIN, S.L. | 2,005,155 | 0.50% </w:t>
        <w:br/>
        <w:t xml:space="preserve">INTERDEAN, S.A. | 136,750,551 | 34.10% </w:t>
        <w:br/>
        <w:t xml:space="preserve">LA VASCONGADA, S.L. | 32,768,035 | 8.20% </w:t>
        <w:br/>
        <w:t xml:space="preserve">MUDANZAS FLIPPERS INTERNACIONAL, S.L. | 38,936,994 | 9.70% </w:t>
        <w:br/>
        <w:t xml:space="preserve">MUDANZAS LA TOLEDANA, S.L. | 3,770,199 | 0.90% </w:t>
        <w:br/>
        <w:t xml:space="preserve">MUDANZAS MUNDIVAN, S.L. | 20,914,381 | 5.20% </w:t>
        <w:br/>
        <w:t xml:space="preserve">MUDANZAS RUMBO, S.A. | 2,221,366 | 0.60% </w:t>
        <w:br/>
        <w:t xml:space="preserve">PROCOEX MUDANZAS, S.L. | 493,368 | 0.12% </w:t>
        <w:br/>
        <w:t xml:space="preserve">SANCHO ORTEGA INTERNACIONAL, S.A. | 13,658,332 | 3.40% </w:t>
        <w:br/>
        <w:t xml:space="preserve">SIT GRUPO EMPRESARIAL, S.L. | 102,492,002 | 25.50% </w:t>
        <w:br/>
        <w:t>TRANSFEREX, S.A. | 6,246,297 | 1.60%</w:t>
      </w:r>
    </w:p>
    <w:p>
      <w:r>
        <w:t>In light of this, it is considered appropriate for the necessary individualization of the sanctions to adjust the sanction percentage upwards for those companies that have had a participation in the conduct exceeding 5%.</w:t>
      </w:r>
    </w:p>
    <w:p>
      <w:r>
        <w:t>In its allegations, PROCOEX argues that none of the 26 estimates it submitted were awarded to it. This circumstance does not exempt this company from its responsibility for participating in the support estimate system. The greater or lesser success that the conduct may have had for the companies, the billing derived from it, the quantity or frequency of the estimates submitted and the contracts received, does not in any case undermine the attribution of these companies due to their actions in the market sharing. However, the lower volume of awards</w:t>
      </w:r>
    </w:p>
    <w:p>
      <w:r>
        <w:rPr>
          <w:b/>
        </w:rPr>
        <w:t>[Pages 100–102]</w:t>
      </w:r>
    </w:p>
    <w:p>
      <w:r>
        <w:t>of 2012, en la que se menciona la existencia de prácticas anticompetitivas por parte de otras empresas del sector. Sin embargo, la DC considera que esta alegación no puede ser tenida en cuenta como circunstancia atenuante, ya que la información proporcionada no es suficiente para demostrar que FLIPPERS ha colaborado de manera efectiva con la investigación, ni que su actuación haya contribuido a la detección de la infracción.</w:t>
      </w:r>
    </w:p>
    <w:p>
      <w:r>
        <w:t>6.4.3.- Conclusión sobre la valoración de la conducta</w:t>
        <w:br/>
        <w:t>En base a lo expuesto, la DC concluye que existen circunstancias agravantes que justifican la imposición de sanciones más severas a las empresas implicadas en la conducta anticompetitiva, mientras que no se han presentado circunstancias atenuantes que puedan reducir la cuantía de las mismas. Por lo tanto, se procederá a la determinación del importe de las sanciones a imponer, teniendo en cuenta las circunstancias específicas de cada empresa y su grado de implicación en la infracción.</w:t>
      </w:r>
    </w:p>
    <w:p>
      <w:r>
        <w:rPr>
          <w:b/>
        </w:rPr>
        <w:t>[Pages 103–105]</w:t>
      </w:r>
    </w:p>
    <w:p>
      <w:r>
        <w:t xml:space="preserve">2015, in which he indicates that “[…] as far as I know, you are the only company that does not send the three estimates.”  </w:t>
        <w:br/>
        <w:t xml:space="preserve">Article 64.3 of the LDC formulates a non-exhaustive catalog of mitigating circumstances, and the one alleged by FLIPPERS can be considered conceptually close to the assumption of active and effective collaboration with the CNMC [letter d) of art. 64.3 of the LDC]. This Chamber considers that the information provided derives from the duty to collaborate with the CNMC and to supply the data and information available. In this case, although it was not information expressly requested by the CNMC, it is documentation provided in defense of FLIPPERS itself – it is identified in the aforementioned emails as the only or one of the only companies that does not provide the three estimates – therefore, it does not reach the level of significant added value that would allow it to be classified as mitigating.  </w:t>
        <w:br/>
        <w:t xml:space="preserve">c) Introduction of a compliance program  </w:t>
        <w:br/>
        <w:t xml:space="preserve">On the other hand, one of the companies involved in the infringement (AGS) requests that it be considered as a mitigating circumstance that it has implemented a compliance program with competition regulations after the events that motivate this sanctioning file. Specifically, such a program would have been adopted by the Board of Directors of AGS in November 2015, following a prior decision by its corporate group at the central level. This claim is based on the analogical application of the recently introduced provision of the Penal Code (art. 31 quater) which states that the existence of a compliance program implemented before the start of the oral trial can be a mitigating factor for the legal entity's liability: “Only the following activities carried out after the commission of the crime and through their legal representatives may be considered mitigating circumstances of the criminal liability of legal entities: […] d) Having established, before the start of the oral trial, effective measures to prevent and detect crimes that may be committed in the future with the means or under the cover of the legal entity.”  </w:t>
        <w:br/>
        <w:t xml:space="preserve">In relation to this allegation, the Competition Chamber considers, in general terms, that all actions by companies aimed at internally promoting knowledge of competition rules and preventing and avoiding their possible non-compliance are positive; in fact, the CNMC promotes such initiatives and programs in companies. However, as the CJEU has pointed out in its judgment of July 18, 2013 (case C-501/11 Schindler Holding and others/Commission), the mere fact of introducing these internal programs for compliance with competition rules cannot be taken as a mitigating circumstance, especially in those cases where the evidence of an infringement is clear evidence for the sanctioned companies of a failure to comply with such internal rules. Likewise, this Chamber has had the opportunity to point out in a previous resolution (RCNMC of July 23, 2015, Expte. S/0482/13 Automobile Manufacturers) that when the established facts do not allow concluding the existence prior to the infringement of a successful compliance program that effectively would have articulated and applied internal controls and severe disciplinary sanctions, it cannot be inferred that the company in question has a genuine commitment to compliance with competition regulations, for the purposes of valuing it as mitigating.  </w:t>
        <w:br/>
        <w:t xml:space="preserve">Regarding not the existence of a compliance program prior to the infringement, but its subsequent implementation once the conduct has occurred and the sanctioning file has been initiated, this Chamber adopts the European Commission's consideration that the main reward derived from the introduction of such programs, if they prove effective, will be the non-existence of conduct contrary to competition or, in the worst case, their immediate detection and the advantages derived from being able to make use of the Leniency Programs. Likewise, this Competition Chamber has pointed out that, although the adoption of compliance measures once the instruction of a sanctioning file has begun formally reflects the company's willingness to comply, the real effect of such measures regarding compliance with competition regulations can only be assessed in the monitoring phase of the sanctioning resolution, which does not prevent that, depending on the circumstances of the specific case, it may be considered as a moderating element of the sanction (in a similar sense, RCNMC of September 17, 2015, Expte SNC/0036/15 MEDIASET).  </w:t>
        <w:br/>
        <w:t xml:space="preserve">In the present file, given the established facts, this Chamber cannot share AGS's criterion regarding the adoption of such internal compliance rules after the investigative action of the DC meets the requirements that would allow them to be valued as a mitigating circumstance, according to the provision of article 64.3 of the LDC.  </w:t>
        <w:br/>
        <w:t xml:space="preserve">This Chamber understands that, for the introduction of compliance programs at this stage, after the commission of the conduct, not to be configured as a mere improvement of the corporate image, it is necessary to require companies to undertake preventive and investigative reorganization and establish effective measures to prevent, avoid, and, where appropriate, promptly detect the infringements. As AGS points out in its allegations, the program consists of three main phases: internal audit to identify infringement risks, adoption of operational protocols and code of good practices, and a third phase of training for AGS's risk personnel.  </w:t>
        <w:br/>
        <w:t xml:space="preserve">However, regarding the mandatory analogical application of the guarantees of criminal law in the field of sanctioning administrative law, as AGS argues, it is worth emphasizing that, beyond the post-factum adoption of a compliance program, the assessment of the effectiveness of this specific program is complex in the present case because its content does not allow inferring an effective application and there are no indications regarding the assessment and consequences of applying such a program to the facts now under investigation, in terms of the detection and indication of the activities in which there is a risk of committing the infringements subject to this file.  </w:t>
        <w:br/>
        <w:t xml:space="preserve">There is no doubt about the convenience of carrying out an integrative and harmonizing interpretation of the norms of our legal system, regarding criminal law and sanctioning administrative law, with the necessary nuances imposed by the differences between one regime and another, but such interpretation does not allow in this case to accept the claim for analogical application of the mitigating factor of the Penal Code, since the elements established by this norm for that purpose do not concur, without prejudice to the fact that the adoption of a compliance program may be taken into account in this case to modulate the sanction.  </w:t>
        <w:br/>
        <w:t xml:space="preserve">6.5.- Sanction to be imposed on the infringing entities  </w:t>
        <w:br/>
        <w:t xml:space="preserve">In accordance with all that has been stated, this Chamber considers that it is appropriate to impose on the infringing entities to which the LDC applies the sanction shown in the following table:  </w:t>
        <w:br/>
        <w:t xml:space="preserve">Volume of  </w:t>
        <w:br/>
        <w:t xml:space="preserve">Type  </w:t>
        <w:br/>
        <w:t xml:space="preserve">businesses Fine  </w:t>
        <w:br/>
        <w:t xml:space="preserve">Company sanctioning  </w:t>
        <w:br/>
        <w:t xml:space="preserve">total (in €) (in €)  </w:t>
        <w:br/>
        <w:t xml:space="preserve">(%)  </w:t>
        <w:br/>
        <w:t xml:space="preserve">in 2015  </w:t>
        <w:br/>
        <w:t xml:space="preserve">AGS MUDANZAS INTERNACIONALES, S.L. 3,711,247 4.75% 176,284  </w:t>
        <w:br/>
        <w:t xml:space="preserve">CABALLERO MOVING, S.L. 3,307,595 5.80% 191,841  </w:t>
        <w:br/>
        <w:t xml:space="preserve">EUROMONDE, S.L. 1,089,794 5.50% 59,939  </w:t>
        <w:br/>
        <w:t xml:space="preserve">GIL STAUFFER MADRID, S.L. 2,124,481 0.60% 12,747  </w:t>
        <w:br/>
        <w:t xml:space="preserve">HASENKAMP RELOCATION SERVICES SPAIN, S.L. 2,930,000 5.00% 146,500  </w:t>
        <w:br/>
        <w:t xml:space="preserve">INTERDEAN, S.A. 13,767,965 7.20% 991,293  </w:t>
        <w:br/>
        <w:t xml:space="preserve">LA VASCONGADA, S.L. 8,061,663 6.00% 483,700  </w:t>
        <w:br/>
        <w:t xml:space="preserve">MUDANZAS FLIPPERS INTERNACIONAL, S.L. 5,317,623 5.80% 308,422  </w:t>
        <w:br/>
        <w:t xml:space="preserve">MUDANZAS LA TOLEDANA, S.L. 2,325,002 5.00% 116,250  </w:t>
        <w:br/>
        <w:t xml:space="preserve">MUDANZAS MUNDIVAN, S.L. 1,674,421 5.00% 83,721  </w:t>
        <w:br/>
        <w:t xml:space="preserve">MUDANZAS RUMBO, S.A. 686,133 5.00% 34,307  </w:t>
        <w:br/>
        <w:t xml:space="preserve">PROCOEX MUDANZAS, S.L. 677,588 5.00% 33,879  </w:t>
        <w:br/>
        <w:t xml:space="preserve">SANCHO ORTEGA INTERNACIONAL, S.A. 1,049,977 5.00% 52,499  </w:t>
        <w:br/>
        <w:t>SIT GRUPO EMPRESARIAL, S.L. 21,003,821 7.20% 1,512,275</w:t>
      </w:r>
    </w:p>
    <w:p>
      <w:r>
        <w:rPr>
          <w:b/>
        </w:rPr>
        <w:t>[Pages 106–108]</w:t>
      </w:r>
    </w:p>
    <w:p>
      <w:r>
        <w:t xml:space="preserve">TRANSFEREX, S.A. 3,467,875 5.50% 190,733  </w:t>
        <w:br/>
        <w:t xml:space="preserve">Although the infringement of MUDANZAS DÁVILA is considered proven for the period between October 2004 and February 2011, due to its participation in agreements for market sharing, price fixing, and the exchange of sensitive commercial information regarding the procedure for submitting estimates for international moving services, given its situation of insolvency or de facto extinction, no fine can be imposed on this company. Furthermore, the concurrent circumstances do not allow linking the insolvency and the processing of the sanctioning file in such a way that, contrary to what has occurred in other sanctioning files resolved by this Chamber, there are no indications that should lead to a possible investigation into potential liability derivations due to business succession or economic continuity.  </w:t>
        <w:br/>
        <w:t xml:space="preserve">Only in the case of GIL STAUFFER MADRID, the final sanctioning rate shown in the previous table is lower than what would have corresponded according to the severity of the conduct and its participation in the infringement, which would have been 5.0%. However, it has been adjusted downwards to ensure that the imposed sanction is proportional also in the case of companies with a more multiproduct character, in accordance with the aforementioned jurisprudence of the Supreme Court.  </w:t>
        <w:br/>
        <w:t xml:space="preserve">Indeed, a sanctioning rate, although proportional to the characteristics of the collusive conduct and to a company's participation in the infringement, if applied to the total turnover of multiproduct companies, that is, those that present a high proportion of their activity outside the affected market, would lead to a sanction in euros that would not respect the proportionality with the effective dimension of the anticompetitive conduct of these companies. The multiproduct nature of GIL STAUFFER MADRID can be clearly verified because its average turnover in the affected market represents less than 9% of its total turnover. That is, only 9% of this company's turnover corresponds to the affected market.  </w:t>
        <w:br/>
        <w:t xml:space="preserve">To carry out any assessment of proportionality, it is necessary to estimate the illicit benefit that the infringing entity could have obtained from the conduct under very prudent assumptions (which can be referred to as potential illicit benefit). According to the estimates made with those prudent assumptions, if the sanctioning rate that would correspond to GIL STAUFFER MADRID according to the severity of the conduct and its participation in the infringement (5.0%) were applied, the resulting sanction (106,224 euros) would far exceed the proportionality limit (which has been estimated for this company at around 13,000 euros), which implies that the sanction derived from a sanctioning rate of 5% would be clearly disproportionate. Therefore, this Council has deemed it necessary to adjust the sanctioning rate downwards to 0.6%, which is the rate that ensures that the sanction does not exceed the estimated proportionality limit with those prudent criteria.  </w:t>
        <w:br/>
        <w:t xml:space="preserve">In the case of the other companies, it has not been necessary to make a similar proportionality adjustment because the sanctions resulting from applying the sanctioning rates that correspond to them, according to the severity of the conduct and their participation in the infringement, are always below the respective estimated proportionality limits with the same prudent criteria.  </w:t>
        <w:br/>
        <w:t xml:space="preserve">SEVENTH. Application of Article 66 of the LDC  </w:t>
        <w:br/>
        <w:t xml:space="preserve">The request for a reduction of the fine amount, submitted by INTERDEAN on June 10, 2015, following inspections carried out by the CNMC from December 4 to 6, 2014, at the premises of SIT, CABALLERO, FLIPPERS, and TRANSFEREX, and subsequently expanded on July 17 and 30, 2015, has been examined in accordance with the provisions of Article 66 of the LDC and once the content of said request and the evidence provided with it and subsequently have been assessed, this Competition Chamber, coinciding with what was proposed by the instructing body, considers that INTERDEAN has provided information that has allowed contrasting, confirming, and clarifying documentation previously obtained in the inspections carried out and that has had significant qualitative importance for better understanding the content and scope of the agreement adopted by the companies involved, providing significant added value compared to what the CNMC already had at those dates to demonstrate the functioning of the cartel, and, specifically, to prove the practice in the relocations of employees of the EFE Agency, allowing to contrast and confirm the practices adopted by the cartel, its methods, and to prove the participation of the other companies involved in it.  </w:t>
        <w:br/>
        <w:t xml:space="preserve">Regarding the specific percentage of the fine reduction, as is known, Article 66.2 of the LDC provides that this can reach between 30% and 50% of the fine amount in cases like that of INTERDEAN, where it has been the first (and in this case the only) to meet the requirements of Article 66.1 of the LDC. In this specific case, this Chamber understands that this percentage should be 30%, taking into account the importance of the elements provided for better identification and classification of the conduct.  </w:t>
        <w:br/>
        <w:t xml:space="preserve">This Chamber considers that, while meeting the requirements set forth in Article 66.1.a) and b), the collaboration provided by INTERDEAN does not justify granting it a greater fine reduction than indicated. The request for reduction submitted by INTERDEAN (June 10, 2015) was made more than four months after the first request for information made by the DC to INTERDEAN (January 23, 2015).  </w:t>
        <w:br/>
        <w:t xml:space="preserve">For all these reasons, this Competition Chamber considers that the amount of the sanction corresponding to INTERDEAN, S.A. should be reduced by the indicated percentage of 30%, which amounts to a reduction of 297,388 euros.  </w:t>
        <w:br/>
        <w:t xml:space="preserve">In virtue of this, having seen the cited articles and the others of general application, the Competition Chamber of the Council of the National Commission of Markets and Competition,  </w:t>
        <w:br/>
        <w:t xml:space="preserve">HAS RESOLVED  </w:t>
        <w:br/>
        <w:t xml:space="preserve">FIRST.- To declare that in this file an infringement of Article 1 of Law 15/2007, of July 3, on the Defense of Competition and Article 101 of the Treaty on the Functioning of the European Union has been proven, in the terms set forth in the Fourth Legal Basis of this Resolution.  </w:t>
        <w:br/>
        <w:t xml:space="preserve">SECOND.- In accordance with the responsibility attributed in the Fourth Legal Basis, to declare the following companies responsible for the aforementioned infringements:  </w:t>
        <w:br/>
        <w:t xml:space="preserve">1. AGS MUDANZAS INTERNACIONALES, S.L., for its participation in the cartel from at least October 2004 until November 2014  </w:t>
        <w:br/>
        <w:t xml:space="preserve">2. CABALLERO MOVING, S.L., for its participation in the cartel from at least February 2008 until November 2014  </w:t>
        <w:br/>
        <w:t xml:space="preserve">3. EUROMONDE, S.L., for its participation in the cartel from at least October 2004 until February 2013.  </w:t>
        <w:br/>
        <w:t xml:space="preserve">4. GIL STAUFFER MADRID, S.L., for its participation in the cartel from at least June 2014 until November 2014.  </w:t>
        <w:br/>
        <w:t xml:space="preserve">5. HASENKAMP RELOCATION SERVICES SPAIN, S.L., for its participation in the cartel from October 2010 until November 2014.  </w:t>
        <w:br/>
        <w:t xml:space="preserve">6. INTERDEAN, S.A., for its participation in the cartel from at least January 1997 until November 2014.  </w:t>
        <w:br/>
        <w:t xml:space="preserve">7. LA VASCONGADA, S.L., for its participation in the cartel from at least October 2004 until November 2014.  </w:t>
        <w:br/>
        <w:t xml:space="preserve">8. MUDANZAS DÁVILA, S.A. for its participation in the cartel from at least October 2004 until February 2011.  </w:t>
        <w:br/>
        <w:t>9. MUDANZAS FLIPPERS INTERNACIONAL, S.L., for its participation in the cartel from at least October 2004 until November 2014.</w:t>
      </w:r>
    </w:p>
    <w:p>
      <w:r>
        <w:rPr>
          <w:b/>
        </w:rPr>
        <w:t>[Pages 109–111]</w:t>
      </w:r>
    </w:p>
    <w:p>
      <w:r>
        <w:t xml:space="preserve">10. MUDANZAS LA TOLEDANA, S.L. for its participation in the cartel from at least October 2004 until November 2014.  </w:t>
        <w:br/>
        <w:t xml:space="preserve">11. MUDANZAS MUNDIVAN, S.L., for its participation in the cartel from at least October 2004 until November 2014.  </w:t>
        <w:br/>
        <w:t xml:space="preserve">12. MUDANZAS RUMBO, S.A., for its participation in the cartel from at least October 2004 until November 2014.  </w:t>
        <w:br/>
        <w:t xml:space="preserve">13. PROCOEX MUDANZAS, S.L., for its participation in the cartel from at least December 2007 until November 2014.  </w:t>
        <w:br/>
        <w:t xml:space="preserve">14. SANCHO ORTEGA INTERNACIONAL, S.A., for its participation in the cartel from at least October 2004 until November 2014.  </w:t>
        <w:br/>
        <w:t xml:space="preserve">15. SIT GRUPO EMPRESARIAL, S.L., for its participation in the cartel from at least January 1997 until November 2014.  </w:t>
        <w:br/>
        <w:t>16. TRANSFEREX, S.A., for its participation in the cartel from at least October 2004 until November 2014.</w:t>
      </w:r>
    </w:p>
    <w:p>
      <w:r>
        <w:t xml:space="preserve">THIRD.- Impose the following fines on the responsible authors of the infringing conduct:  </w:t>
        <w:br/>
        <w:t xml:space="preserve">1. AGS MUDANZAS INTERNACIONALES, S.L: €176,284  </w:t>
        <w:br/>
        <w:t xml:space="preserve">2. CABALLERO MOVING, S.L.: €191,841  </w:t>
        <w:br/>
        <w:t xml:space="preserve">3. EUROMONDE, S.L.: €59,939  </w:t>
        <w:br/>
        <w:t xml:space="preserve">4. GIL STAUFFER MADRID, S.L.: €12,747  </w:t>
        <w:br/>
        <w:t xml:space="preserve">5. HASENKAMP RELOCATION SERVICES SPAIN, S.L.: €146,500  </w:t>
        <w:br/>
        <w:t xml:space="preserve">6. INTERDEAN, S.A.: €991,293  </w:t>
        <w:br/>
        <w:t xml:space="preserve">7. LA VASCONGADA, S.L.: €483,700  </w:t>
        <w:br/>
        <w:t xml:space="preserve">8. MUDANZAS FLIPPERS INTERNACIONAL, S.L.: €308,422  </w:t>
        <w:br/>
        <w:t xml:space="preserve">9. MUDANZAS LA TOLEDANA, S.L.: €116,250  </w:t>
        <w:br/>
        <w:t xml:space="preserve">10. MUDANZAS MUNDIVAN, S.L.: €83,721  </w:t>
        <w:br/>
        <w:t xml:space="preserve">11. MUDANZAS RUMBO, S.A.: €34,307  </w:t>
        <w:br/>
        <w:t xml:space="preserve">12. PROCOEX MUDANZAS, S.L.: €33,879  </w:t>
        <w:br/>
        <w:t xml:space="preserve">13. SANCHO ORTEGA INTERNACIONAL, S.A.: €52,499  </w:t>
        <w:br/>
        <w:t xml:space="preserve">14. SIT GRUPO EMPRESARIAL, S.L.: €1,512,275  </w:t>
        <w:br/>
        <w:t>15. TRANSFEREX, S.A.: €190,733</w:t>
      </w:r>
    </w:p>
    <w:p>
      <w:r>
        <w:t>FOURTH.- Declare that INTERDEAN, S.A. meets the requirements set forth in Article 66 of the LDC and, consequently, grant it a 30% reduction, equivalent to €297,388, in the payment of the fine corresponding to its participation in the infringing conduct, so that the resulting fine is €693,905.</w:t>
      </w:r>
    </w:p>
    <w:p>
      <w:r>
        <w:t>FIFTH.- Proceed to archive the proceedings against MUDANZAS MERIDIONAL, S.L. and ACTIVIDADES DE MUDANZAS Y GESTIONES OPERATIVAS, S.A. (Grupo AMYGO), for not having established the commission of an infringement by said companies, in the terms set forth in the Fourth Ground.</w:t>
      </w:r>
    </w:p>
    <w:p>
      <w:r>
        <w:t>SIXTH.- Declare the conduct regarding TRANSPORTES FLUITERS, S.L. and EUROPEA DISTRIBUCIÓN COMERCIO Y TRANSPORTE, S.L. as time-barred and proceed to the corresponding archiving of the proceedings.</w:t>
      </w:r>
    </w:p>
    <w:p>
      <w:r>
        <w:t>SEVENTH.- Urge the sanctioned companies to refrain in the future from engaging in identical or similar conduct, of the nature previously described.</w:t>
      </w:r>
    </w:p>
    <w:p>
      <w:r>
        <w:t>EIGHTH.- Request the Competition Directorate of this National Commission of Markets and Competition to monitor and ensure the full compliance with this Resolution.</w:t>
      </w:r>
    </w:p>
    <w:p>
      <w:r>
        <w:t>NINTH.- Resolve on the confidentiality regarding the documentation provided by the companies in accordance with what is indicated in the Fifth Legal Ground. Communicate this Resolution to the Competition Directorate of the National Commission of Markets and Competition and notify the interested parties, informing them that there is no administrative appeal against it, being able to file a contentious-administrative appeal in the National Court, within two months from the day following its notification.</w:t>
      </w:r>
    </w:p>
    <w:p>
      <w:r>
        <w:t>DISSENTING INDIVIDUAL VOTE formulated by Councilor Mr. Fernando Torremocha y García-Sáenz to this Resolution approved by simple majority, within the framework of the Sanctioning File S/DC/0544/14 MUDANZAS INTERNACIONALES. Resolution that was finally circulated, in its latest version at 18:17 hours. I specify and substantiate my DISSENT in the following REASONS</w:t>
      </w:r>
    </w:p>
    <w:p>
      <w:r>
        <w:t xml:space="preserve">I.-  </w:t>
        <w:br/>
        <w:t xml:space="preserve">REDUCTION OF THE AMOUNT OF THE FINE  </w:t>
        <w:br/>
        <w:t>EX ARTICLE 66 LAW 15/2007</w:t>
      </w:r>
    </w:p>
    <w:p>
      <w:r>
        <w:t xml:space="preserve">FIRST.- The following are certain, undisputed, and verifiable PROVEN FACTS that have shaped the BACKGROUND section of this Resolution with which I disagree.  </w:t>
        <w:br/>
        <w:t xml:space="preserve">1st On October 17, 2014, the Competition Directorate initiated a CONFIDENTIAL INFORMATION (DP/0041/14) “collecting information from the internet such as a promotional brochure from the company CABALLERO (pages 3 to 9), the content of a blog in which a civil servant from a ministry described her experience with moving (pages 10 to 12), as well as a computer list of moving companies that regularly provide their services in the General State Administration (AGE) (page 13).  </w:t>
        <w:br/>
        <w:t xml:space="preserve">2nd On November 4, 5, and 6, 2014, the Competition Directorate, within the framework of the Confidential Information, carried out SIMULTANEOUS HOME INSPECTIONS at the offices of the following companies (…).  </w:t>
        <w:br/>
        <w:t xml:space="preserve">3rd On January 23, 2015, during the Confidential Information Phase, the Competition Directorate made INFORMATION REQUESTS to several companies, specifically to (…) INTERDEAN S.A. The responses to the aforementioned requests were received by the CNMC between January 27 and February 23, 2015.  </w:t>
        <w:br/>
        <w:t>4th On February 20, 2015, based on the Confidential Information, the Competition Directorate observed rational indications of the existence of conduct prohibited by the LDC, so in accordance with the provisions of section 1 of Article 49 LDC, it AGREED TO INITIATE SANCTIONING FILE S/DC/0544/14 against (…) INTERDEAN S.A., “for restrictive competition practices prohibited by Article 1 LDC and Article 101 of the TFEU, consisting of agreements or coordinated practices between companies for market sharing, price fixing or other commercial conditions and the</w:t>
      </w:r>
    </w:p>
    <w:p>
      <w:r>
        <w:rPr>
          <w:b/>
        </w:rPr>
        <w:t>[Pages 112–114]</w:t>
      </w:r>
    </w:p>
    <w:p>
      <w:r>
        <w:t>INTERDEAN S.A. for very serious conduct while also granting a reduction in the sanction imposed.</w:t>
      </w:r>
    </w:p>
    <w:p>
      <w:r>
        <w:t>(2) The information provided by INTERDEAN S.A. has been deemed significant enough to confirm and clarify previously obtained documentation during inspections, yet this same information does not reach the level of significant added value that would justify a reduction in the sanction.</w:t>
      </w:r>
    </w:p>
    <w:p>
      <w:r>
        <w:t>(3) The company has not collaborated with the Commission, despite being aware of the Reserved Information and the Requests for Information made to it, and only after the initiation of the Sanctioning File does it request a verbal reduction of the sanction.</w:t>
      </w:r>
    </w:p>
    <w:p>
      <w:r>
        <w:t>(4) It is perplexing that the Directorate of Competition and subsequently this Competition Chamber grant a reduction when the conduct has been classified as very serious with the concurrence of aggravating circumstances as the responsible creator and instigator of the cartel.</w:t>
      </w:r>
    </w:p>
    <w:p>
      <w:r>
        <w:t>(5) The actions of INTERDEAN S.A. are in direct contradiction to the principles of competition law, and granting a reduction in this context undermines the enforcement of such laws.</w:t>
      </w:r>
    </w:p>
    <w:p>
      <w:r>
        <w:t>(6) Therefore, I oppose the decision to grant a reduction in the sanction to INTERDEAN S.A. and maintain that the full extent of the penalty should be applied in light of the serious nature of the violations committed.</w:t>
      </w:r>
    </w:p>
    <w:p>
      <w:r>
        <w:rPr>
          <w:b/>
        </w:rPr>
        <w:t>[Pages 115–116]</w:t>
      </w:r>
    </w:p>
    <w:p>
      <w:r>
        <w:t xml:space="preserve">the same conduct an aggravating circumstance and also a partial exemption. Legally, this is unacceptable.  </w:t>
        <w:br/>
        <w:t xml:space="preserve">(2) As their conduct, together with SIT, began in 1997 and has a continuous duration ending in November 2014, a circumstance that does not occur in any of the other fourteen companies charged.  </w:t>
        <w:br/>
        <w:t xml:space="preserve">(3) When this very Chamber considers that although it has provided information, it has been solely and exclusively to confirm and clarify the documentation previously obtained during inspections, allowing for a comparison with what already exists.  </w:t>
        <w:br/>
        <w:t xml:space="preserve">(4) And this in clear discrimination with the treatment given to FLIPPERS, whose contribution is dismissed “as obliged to the duty of collaboration,” a treatment that, on the contrary, is not afforded to INTERDEAN S.A., for the same behavior.  </w:t>
        <w:br/>
        <w:t xml:space="preserve">CONCLUDING: the reduction should not have been granted in any of its possible percentages.  </w:t>
        <w:br/>
        <w:t xml:space="preserve">II.-  </w:t>
        <w:br/>
        <w:t xml:space="preserve">IMPOSITION OF SANCTIONS  </w:t>
        <w:br/>
        <w:t xml:space="preserve">I agree with the majority of the Chamber regarding the existence of a cartel; who comprises it; that the conduct is classified as very serious; and, obviously, that it must be sanctioned under Articles 62, 63, and 64 of Law 15/2007 of July 3, on the Defense of Competition.  </w:t>
        <w:br/>
        <w:t xml:space="preserve">But I DISAGREE with the development of the sanctioning process, as ONLY in this Resolution (as has been happening continuously) has (1) the total turnover of the companies charged in the year 2015 been specified; and (2) the mere citation of the articles to be applied and the doctrine of proportionality.  </w:t>
        <w:br/>
        <w:t xml:space="preserve">From there, the traditional obscurantism occurs because (1) the time period in which each of the charged companies has joined as part of the cartel and has remained in it, as well as the degree of activity and importance, is not taken into account to individualize the sanctions; (2) in no way have the aggravating circumstances that occur in certain charged companies been considered: SIT GRUPO EMPRESARIAL, CABALLERO MOVING, EUROMODE, and LA VASCONGADA as responsible and instigators of the cartel (page 100 paragraph 5.4.1ª); and SIT GRUPO EMPRESARIAL, LA VASCONGADA, CABALLERO MOVING as responsible for measures to impose or ensure compliance with the agreements (pages 100 and 101 paragraph 6.4.1b); and MUDANZAS FLIPPERS INTERNACIONAL and TRANSFEREX for obstructing the inspection work (page 101 paragraph 6.4.1c), etc.  </w:t>
        <w:br/>
        <w:t xml:space="preserve">Again, the majority of the Chamber puts the cart before the horse and thus hastily specifies a quantifying figure for the sanction, to subsequently calculate the percentage. And to that effect, in the second paragraph of the approved Resolution, it is stated verbatim “notwithstanding (the percentage of 5%) has been adjusted downwards to ensure that the imposed sanction is proportional also in the case of companies with a more multiproduct character” (page 106).  </w:t>
        <w:br/>
        <w:t xml:space="preserve">And on the following page 107 in the first paragraph in fine it states “(...) which implies that the sanction derived from a sanctioning rate of 5% would be clearly disproportionate. Therefore, this Council (SIC) has deemed it necessary to adjust the sanctioning rate downwards to 0.6%, which ensures that the sanction does not exceed the estimated proportionality limit with these prudent criteria.  </w:t>
        <w:br/>
        <w:t xml:space="preserve">This concludes in an arbitrary and discriminatory system that must be corrected.  </w:t>
        <w:br/>
        <w:t xml:space="preserve">Finally, two notes. The first refers to the fact that by the simple majority of this Chamber, in the deliberations, and this is no exception, we are told that the sanctioning regime arises from and is developed by the application of Tables. Tables that we have been requesting to be brought to our attention, not only because they are necessary for the sanctioned parties but also for these two Councillors, if only for purely professional reasons and in learning a new economic theory that is currently unknown due to its non-existence.  </w:t>
        <w:br/>
        <w:t xml:space="preserve">The second has a different causal root. The majority of the Chamber in the sanctioning regime continues to apply, although without naming it, the famous Communication of Sanctions, declared illegal by the Supreme Court ruling and which, in its compliance, the Honorable Sixth Section of the Administrative Litigation Chamber of the National Court has been considering as a cause in the appeals brought before it, ordering this National Commission of Markets and Competition to “recalculate ex novo the sanctions to be imposed in accordance with the provisions of Articles 62, 63, and 64 of Law 15/2007.”  </w:t>
        <w:br/>
        <w:t xml:space="preserve">A reality that, unfortunately, does not refer to one, two, or three Resolutions (Sanctioning Files) but rather there are countless of them, with significant monetary effects.  </w:t>
        <w:br/>
        <w:t>Thus, by this Dissenting Particular Vote, I pronounce, order, and sign in Madrid, date ut supra.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