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https://www.cnmc.es/expedientes/sdc054715</w:t>
      </w:r>
    </w:p>
    <w:p>
      <w:r>
        <w:t>Pages translated : 11</w:t>
      </w:r>
    </w:p>
    <w:p/>
    <w:p>
      <w:r>
        <w:rPr>
          <w:b/>
        </w:rPr>
        <w:t>[Pages 1–3]</w:t>
      </w:r>
    </w:p>
    <w:p>
      <w:r>
        <w:t>RESOLUTION (Case S/DC/0547/15 SEEDBEDS)</w:t>
        <w:br/>
        <w:t>COUNCIL. COMPETITION CHAMBER</w:t>
        <w:br/>
        <w:t>PRESIDENT</w:t>
        <w:br/>
        <w:t>Mr. José María Marín Quemada</w:t>
        <w:br/>
        <w:t>COUNCILORS</w:t>
        <w:br/>
        <w:t>Mr. Josep Maria Guinart Solà</w:t>
        <w:br/>
        <w:t>Ms. María Ortiz Aguilar</w:t>
        <w:br/>
        <w:t>Mr. Fernando Torremocha y García-Sáenz</w:t>
        <w:br/>
        <w:t>Mr. Benigno Valdés Díaz</w:t>
        <w:br/>
        <w:t>SECRETARY</w:t>
        <w:br/>
        <w:t>Mr. Tomás Suárez-Inclán González</w:t>
        <w:br/>
        <w:t>In Madrid, on March 31, 2016.</w:t>
        <w:br/>
        <w:t>The Competition Chamber of the Council of the National Commission of Markets and Competition (CNMC) has issued this Resolution in the case S/DC/0547/15 SEEDBEDS, processed following the complaint filed by a farmer from Almería, dated May 26, 2014, against all seedbeds in Almería and ZERAIM IBERICA, S.A.U. (ZERAM), for alleged restrictive competition practices prohibited by Law 15/2007, of July 3, on the Defense of Competition (LDC).</w:t>
        <w:br/>
        <w:t>BACKGROUND</w:t>
        <w:br/>
        <w:t>A. Complaint</w:t>
        <w:br/>
        <w:t>1. On May 26, 2014, a letter from a farmer in Almería was received in the CNMC's information mailbox, informing the agency that all seedbeds in Almería were offering the Caniles tomato variety at a fixed graft price, which was 30-35% higher than the previous year, as a result of an agreement signed between the seedbeds and ZERAIM IBERICA, S.A.U. (hereinafter, ZERAIM), the seed company that owns the aforementioned tomato variety (folios 1 and 2).</w:t>
        <w:br/>
        <w:t>2. On July 1, 2014, the farmer was requested to complete the information provided. The response occurred on July 3, 2014, and was completed on August 5, 2014, with the submission of the purchase order model for the Caniles tomato variety used by ZERAIM (folios 3 to 9).</w:t>
      </w:r>
    </w:p>
    <w:p>
      <w:r>
        <w:t>B. Actions of the Competition Directorate</w:t>
        <w:br/>
        <w:t>3. On March 11, 2015, an information request was sent to the seven seedbeds indicated by the complainant1 (hereinafter, THE SEEDBEDS) (folios 10 to 18). The responses were received between March 20 and April 28, 2015, and the contracts signed with ZERAIM were attached to them (folios 19 to 233).</w:t>
        <w:br/>
        <w:t>4. On July 22, 2015, a new information request was sent to THE SEEDBEDS (folios 234 to 247), requesting the submission of a sample of invoices. The responses were received between July 27 and August 7, 2015 (folios 248 to 330).</w:t>
        <w:br/>
        <w:t>5. On November 25, 2015, the DC submitted its Report and Proposal for Resolution to the Council of the CNMC.</w:t>
        <w:br/>
        <w:t>6. The Competition Chamber of the Council of the CNMC deliberated and ruled on the matter in its meeting on March 31, 2016.</w:t>
        <w:br/>
        <w:t>7. The interested parties in this case are ZERAIM IBERICA, S.A.U. (ZERAM) and THE SEEDBEDS.</w:t>
        <w:br/>
        <w:t>ESTABLISHED FACTS</w:t>
        <w:br/>
        <w:t>The complaint subject to this case has been evaluated by this Chamber based on the facts considered by the DC, which are transcribed below.</w:t>
        <w:br/>
        <w:t>I. THE PARTIES</w:t>
        <w:br/>
        <w:t>The parties involved in this case, as stated in the Fact Specification Document of the DC, are as follows.</w:t>
        <w:br/>
        <w:t>1.1 ZERAIM</w:t>
        <w:br/>
        <w:t>ZERAM is a seed company whose main activity focuses on the research, development, production, and marketing of vegetable seeds. ZERAM was acquired in 2007 by SYNGENTA, a Swiss company that is the parent company of a multinational group of companies active in the agrochemical sector (cases N/07073 and C/0174/09 SYNGENTA/SUNFLOWER SEED BUSINESS OF MONSANTO). It holds the plant variety protection title for the Caniles tomato variety, which is currently in high demand due to its longer shelf life, making it particularly attractive for export.</w:t>
        <w:br/>
        <w:t>1.2 THE SEEDBEDS</w:t>
        <w:br/>
        <w:t>THE SEEDBEDS, located in the province of Almería, are seven companies (mostly limited liability companies) dedicated to the seedling of horticultural plants, which entered into agreements with ZERAM in May 2014 to become part of the "ZERAM Seedbed Network" for the Caniles tomato variety. Additionally, several of THE SEEDBEDS also provide contracts signed with another seed company, Semillas Fito, S.A.U. (FITO) during the same period, to participate in its Genetic Traceability Program for other tomato varieties.</w:t>
        <w:br/>
        <w:t>II. MARKET CHARACTERIZATION</w:t>
        <w:br/>
        <w:t>1. Regulatory Framework: the protection of plant varieties</w:t>
        <w:br/>
        <w:t>Regulation EC 2100/94 of the Council, of July 27, concerning the Community protection of plant varieties regulates a European system for the protection of plant varieties, although it allows for the granting of national property rights over plant varieties. This protection has two aspects, a positive one (powers granted by the Regulation to the holder of the right) and a negative one (actions available to the holder to enforce their rights against third parties), which are extensively developed in national precedents2.</w:t>
        <w:br/>
        <w:t>For the purposes of this case, it is necessary to focus on the positive aspect of the protection provided in Article 13 of the aforementioned Regulation, which reserves to the holder of the plant variety the right to carry out certain operations with the material of the variety (the material of the variety is understood to mean two types of differentiated elements: reproductive material, components of the variety, and harvested material, fruit), including production or reproduction, conditioning for propagation, putting on sale, sale or other types of commercialization, export from the Community, import into the Community, and storage for any of the aforementioned purposes.</w:t>
        <w:br/>
        <w:t>However, the same provision establishes a series of limitations to these powers, among which the prohibition of infringing any provision issued to preserve competition, trade, or agricultural production is noteworthy (paragraph 8 of Article 13 of the aforementioned Regulation).</w:t>
        <w:br/>
        <w:t>2 See Resolution of July 4, 2013 (Case S/0312/10, GOLDEN CARP AND CLUB OF PROTECTED PLANT VARIETIES).</w:t>
      </w:r>
    </w:p>
    <w:p>
      <w:r>
        <w:rPr>
          <w:b/>
        </w:rPr>
        <w:t>[Pages 4–6]</w:t>
      </w:r>
    </w:p>
    <w:p>
      <w:r>
        <w:t>Spain has opted for the establishment of its own protection system, harmonized with the European one, which is regulated by Law 3/2000, of January 7, on the legal regime for the protection of plant varieties. According to this system, certain plant varieties are protected by the "breeder's right," which is a form of industrial property right granted to the breeder of a new plant variety. Furthermore, as stated in the Resolution of the former CNC of July 4, 2013 (Case S/0312/10), in the report submitted by the Spanish Office of Plant Varieties in September 2011 within the aforementioned case, it is explained that "any plant variety not protected by the 'breeder's right' is in the public domain, it is free, and the reproduction of the propagation material [...] as well as the use of that material by farmers does not generate property rights in favor of anyone."</w:t>
      </w:r>
    </w:p>
    <w:p>
      <w:r>
        <w:t>The breeder's right implies, for its holder, an exclusive exploitation monopoly: the multiplication of the propagation material carried out by a third party requires a license for exploitation, in which the holder sets the conditions under which such multiplication must take place. The Law recognizes the creator of a plant variety (breeder) the right to require their authorization for, among other things, the production or reproduction of the variety, as well as to subject their authorization to conditions and limitations. It also recognizes their right to grant licenses for the exploitation of the variety, exclusive or non-exclusive, provided that the conditions established by them are met.</w:t>
      </w:r>
    </w:p>
    <w:p>
      <w:r>
        <w:t>2. Market Operation</w:t>
      </w:r>
    </w:p>
    <w:p>
      <w:r>
        <w:t>National and community precedents have defined the development, cultivation, and sale of seed varieties as a relevant market. This activity consists of two distinct phases: i) cultivation and biotechnology programs that lead to the development of seed varieties and ii) seed production, including washing and processing, chemical treatment, packaging, marketing, and distribution. However, the high degree of integration of both phases results in most companies being present in both.</w:t>
      </w:r>
    </w:p>
    <w:p>
      <w:r>
        <w:t>On the other hand, according to existing precedents, given the different needs of consumers, the different types of fruits, vegetables, and plants are normally not substitutable. Thus, in the CNC resolution of December 14, 2011 (case S/0231/10 Horticultural Products), as many markets as affected vegetables (pepper, zucchini, cucumber, eggplant, and tomato) are distinguished. This same position was maintained in case S/0312/10 CARPA DORADA AND CVVP regarding the mandarin, which has not been questioned in its judicial review (rulings of the National Court of July 18, October 19, and November 6, 2015).</w:t>
      </w:r>
    </w:p>
    <w:p>
      <w:r>
        <w:t>Similarly, based on this differentiation of markets regarding fruits and vegetables, competition authorities have concluded that the seeds of different crops should be considered as separate product markets. Thus, in its resolution of May 22, 2008, regarding the Monsanto/DRS concentration (case C-0065/08), the former CNC defined the relevant market as follows: "the different types of seeds are not substitutable for each other and therefore represent separate product markets. This has been considered by community and Spanish competition authorities in the cited precedents."</w:t>
      </w:r>
    </w:p>
    <w:p>
      <w:r>
        <w:t>Thus, for the purposes of this file, the market for the development, cultivation, and sale of tomato seeds, and in particular, the Caniles tomato variety, must be considered. The main customers of seed companies are farmers and cooperatives that produce vegetables from the seeds. In the present case, the market for the production and marketing of tomatoes would be situated downstream of the previous one.</w:t>
      </w:r>
    </w:p>
    <w:p>
      <w:r>
        <w:t>Currently, there are few crops that use direct sowing. In the last two decades, plant nurseries that produce seedlings in a controlled and protected environment have proliferated in Spain, especially in the southeastern peninsula, to make them available to vegetable producers. In this way, maximum seed yield is achieved, better fruits and larger harvests are obtained, and greater protection against pests is provided. Thus, the activity of the nursery, as the initial link in the horticultural production chain, has become an intermediate step between seed companies and farmers in the production of many vegetables.</w:t>
      </w:r>
    </w:p>
    <w:p>
      <w:r>
        <w:t>Nurseries also offer grafting services. Grafting in plants is a technique to improve plant production and reduce susceptibility to diseases. Currently, the vast majority of tomatoes and watermelons come from grafted plants, and grafting is also being done on melon, cucumber, pepper, and eggplant plants.</w:t>
      </w:r>
    </w:p>
    <w:p>
      <w:r>
        <w:t>Therefore, farmers or cooperatives acquire from seed companies (directly or through distributors) the seeds corresponding to the varieties they want to plant and subsequently go to a nursery, where the seed is germinated and the initial stages of plant development are evolved, grafted or ungrafted, ready to be transplanted in the field.</w:t>
      </w:r>
    </w:p>
    <w:p>
      <w:r>
        <w:t>III. FACTS</w:t>
      </w:r>
    </w:p>
    <w:p>
      <w:r>
        <w:t>According to the information contained in the file, the DC details the following relevant facts for the purposes of this Resolution:</w:t>
      </w:r>
    </w:p>
    <w:p>
      <w:r>
        <w:t>Procedure established by ZERAIM for the production of the Caniles tomato variety.</w:t>
      </w:r>
    </w:p>
    <w:p>
      <w:r>
        <w:t>During the investigation phase of this file, two types of documents prepared by ZERAIM for the production of the Caniles tomato variety have been provided: i) the seed purchase order for customers and ii) the contracts between ZERAIM and certain nurseries to be part of its network.</w:t>
      </w:r>
    </w:p>
    <w:p>
      <w:r>
        <w:t>In the general sales conditions accompanying the purchase order model for the Caniles tomato variety from ZERAIM, it is stated that the seed company will deliver the seed directly to the nursery designated by the customer, from among the nurseries approved by ZERAIM, and the nursery, in turn, will deliver the transplants of seedlings to the customer or producer. ZERAIM may access the facilities of THE NURSERIES to carry out the necessary controls.</w:t>
      </w:r>
    </w:p>
    <w:p>
      <w:r>
        <w:t>Once the cultivation cycle is completed, THE NURSERIES must destroy all plants and parts of plants and unused cuttings and return the remaining seeds to ZERAIM.</w:t>
      </w:r>
    </w:p>
    <w:p>
      <w:r>
        <w:t>In the ZERAIM purchase order, it is stated that the producer acknowledges and accepts that the customer, at their sole and exclusive discretion, will set the resale price of seeds purchased from ZERAIM.</w:t>
      </w:r>
    </w:p>
    <w:p>
      <w:r>
        <w:t>On the other hand, in the contracts signed between ZERAIM and THE NURSERIES, it is indicated that, in consideration of being part of the network of nurseries nominated by ZERAIM, THE NURSERIES will pay ZERAIM a fixed price of 0.12 euros per grafted seedling delivered to customers.</w:t>
      </w:r>
    </w:p>
    <w:p>
      <w:r>
        <w:t>LEGAL GROUNDS</w:t>
      </w:r>
    </w:p>
    <w:p>
      <w:r>
        <w:t>FIRST.- Competence to resolve.</w:t>
      </w:r>
    </w:p>
    <w:p>
      <w:r>
        <w:t>According to Article 5.1.c) of Law 3/2013, the CNMC is responsible for "applying the provisions of Law 15/2007, of July 3, regarding conduct that may impede,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Finally, Article 49.3 of the LDC states that it is the responsibility of the Council, at the proposal of the DC, to agree not to initiate proceedings arising from the alleged commission of the conduct prohibited by Articles 1, 2, and 3 of this</w:t>
      </w:r>
    </w:p>
    <w:p>
      <w:r>
        <w:rPr>
          <w:b/>
        </w:rPr>
        <w:t>[Pages 7–9]</w:t>
      </w:r>
    </w:p>
    <w:p>
      <w:r>
        <w:t>Law and the filing of actions when it considers that there are no indications of infringement of the Law. Consequently, the competence to resolve this procedure corresponds to the Competition Chamber of the CNMC.</w:t>
      </w:r>
    </w:p>
    <w:p>
      <w:r>
        <w:t>SECOND.- Object of the Resolution and applicable regulations. This Chamber must assess in the present resolution whether, as the DC argues, the requirements for the application of Article 49.3 of the LDC are met, that is, the absence of indications of infringement, in order to resolve to archive the actions carried out so far regarding the reported facts. The complaint does not specify the article of the LDC that would have been violated by the signing of contracts between the nurseries and ZERAIM IBERICA, S.A.U., although it can be inferred that it refers to a possible infringement of Article 1 of the LDC, for collusive conduct. In this regard, Article 1 of the LDC prohibits any agreement, decision or collective recommendation, or concerted or consciously parallel practice, that has as its object, produces or may produce the effect of preventing, restricting or distorting competition in all or part of the national market. It is therefore necessary to assess the absence of indications of infringement in light of Article 1 of the LDC in the conduct of ZERAIM reported by a farmer or whether, on the contrary, in such actions there may be indications of infringement of the LDC that warrant the initiation of sanctioning proceedings. For its part, Article 49.1 of the LDC provides that the DC will initiate sanctioning proceedings when it observes reasonable indications of the existence of prohibited conduct in Articles 1, 2, and 3 of the same Law. As indicated, in number 3 of the aforementioned Article 49, it is added that the Council, at the proposal of the DC, will agree not to initiate sanctioning proceedings and, consequently, to archive the actions carried out when it considers that there are no indications of infringement. Likewise, Article 27.1 of the Competition Defense Regulation (RDC), approved by Royal Decree 261/2008, of February 22, stipulates that “[i]n order for the Council of the National Commission of Competition [current CNMC] to agree not to initiate proceedings and archive the actions in the terms established in Articles 44 and 49.3 of Law 15/2007, of July 3, the Investigation Directorate [current Competition Directorate] will forward the received complaint, the prior actions carried out, if applicable, and a proposal for archiving.”</w:t>
      </w:r>
    </w:p>
    <w:p>
      <w:r>
        <w:t>THIRD.- Assessment of the Competition Chamber In light of the complaint from a farmer and the actions that have been carried out by the DC, it is necessary to assess whether the system used by ZERAIM for the distribution of the Caniles tomato variety seeds produces or may produce the effect of preventing, restricting or distorting competition in the market for the development, cultivation, and sale of tomato seeds. Following the investigation carried out, the DC proposes not to initiate sanctioning proceedings and to archive the actions in the following terms: “Therefore, in accordance with the provisions of Article 49.3 of Law 15/2007, of July 3, on Competition Defense, it is proposed not to initiate sanctioning proceedings, as well as to archive the actions taken as a result of the complaint submitted by a farmer, considering that there are no indications of infringement of the aforementioned Law. This Proposal for Archiving is to be submitted to the Council of the National Commission of Markets and Competition, along with the complaint and the actions taken, in accordance with the provisions of Article 27 of the Competition Defense Regulation, approved by Royal Decree 261/2008, of February 22.” From the information provided to the DC, the importance that control over the reproduction process of its seeds has for the breeder of a plant species is evident, in order to guarantee certain quality standards for the final products. Thus, it is verified that the two seed companies mentioned, ZERAIM and FITO, have designed traceability systems for their seeds and control over the processes, opting for a selective distribution system. Thus, their seeds must be germinated only by those nurseries previously designated by them, being, therefore, the only way for a farmer to access certain plant varieties. It should be noted that these limitations on distribution, which may be justified given the nature of the product, have not been demonstrated to be accompanied by additional limitations imposed by ZERAIM that restrict competition and lack any objective justification. Indeed, these actions are covered by a plant species protection system regulated both at the national and community levels, but it should not be forgotten that Regulation EC 2100/94 provides in its Article 13 that compliance with other provisions, among which those issued to preserve competition stand out, constitutes a limit to the exercise of the rights conferred by community protection. In this same line, the CJEU in case 258/78, Nungesser/Commission, determined that “the right of industrial or commercial property, as a legal regime, does not have contractual or concerted elements referred to in paragraph 1 of Article 85 of the Treaty (currently, Article 101 of the TFEU), but its exercise may be included in the prohibitions of the Treaty if it proves to be the objective, means, or consequence of a collusive practice,” and, in the same judgment, “It is therefore not appropriate to consider that the plant breeder's right is an industrial or commercial property right that presents such specific characteristics that require, in relation to competition rules, a different treatment from that of other industrial and commercial property rights. This conclusion does not affect the need to take into account, for the application of competition rules, the specific nature of the products that are the subject of the plant breeder's right.” In its Resolution of July 4, 2013 (Case S/0312/10, GOLDEN CARP AND CVVP), the Council of the former CNC understood that the traceability system, incorporated into the granting of licenses for the exploitation of a protected mandarin variety (Nadorcott), was not compatible with the provisions of Article 1 of the LDC (as well as Article 101 of the TFEU) as it introduced, from its creation, a set of restrictions on licensees and marketers that allowed control over the marketing of the Nadorcott mandarin. For all these reasons, what has been analyzed by the DC and what must be assessed by this Competition Chamber does not refer to acts that are inherent to the exercise of the breeder's right, or of the holder of the protection, but to actions that, using that right as an excuse, exceed its limits and are susceptible to violating competition law and therefore require the pronouncement of the competent authority for that purpose. Having established these bases, the complainant points out that the price that THE NURSERIES are asking for the grafts of the Caniles tomato variety is identical, interpreting that such identity originates from the agreements signed with ZERAIM. During the actions that have been carried out, three of the nurseries4 have indicated that the agreement signed with ZERAIM under which the nurseries must pay 0.12 euros to ZERAIM for each graft performed does not have a direct impact on the price that these nurseries apply to farmers, as it neither contains the obligation of a minimum resale price nor implies an increase in the final price. While the increase in cost of 0.12 euros has an indirect impact on the final price of the product, such impact is limited, as there are other characteristics and aspects that also contribute to the final price and that are related to the final product required by the farmer; for example, the desired size of the root ball, the need for the plant to be topped or not, etc. Therefore, this Council considers it sufficiently proven that the Agreement between ZERAIM and THE NURSERIES merely includes one more variable to be taken into account by the latter in their constant search for the best commercial margin for each moment that makes the marketing of the product profitable, being this the normal behavior of operators in a free competition scenario. It is therefore reasonable, given that the nursery must bear higher costs as a result of the payment it must make to ZERAIM for each grafted plant, that the additional cost must be reflected in the final price that THE NURSERIES are charging.</w:t>
      </w:r>
    </w:p>
    <w:p>
      <w:r>
        <w:rPr>
          <w:b/>
        </w:rPr>
        <w:t>[Pages 10–11]</w:t>
      </w:r>
    </w:p>
    <w:p>
      <w:r>
        <w:t>SEEDBEDS apply to their final customers. However, this fact would not justify that the final price must be the same across all SEEDBEDS, since there are other costs in addition to the seeds, as well as different techniques and finishes, which necessarily lead to a differentiation in prices. The invoices sent to the DC by the SEEDBEDS allow for the verification of this point, since, firstly, it is confirmed that different types of rootstocks are used (Armstrong, Emperador, Arnold, Multifort, Maxifort, Superpro, Beaufort…), that some charge for topping and others do not, as well as that some charge for the handling of the grafts and others do not. Additionally, there has been a total discrepancy in the prices applied, not only among different seedbeds but also among different customers of the same seedbed. For a graft using the same rootstock, price differences of up to 100% have been observed between seedbeds.</w:t>
      </w:r>
    </w:p>
    <w:p>
      <w:r>
        <w:t>Regarding the traceability that operates under the system established by ZERAIM concerning the SEEDBEDS, the Chamber has not found that it serves a purpose other than safeguarding the quality of the products of the grafted plants, such as controlling the production or the price of these products. The aforementioned resolution of July 4, 2013 (Case S/0312/10) sanctioned a system of identification and traceability through which the marketing of the fruit was controlled, imposing on the licensed producer the obligation to sell only to marketers adhering to the system. Similarly, marketers could only acquire the protected mandarin variety if they adhered to an identification system, which included numerous commercial information obligations, along with the duty to undergo certain controls managed by the same.</w:t>
      </w:r>
    </w:p>
    <w:p>
      <w:r>
        <w:t>Neither in the complaint filed nor in the examination carried out by the DC on the contracts provided by ZERAIM is there any indication of the development or execution of a production control system similar to that sanctioned in Case S/0312/10. Therefore, in light of all the above, there are no indications of a violation of Article 1 of the LDC, since neither the contracts provided nor the invoices sent by the consulted seedbeds suggest that the system used by ZERAIM for the distribution of the Caniles tomato variety seeds restricts competition or leads to resale price fixing, as pointed out in the document submitted by the farmer.</w:t>
      </w:r>
    </w:p>
    <w:p>
      <w:r>
        <w:t>Consequently, this Competition Chamber finds the proposal of the DC appropriate and considers that the proceedings regarding the investigated conduct should be archived.</w:t>
      </w:r>
    </w:p>
    <w:p>
      <w:r>
        <w:t>For all the above reasons, and in view of the cited provisions and other generally applicable ones, the Council in the Competition Chamber,</w:t>
      </w:r>
    </w:p>
    <w:p>
      <w:r>
        <w:t>RESOLVES</w:t>
      </w:r>
    </w:p>
    <w:p>
      <w:r>
        <w:t>SOLE.- To agree not to initiate sanctioning proceedings and to archive the actions instructed by the Competition Directorate in file S/DC/0547/15 SEEDBEDS, as a result of the complaint filed by a farmer, given that there are no indications of a violation of Law 15/2007, of July 3, on the Defense of Competition.</w:t>
      </w:r>
    </w:p>
    <w:p>
      <w:r>
        <w:t>This Resolution shall be communicated to the Competition Directorate and notified to the interested parties, informing them that it concludes the administrative process and that they may file an administrative contentious appeal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