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https://www.cnmc.es/expedientes/sdc056415</w:t>
      </w:r>
    </w:p>
    <w:p>
      <w:r>
        <w:t>Pages translated : 6</w:t>
      </w:r>
    </w:p>
    <w:p/>
    <w:p>
      <w:r>
        <w:rPr>
          <w:b/>
        </w:rPr>
        <w:t>[Pages 1–3]</w:t>
      </w:r>
    </w:p>
    <w:p>
      <w:r>
        <w:t>JURISPRUDENCE</w:t>
        <w:br/>
        <w:t>Roj: SAN 5271/2022 - ECLI:ES:AN:2022:5271</w:t>
        <w:br/>
        <w:t>Id Cendoj:28079230062022100603</w:t>
        <w:br/>
        <w:t>Body: National Court. Administrative Litigation Chamber</w:t>
        <w:br/>
        <w:t>Venue: Madrid</w:t>
        <w:br/>
        <w:t>Section: 6</w:t>
        <w:br/>
        <w:t>Date: 03/11/2022</w:t>
        <w:br/>
        <w:t>Case Number: 557/2016</w:t>
        <w:br/>
        <w:t>Resolution Number:</w:t>
        <w:br/>
        <w:t>Procedure: Ordinary procedure</w:t>
        <w:br/>
        <w:t>Rapporteur: BERTA MARIA SANTILLAN PEDROSA</w:t>
        <w:br/>
        <w:t>Type of Resolution: Judgment</w:t>
        <w:br/>
        <w:t>N A T I O N A L C O U R T</w:t>
        <w:br/>
        <w:t>Administrative Litigation Chamber</w:t>
        <w:br/>
        <w:t>SIXTH SECTION</w:t>
        <w:br/>
        <w:t>Case Number: 0000557/2016</w:t>
        <w:br/>
        <w:t>Type of Appeal: ORDINARY PROCEDURE</w:t>
        <w:br/>
        <w:t>General Registration Number: 00557/2016</w:t>
        <w:br/>
        <w:t>Claimant: AUTOMOVILES DIMARAN, S.A.</w:t>
        <w:br/>
        <w:t>Procurator: Ms. VICTORIA PÉREZ-MULET DIEZ-PICAZO</w:t>
        <w:br/>
        <w:t>Defendant: NATIONAL COMMISSION OF MARKETS AND COMPETITION</w:t>
        <w:br/>
        <w:t>Co-defendant: VOLKSWAGEN GROUP ESPAÑA DISTRIBUCIÓN, S.A.</w:t>
        <w:br/>
        <w:t>State Attorney</w:t>
        <w:br/>
        <w:t>Rapporteur Hon. Ms.: Ms. BERTA SANTILLAN PEDROSA</w:t>
        <w:br/>
        <w:t>J U D G M E N T No.:</w:t>
        <w:br/>
        <w:t>Hon. Ms. President:</w:t>
        <w:br/>
        <w:t>Ms. BERTA SANTILLAN PEDROSA</w:t>
        <w:br/>
        <w:t>Hon. Sirs. Magistrates:</w:t>
        <w:br/>
        <w:t>Mr. FRANCISCO DE LA PEÑA ELIAS</w:t>
        <w:br/>
        <w:t>Mr. MARIA JESUS VEGAS TORRES</w:t>
        <w:br/>
        <w:t>Mr. RAMÓN CASTILLO BADAL</w:t>
        <w:br/>
        <w:t>Madrid, on the third of November two thousand twenty-two.</w:t>
        <w:br/>
        <w:t>SEEN by the Sixth Section of the Administrative Litigation Chamber of the National Court, the administrative litigation appeal no. 557/2016, brought by the Procurator Ms. Victoria Pérez-Mulet Diez-Picazo, acting on behalf and representation of the company AUTOMOVILES DIMARAN, S.A., against the resolution of September 29, 2016, issued by the Council of the Competition Chamber of the National Commission of Markets and Competition in file S/DC/0564/15, VOLKSWAGEN OFFICIAL SERVICE. The defendant Administration has been represented and defended by the State Attorney. And as a co-defendant entity, Volkswagen Group España Distribución, S.A. has appeared represented by the Procurator Mr. Isidro Orquin Cedenilla.</w:t>
        <w:br/>
        <w:t>FACTUAL BACKGROUND</w:t>
        <w:br/>
        <w:t>1</w:t>
      </w:r>
    </w:p>
    <w:p>
      <w:r>
        <w:t>JURISPRUDENCE</w:t>
        <w:br/>
        <w:t>FIRST. Once the appeal was filed and the procedures prescribed by law were followed, the appellant was summoned to formalize the complaint in which, after presenting the facts and legal grounds deemed appropriate, requested the Court to issue a judgment agreeing to the estimation of the appeal and, consequently, annul the challenged resolution that orders the filing of the complaint submitted by the appellant against the entity Volkswagen-Audi España, S.A. for engaging in prohibited conduct under articles 1 and 2 of Law 15/2007, of July 3, on the Defense of Competition.</w:t>
        <w:br/>
        <w:t>SECOND. Both the State Attorney and the defense of the co-defendant entity submitted written responses to the complaint in which they plead for a judgment to be issued by which the administrative litigation appeal filed is dismissed.</w:t>
        <w:br/>
        <w:t>THIRD. Subsequently, the present proceedings were declared concluded and remained pending for voting and judgment.</w:t>
        <w:br/>
        <w:t>FOURTH. For the voting and judgment of the present process, September 21, 2022, was set, designating Hon. Ms. Magistrate Dña. Berta Santillán Pedrosa as the rapporteur who expresses the opinion of the Chamber.</w:t>
        <w:br/>
        <w:t>LEGAL GROUNDS</w:t>
        <w:br/>
        <w:t>FIRST. In the present administrative litigation appeal, the company AUTOMOVILES DIMARAN, S.A. challenges the resolution issued on September 29, 2016, by the Council of the Competition Chamber of the National Commission of Markets and Competition in file S/DC/0564/15 (Volkswagen Official Service) which resolves not to initiate sanctioning proceedings and, consequently, orders the filing of the complaint submitted by Automóviles Dimarán, S.A. against Volkswagen-Audi España, S.A. because there were no indications of the commission of prohibited collusive conduct under articles 1 and 2 of Law 15/2007, of July 3, on the Defense of Competition.</w:t>
        <w:br/>
        <w:t>As stated in the challenged resolution, AUTOMOVILES DIMARAN, S.A., from April 28, 1995, to June 30, 2014, had been a dealer of VOLKSWAGEN-AUDI ESPAÑA, S.A. (hereinafter, VAESA) in areas of the city of Barcelona in relation to the passenger cars of the Volkswagen and Audi brands, both for activities of selling new and used vehicles, as well as for after-sales services. And from June 30, 2014, DIMARÁN only maintains the status of official after-sales service (sale of spare parts and mechanical, bodywork, and painting workshop).</w:t>
        <w:br/>
        <w:t>SECOND. In order to properly focus on the object of the present process, the following facts deduced from the administrative file and the allegations of the parties are highlighted:</w:t>
        <w:br/>
        <w:t>a) On July 29, 2015, the acting entity AUTOMOVILES DIMARAN filed a complaint before the National Commission of Markets and Competition against VOLKSWAGEN-AUDI ESPAÑA, S.A. for engaging in alleged collusive conduct prohibited by articles 1 and 2 of Law 15/2007, of July 3, on the Defense of Competition, consisting of (i) the unilateral termination by the defendant of the concession to the complainant for the sale of new vehicles; (ii) the obstacles and difficulties imposed by the defendant for the complainant to continue with the sales of Volkswagen and Audi brand vehicles; and (iii) the discriminatory treatment suffered by DIMARÁN from the defendant in the provision of after-sales services (sale of spare parts and mechanical workshop) since June 2014.</w:t>
        <w:br/>
        <w:t>b) Upon receiving the complaint, on October 1, 2015, the Competition Directorate requested information from VOLKSWAGEN-AUDI ESPAÑA, S.A. regarding the configuration, changes, and incidents recorded in the last five years in its network of dealers and official after-sales services. This information was received by the CNMC on October 22, 2015, and was subsequently completed on October 30 and November 4, 2015.</w:t>
        <w:br/>
        <w:t>c) Subsequently, during October 2015, DIMARÁN submitted additional information to the CNMC regarding the initially filed complaint alleging the blocking of a management application for new vehicles, as well as difficulties in delivering vehicles to end customers, and problems with VW Finance (information submitted on October 13, 15, and 23, 2015, respectively).</w:t>
        <w:br/>
        <w:t>d) The Competition Directorate, in order to determine whether the conduct reported by DIMARÁN could have occurred in more than one Autonomous Community, requested on December 10, 2015, information from thirteen companies belonging to the official after-sales network of VAESA located in different provinces regarding their commercial relationship with VAESA and any possible incidents that may have occurred in it. The responses to this request for information were received by the CNMC between December 21, 2015, and January 12, 2016.</w:t>
        <w:br/>
        <w:t>e) On January 18, 2016, the Competition Directorate requested information from VAESA related to the setting and fulfillment of objectives for its official after-sales services. VAESA's response was received by the CNMC on January 29, 2016.</w:t>
        <w:br/>
        <w:t>f) The Competition Directorate sent a new request for information to VAESA on February 18, 2016. VAESA's response to this request was received by the CNMC on March 7, 2016.</w:t>
        <w:br/>
        <w:t>g) Subsequently, on April 4, 2016, the Competition Directorate submitted its Report and Proposed Resolution to the CNMC Council.</w:t>
        <w:br/>
        <w:t>h) The Competition Chamber of the CNMC Council deliberated and decided on the matter in its meeting on September 29, 2016, issuing the resolution that constitutes the subject of the present process and which agrees: "SOLE.- Not to initiate sanctioning proceedings and to archive the proceedings followed by the Competition Directorate of the CNMC in file S/DC/0564/15, VOLKSWAGEN OFFICIAL SERVICE, as a result of the complaint filed by AUTOMÓVILES DIMARÁN, S.A., considering that in this file there are no indications of infringement of articles 1 and 2 of Law 15/2007, of July 3, on the Defense of Competition."</w:t>
        <w:br/>
        <w:t xml:space="preserve">THIRD. In the complaint filed by the appellant company, the annulment of the challenged resolution is requested, making the following considerations in this regard. </w:t>
        <w:br/>
        <w:t>It does not share the conclusion reached by the challenged resolution when it states that no collusive conduct prohibited under articles 1 and 2 of the LDC has been observed in VAESA. And it argues that, in its opinion, the CNMC has not correctly assessed or motivated why the indications that had been reported were not determinative of collusive conduct.</w:t>
        <w:br/>
        <w:t>It reiterates the facts that it had reported to the CNMC which, as it understands, imply that VAESA has engaged in conduct that constitutes an abuse of its dominant position and that has affected it both in its capacity as an official distributor (dealer) of passenger cars for the sale of new vehicles of the Volkswagen and Audi brands of VAESA, as well as in its capacity as a workshop or official service of the same manufacturer. Abuse of dominant position that originates when VAESA arbitrarily and unjustifiably, with a clear abuse of rights, agrees to the unilateral termination of the concession contract causing it economic and commercial harm, which was effective on June 30, 2014. Abuse of dominant position that, as it states, has persisted after the termination of the contract harming it in the activity that Automóviles Dimarán had as an official after-sales service, as well as in the fulfillment of the obligations acquired towards its customers.</w:t>
        <w:br/>
        <w:t>Specifically, it points out that the collusive conduct prohibited under articles 1 and 2 of the LDC carried out by VAESA was: (i) obstructing the complainant in the continuity of sales of Volkswagen and Audi brand vehicles purchased by DIMARÁN from other dealers; (ii) forcing it to remove Volkswagen-Audi signs and vehicles from its establishments upon termination of the concession despite the after-sales service contracts still being in force. And regarding the provision by DIMARÁN of official after-sales services for VAESA (sale of spare parts and mechanical, bodywork, and painting workshop), it reports having suffered discriminatory treatment from VAESA since June 2014, especially in the setting of annual objectives for repairs, maintenance, and spare parts for each official service, which VAESA unilaterally established, as well as the disconnection from VAESA's computer network which would have hindered the complainant's activity as a technical service of the brand.</w:t>
        <w:br/>
        <w:t>FOURTH. Prior to analyzing the issue submitted for debate, this Section considers it appropriate to specify the limits of the powers of the judicial bodies regarding administrative decisions that agree that there are no grounds for initiating sanctioning proceedings. This has already been resolved by this same Section in the judgment issued on June 9, 2022 (rec. no. 750/2015) which, in turn, referred to the judgment issued on December 17, 2013 (rec. no. 432/2012) in which the third legal ground stated:</w:t>
        <w:br/>
        <w:t>"THIRD: As pointed out by the State's defense, a preliminary issue that must be addressed in the present case is related to delineating what the obligations of the competition authority are when a natural or legal person presents a complaint for anti-competitive practice, and more specifically whether there is an obligation on the part of that administration to investigate, the course that should be given to each complaint regarding the substance, and the extent of judicial control in these cases.</w:t>
        <w:br/>
        <w:t>The STPI of September 18, 1992, case T-24/90 Automec, paragraphs 73 to 81, addressed these issues with a doctrine that has remained unchanged over time. For its interest and applicability to the present matter, paragraphs 73 to 81 of that resolution are reproduced, without the regulatory changes that have occurred since then affecting essentially the "ratio" of the doctrine contained in the cited resolution:</w:t>
      </w:r>
    </w:p>
    <w:p>
      <w:r>
        <w:rPr>
          <w:b/>
        </w:rPr>
        <w:t>[Pages 4–6]</w:t>
      </w:r>
    </w:p>
    <w:p>
      <w:r>
        <w:t>JURISPRUDENCE</w:t>
        <w:br/>
        <w:t>"73. To define the obligations of the Commission in this context, it must be recalled, as a preliminary matter, that it is responsible for the implementation and guidance of the Community competition policy (see the judgment of the Court of Justice of 28 February 1991, Delimitis, C-234/89, Rec. pp. 935 et seq., especially p. 991). This is the reason why Article 89(1) of the Treaty assigns it the task of ensuring the application of the principles established by Articles 85 and 86 and why the provisions adopted based on Article 87 confer upon it broad powers.</w:t>
        <w:br/>
        <w:t>74. The scope of the Commission's powers in the field of competition law must be examined in light of Article 89(1) of the Treaty, which, in this area, constitutes the concrete manifestation of the general oversight mission entrusted to the Commission by Article 155 of the Treaty. However, as the Court of Justice has pointed out within the framework of Article 169 of the Treaty (judgment of 14 February 1989, Star Fruit/Commission, 247/87, Rec. pp. 291 et seq., especially p. 301), this mission does not imply that the Commission is obliged to initiate proceedings aimed at proving possible violations of Community law.</w:t>
        <w:br/>
        <w:t>75. In this regard, the Court of First Instance notes that from the case law of the Court of Justice (judgment of 18 October 1979, GEMA, previously cited, pp. 3173 et seq., especially p. 3189), it follows that among the rights conferred to the complainants by Regulations No. 17 and No. 99/63, there is no right to obtain a Decision, in the sense of Article 189 of the Treaty, regarding whether or not the alleged infringement exists. It follows that the Commission cannot be obliged to rule on this matter, except when the subject of the complaint falls within its exclusive competences, as occurs with the revocation of an exemption granted under Article 85(3) of the Treaty.</w:t>
        <w:br/>
        <w:t>76. Since the Commission is not obliged to rule on whether or not an infringement exists, it cannot be compelled to carry out an investigation, as this could only aim to ascertain the evidence regarding whether or not an infringement exists that it is not obliged to declare. In this regard, it should be noted that, unlike what is provided in the second sentence of Article 89(1) of the Treaty, in cases of requests submitted by Member States, Regulations No. 17 and No. 99/63 do not expressly oblige the Commission to initiate investigations into the complaints presented to it.</w:t>
        <w:br/>
        <w:t>77. In this regard, it should be noted that it is an inherent element of the exercise of administrative activity the competence of the holder of a public service mission to adopt all necessary organizational measures for the fulfillment of the mission entrusted to it, including the definition of priorities, within the framework established by law, when such priorities have not been defined by the legislator. This should be the case, especially when an authority has been entrusted with such a broad and general mission of oversight and control as that attributed to the Commission in the field of competition. Therefore, the fact that the Commission grants different degrees of priority to the cases submitted to it in the field of competition rules is in accordance with the obligations imposed on it by Community law.</w:t>
        <w:br/>
        <w:t>78. This point of view is not contrary to the judgments of the Court of Justice of 11 October 1983 (210/81), previously cited; of 28 March 1985, CICCE (298/93, Rec. p. 1105) and of 17 November 1987, BAT and Reynolds/Commission (joined cases 142/84 and 156/84, Rec. p. 4487). Indeed, in the judgment Demo-Studio Schmidt, the Court of Justice considered that the Commission "had to examine the facts presented" by the complainant, without prejudging, however, the question of whether the Commission could refrain from conducting an investigation into the complaint, since, in that case, the Commission had examined the facts presented in the complaint and dismissed it for lack of evidence to conclude that an infringement existed. This question was also not raised in the subsequent cases CICCE (298/83, previously cited) and BAT and Reynolds (joined cases 142/84 and 156/84, previously cited).</w:t>
        <w:br/>
        <w:t>79. However, while the Commission cannot be compelled to carry out an investigation, the procedural guarantees provided in Article 3 of Regulation No. 17 and in Article 6 of Regulation No. 99/63 require it to carefully examine the factual and legal elements brought to its attention by the complainant, in order to determine whether these elements reveal conduct that may distort competition within the common market and affect trade between Member States (see the judgments of the Court of Justice of 11 October 1983, Demo-Studio Schmidt, of 28 March 1985, CICCE, and of 17 November 1987, BAT and Reynolds, previously cited).</w:t>
        <w:br/>
        <w:t>80. When, as in the present case, the Commission has adopted a decision to dismiss the complaint without conducting any investigation, the legality review that this Court must carry out aims to verify that the contested decision is not based on materially inaccurate facts, is not vitiated by any error of law, nor by any manifest error of assessment or abuse of power.</w:t>
        <w:br/>
        <w:t>81. It is for the Court of First Instance, in light of these principles, to verify first whether the Commission conducted the examination of the complaint to which it was obliged, evaluating, with all necessary attention, the factual and legal elements presented by the complainant in her complaint and, secondly, whether the Commission correctly justified its decision to dismiss the complaint, invoking its power to "grant different degrees of priority in the initiation of proceedings on the matters submitted to it," on the one hand, and referring to the community interest of the matter as a criterion of priority, on the other."</w:t>
        <w:br/>
        <w:t>FIFTH. In accordance with the doctrine set forth, we will examine whether the decision not to initiate the sanctioning procedure adopted by the CNMC is based on materially inaccurate facts, or is vitiated by an error of law or a manifest error of assessment or abuse of power. This Section anticipates that it does not share the thesis of the appellant. This is because the contested resolution of the CNMC contains a thorough reasoning that is not subject to error of law nor manifest error of assessment, nor is it arbitrary or constitutive of an abuse of power. The decision to dismiss the complaint by the CNMC is preceded by a preliminary investigation activity carried out by the Competition Directorate of the CNMC, which conducted an analysis of the reported facts, making several requests for information to VAESA regarding the configuration, changes, and incidents recorded in the last five years in its network of dealers and official after-sales services, as well as information related to the setting and fulfillment of objectives for its official after-sales services. It also requested information from thirteen companies belonging to the official after-sales network of VAESA located in different provinces regarding their commercial relationship with VAESA and any possible incidents that may have occurred in it. Furthermore, the contested resolution collects and examines all the reported facts, also taking into account the responses received from both VAESA and the other dealers from whom information was requested, which prevents concluding that the CNMC could have incurred in a manifest error of assessment when it considers that the issues raised by the complainant affected the private legal relationship of the parties to the concession contract as it involved the interpretation of the contractual clauses, thus concluding that in the reported facts no public interest could be appreciated that would justify the initiation of the sanctioning procedure for violation of competition rules. A conclusion reached by the CNMC reflected in the contested resolution with the reasons that led it to resolve on the dismissal of the complaint presented. Thus:</w:t>
        <w:br/>
        <w:t>1. The CNMC reasons that the unilateral resolution of the concession responded to an internal decision of VAESA derived from the impact of the economic and financial crisis on the automotive sector. To reach this conclusion, the CNMC verifies that indeed, in recent years, VAESA has substantially reorganized its network of dealers for the sale of new cars in Spain, significantly reducing the number of dealers in various areas throughout Spain, which has affected not only DIMARÁN but also other operators.</w:t>
        <w:br/>
        <w:t>2. Regarding the obligation to remove Volkswagen-Audi signs and vehicles from the DIMARÁN establishment once the concession was unilaterally resolved, the CNMC reasons that this does not imply that VAESA is abusing its dominant position despite the contracts for after-sales services still being in force because in the models of concession contracts provided by VAESA in the file it is established that when the contractual relationship between the manufacturer and the dealer ends, the dealer must carry out without delay, and at most within a period of 14 calendar days from the termination of the contractual relationship, a series of procedures including the removal of specific supplier signage and brands. It adds that the signs used by dealers and by those operators who are only official after-sales services are different given the different scope of activity of both types of operators.</w:t>
        <w:br/>
        <w:t>3. In relation to the removal of Audi and Volkswagen vehicles from the DIMARÁN establishments, the CNMC, considering the models of concession contracts provided by VAESA in the reference file, concludes that they establish that upon termination of the contract, the dealer is obliged to resell to VAESA the stock of new vehicles it has.</w:t>
        <w:br/>
        <w:t>4. The CNMC also reasons in the contested resolution that VAESA did not prevent AUTOMOVILES DIMARAN from continuing its sales of Audi and Volkswagen vehicles, formalized through purchases made from other dealers. It again relies on the models of concession contracts provided by VAESA that expressly prohibit this type of sales. It adds that these contractual clauses are covered by the exemption provided in Regulation (EU) No. 330/2010, as its Article 4.b.iii) expressly allows the restriction of sales by members of a selective distribution system (as is the case of VAESA's dealer network) to unauthorized distributors (such as DIMARÁN once its concession ended) in the territory where the supplier has decided to apply that selective distribution system.</w:t>
        <w:br/>
        <w:t>5. The CNMC, on the other hand, reasons in the contested resolution that VAESA would not have hindered AUTOMOVILES DIMARAN in its activity as a technical service of the brand after the termination of the concession contract. In this regard, it points out that, in light of the information provided by VAESA regarding the process of setting the different types of objectives for repairs, maintenance, and spare parts for each calendar year and the consequences that compliance or non-compliance with them has for official after-sales services, there are no indications of the existence of a systematic policy of discriminatory treatment by VAESA among dealers with after-sales service and operators that are only official services in the setting of objectives and rebates in the field of after-sales services.</w:t>
        <w:br/>
        <w:t>6. Regarding the disconnection of VAESA's computer network after the cancellation of the concession contract for the sale of new Audi and Volkswagen vehicles, the CNMC also reasons that VAESA does not engage in collusive conduct indicating that, after the termination of the concession contracts for the sale of new vehicles of the Volkswagen and Audi brands that VAESA had signed with DIMARÁN, access for DIMARÁN and its employees to VAESA's IT tools associated with the business of selling new vehicles was canceled. It adds that, according to VAESA's information -a fact that has not been contradicted by the appellant-, since the date of DIMARÁN's deregistration as a dealer of new vehicles -June 30, 2014-, there is only one recorded incident that affected DIMARÁN's communication service with VAESA's computer network. An incident that occurred on April 14, 2015, and was resolved on April 17. And, as VAESA reports based on the information available to its IT/Systems department, this incident may have occurred due to problems in the Telefónica network.</w:t>
        <w:br/>
        <w:t>In short, it is not appreciated that the CNMC has incurred in a distorted use of its powers in relation to the decision not to initiate a sanctioning procedure regarding the analyzed complaint.</w:t>
        <w:br/>
        <w:t>SIXTH. In accordance with the provisions of Article 139.1 of the Law Regulating Contentious-Administrative Jurisdiction, it is appropriate to impose on the appellant the procedural costs incurred in this instance since the contentious-administrative appeal filed has been dismissed.</w:t>
        <w:br/>
        <w:t>WE DECREE</w:t>
        <w:br/>
        <w:t>TO DISMISS the contentious-administrative appeal No. 557/2016, brought by the Attorney Ms. Victoria Pérez-Mulet Diez-Picazo, who acts in the name and representation of the company AUTOMOVILES DIMARAN, S.A., against the resolution of September 29, 2016, issued by the Council of the Competition Chamber of the National Commission of Markets and Competition, in the file S/DC/0564/15 WOLKSWAGEN OFFICIAL SERVICE. And, consequently, we confirm the contested administrative resolution as we understand that it conforms to the legal system.</w:t>
        <w:br/>
        <w:t>The appellant is imposed the procedural costs incurred in this instance.</w:t>
        <w:br/>
        <w:t>Thus, by this our Judgment, which will be notified in the manner provided for by Article 248 of the Organic Law of the Judiciary, and against which an appeal for cassation may be filed that must be prepared before this Chamber within 30 days, the compliance with the requirements established in Article 89.2 of the Jurisdiction Law must be evidenced in the preparation of the appeal, justifying the objective cassation interest it presents, we pronounce, command,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