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https://www.cnmc.es/expedientes/sdc056515</w:t>
      </w:r>
    </w:p>
    <w:p>
      <w:r>
        <w:t>Pages translated : 224</w:t>
      </w:r>
    </w:p>
    <w:p/>
    <w:p>
      <w:r>
        <w:rPr>
          <w:b/>
        </w:rPr>
        <w:t>[Pages 1–3]</w:t>
      </w:r>
    </w:p>
    <w:p>
      <w:r>
        <w:t xml:space="preserve">RESOLUTION  </w:t>
        <w:br/>
        <w:t xml:space="preserve">Exp. S/DC/0565/15 TENDERS FOR COMPUTER APPLICATIONS  </w:t>
        <w:br/>
        <w:t xml:space="preserve">COUNCIL. COMPETITION CHAMBER  </w:t>
        <w:br/>
        <w:t xml:space="preserve">PRESIDENT  </w:t>
        <w:br/>
        <w:t xml:space="preserve">Mr. José María Marín Quemada  </w:t>
        <w:br/>
        <w:t xml:space="preserve">COUNCILORS  </w:t>
        <w:br/>
        <w:t xml:space="preserve">Ms. María Ortiz Aguilar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July 26, 2018  </w:t>
        <w:br/>
        <w:t xml:space="preserve">The Competition Chamber of the Council of the National Commission on Markets and Competition (CNMC), with the composition expressed, has issued the following resolution in the file S/DC/0565/15 TENDERS FOR COMPUTER APPLICATIONS, initiated by the Directorate of Competition against several companies for alleged restrictive practices of competition prohibited under Article 1 of Law 15/2007, of July 3, on the Defense of Competition (LDC) and Article 101 of the Treaty on the Functioning of the European Union (TFEU).  </w:t>
        <w:br/>
        <w:t xml:space="preserve">S/DC/0565/15 National Commission on Markets and Competition Page 1 of 224  </w:t>
        <w:br/>
        <w:t xml:space="preserve">C/ Barquillo, 5 – 28004 Madrid - C/ Bolivia, 56 – 08018 Barcelona  </w:t>
        <w:br/>
        <w:t>www.cnmc.es</w:t>
      </w:r>
    </w:p>
    <w:p>
      <w:r>
        <w:t xml:space="preserve">INDEX  </w:t>
        <w:br/>
        <w:t xml:space="preserve">I. BACKGROUND ...................................................................................... 7  </w:t>
        <w:br/>
        <w:t xml:space="preserve">II. THE PARTIES .......................................................................................... 11  </w:t>
        <w:br/>
        <w:t xml:space="preserve">III. ANALYSIS OF THE AFFECTED MARKET ................................................ 16  </w:t>
        <w:br/>
        <w:t xml:space="preserve">1. Market characterization .......................................................................... 16  </w:t>
        <w:br/>
        <w:t xml:space="preserve">1.1. Relevant market ........................................................................................................... 16  </w:t>
        <w:br/>
        <w:t xml:space="preserve">1.2. Affected market ............................................................................................................ 20  </w:t>
        <w:br/>
        <w:t xml:space="preserve">2. Main characteristics of the affected market ........................................ 20  </w:t>
        <w:br/>
        <w:t xml:space="preserve">IV. ESTABLISHED FACTS ...................................................................... 23  </w:t>
        <w:br/>
        <w:t xml:space="preserve">1. STATE AGENCY FOR TAX ADMINISTRATION (AEAT) .......... 23  </w:t>
        <w:br/>
        <w:t xml:space="preserve">a) Contract C68/06. External technical assistance to collaborate in the development and maintenance of the systems and applications carried out in the scope of the AEAT ........................................................................................... 23  </w:t>
        <w:br/>
        <w:t xml:space="preserve">b) Contract AV 42/10. Development and maintenance services for the systems and applications carried out in the tax information department of the AEAT (file 10840059600). .......................................... 25  </w:t>
        <w:br/>
        <w:t xml:space="preserve">c) Contract PA 20/2014. Development and maintenance services for systems and applications in the tax information department of the AEAT (file 14840074500, also referred to as AV 20/2014) ...................... 27  </w:t>
        <w:br/>
        <w:t xml:space="preserve">d) Contract C03/07. Service for the development of computer applications of the tax information department of the AEAT (file 068403137PO) .................................................................................................. 29  </w:t>
        <w:br/>
        <w:t xml:space="preserve">e) Contract AV 10/2011. Development and maintenance services for electronic administration systems and applications in the tax information department of the AEAT (file 11840000400) ....................... 31  </w:t>
        <w:br/>
        <w:t xml:space="preserve">f) Contract PA 2/2015. Development and maintenance services for electronic administration systems and applications in the tax information department of the AEAT (file 14840210300) ....................... 33  </w:t>
        <w:br/>
        <w:t xml:space="preserve">2. MANAGEMENT OF INFORMATION TECHNOLOGY OF SOCIAL SECURITY (GISS) ............ 37  </w:t>
        <w:br/>
        <w:t xml:space="preserve">a) Contract 7202/06G. IT services necessary in the Management of Information Technology of Social Security ........................................... 38  </w:t>
        <w:br/>
        <w:t xml:space="preserve">b) Contract 7201/10G IT services necessary in the Management of Information Technology of Social Security ........................................... 41  </w:t>
        <w:br/>
        <w:t xml:space="preserve">S/DC/0565/15 National Commission on Markets and Competition Page 2 of 224  </w:t>
        <w:br/>
        <w:t xml:space="preserve">C/ Barquillo, 5 – 28004 Madrid - C/ Bolivia, 56 – 08018 Barcelona  </w:t>
        <w:br/>
        <w:t>www.cnmc.es</w:t>
      </w:r>
    </w:p>
    <w:p>
      <w:r>
        <w:t xml:space="preserve">c) Contract 7201/13G. Development and maintenance of the computer applications of the Managing Entities, Common Services, and General Intervention of Social Security, through the provision of analysis, design, construction, testing, and documentation services for applications. .................................................................................................... 45  </w:t>
        <w:br/>
        <w:t xml:space="preserve">d) Contract 7201/14G, Development, maintenance, and quality control services for applications necessary in the GISS ............................................. 52  </w:t>
        <w:br/>
        <w:t xml:space="preserve">3. STATE PUBLIC EMPLOYMENT SERVICE (SEPE) ..................................... 59  </w:t>
        <w:br/>
        <w:t xml:space="preserve">a) Contracts C10/08 “IT services necessary for electronic administration in the SEPE” and C11/08 “IT services necessary for the SEPE” ........................................................... 60  </w:t>
        <w:br/>
        <w:t xml:space="preserve">b) Contract PA 11/12, “Contracting of the IT services necessary for the SEPE” ................................................................................................... 66  </w:t>
        <w:br/>
        <w:t xml:space="preserve">c) Contract PA 7/14, “Services for the development and evolution of computer applications” and PA 8/14 “Services for the support and evolution of IT infrastructures and systems” .................................................... 70  </w:t>
        <w:br/>
        <w:t xml:space="preserve">4. SAP ENVIRONMENT FOR AUTONOMOUS AND LOCAL ADMINISTRATIONS 74  </w:t>
        <w:br/>
        <w:t xml:space="preserve">5. NATIONAL INSTITUTE OF SOCIAL SECURITY (INSS) ........................ 78  </w:t>
        <w:br/>
        <w:t xml:space="preserve">a) Tenders related to ATRIUM .............................................................. 78  </w:t>
        <w:br/>
        <w:t xml:space="preserve">b) Tenders related to ADABAS/NATURAL ............................................. 82  </w:t>
        <w:br/>
        <w:t xml:space="preserve">c) Other IT products and services for the INSS .................................. 85  </w:t>
        <w:br/>
        <w:t xml:space="preserve">6. CERVANTES INSTITUTE ................................................................................. 87  </w:t>
        <w:br/>
        <w:t xml:space="preserve">7. COVERAGE OFFERS AND OTHER AGREEMENTS BETWEEN COMPANIES IN VARIOUS PUBLIC ORGANISMS ................................................................ 88  </w:t>
        <w:br/>
        <w:t xml:space="preserve">V. LEGAL GROUNDS .................................................................................. 93  </w:t>
        <w:br/>
        <w:t xml:space="preserve">FIRST. COMPETENCE TO RESOLVE ............................................ 93  </w:t>
        <w:br/>
        <w:t xml:space="preserve">SECOND. OBJECT OF THE RESOLUTION AND APPLICABLE REGULATIONS ... 93  </w:t>
        <w:br/>
        <w:t xml:space="preserve">THIRD. PROPOSAL FOR RESOLUTION OF THE INSTRUCTING BODY 95  </w:t>
        <w:br/>
        <w:t xml:space="preserve">FOURTH. ASSESSMENT OF THE COMPETITION CHAMBER ......................... 96  </w:t>
        <w:br/>
        <w:t xml:space="preserve">4.1. Analysis of the behaviors subject to the file .......................................... 96  </w:t>
        <w:br/>
        <w:t xml:space="preserve">4.1.1. Analysis of the alliances between companies in the public tenders subject to this file ............................................................................... 96  </w:t>
        <w:br/>
        <w:t xml:space="preserve">i) Contracts of the AEAT ...................................................................................... 97  </w:t>
        <w:br/>
        <w:t xml:space="preserve">ii) Contracts of the GISS ....................................................................................... 98  </w:t>
        <w:br/>
        <w:t xml:space="preserve">iii) Contracts of the SEPE ....................................................................................... 101  </w:t>
        <w:br/>
        <w:t xml:space="preserve">iv) Contracts of the INSS ........................................................................................ 102  </w:t>
        <w:br/>
        <w:t xml:space="preserve">S/DC/0565/15 National Commission on Markets and Competition Page 3 of 224  </w:t>
        <w:br/>
        <w:t xml:space="preserve">C/ Barquillo, 5 – 28004 Madrid - C/ Bolivia, 56 – 08018 Barcelona  </w:t>
        <w:br/>
        <w:t>www.cnmc.es</w:t>
      </w:r>
    </w:p>
    <w:p>
      <w:r>
        <w:rPr>
          <w:b/>
        </w:rPr>
        <w:t>[Pages 4–6]</w:t>
      </w:r>
    </w:p>
    <w:p>
      <w:r>
        <w:t xml:space="preserve">v) SAP Environment ....................................................................................... 103  </w:t>
        <w:br/>
        <w:t xml:space="preserve">4.1.2. Existence of a generalized modus operandi that allows companies to maintain alliances ................................................................. 104  </w:t>
        <w:br/>
        <w:t xml:space="preserve">i) Agreements between companies often occur prior to the announcement of the contract tender ......................................................... 104  </w:t>
        <w:br/>
        <w:t xml:space="preserve">ii) Formalization of collaboration agreements and commitments to establish UTE .................................................................................. 105  </w:t>
        <w:br/>
        <w:t xml:space="preserve">iii) The system of regularizations ..................................................................... 106  </w:t>
        <w:br/>
        <w:t xml:space="preserve">iv) The use of preferred subcontracting in collaboration agreements ............ 108  </w:t>
        <w:br/>
        <w:t xml:space="preserve">v) The exchange of information between collaborating companies ............... 108  </w:t>
        <w:br/>
        <w:t xml:space="preserve">4.1.3. Other types of collaborations between companies ............................... 109  </w:t>
        <w:br/>
        <w:t xml:space="preserve">4.1.4. The impact of collaboration agreements on the contract award price .......................................................................................... 110  </w:t>
        <w:br/>
        <w:t xml:space="preserve">4.2. Illegality of the conduct ............................................................................. 113  </w:t>
        <w:br/>
        <w:t xml:space="preserve">4.3. Single and continuous infringement ............................................................ 124  </w:t>
        <w:br/>
        <w:t xml:space="preserve">4.4. Authors and responsibility ........................................................................ 131  </w:t>
        <w:br/>
        <w:t xml:space="preserve">4.4.1. ACCENTURE .......................................................................................... 132  </w:t>
        <w:br/>
        <w:t xml:space="preserve">4.4.2. ALDEBARAN .......................................................................................... 134  </w:t>
        <w:br/>
        <w:t xml:space="preserve">4.4.3. ATOS ....................................................................................................... 135  </w:t>
        <w:br/>
        <w:t xml:space="preserve">4.4.4. AXPE ....................................................................................................... 137  </w:t>
        <w:br/>
        <w:t xml:space="preserve">4.4.5. BABEL ...................................................................................................... 137  </w:t>
        <w:br/>
        <w:t xml:space="preserve">4.4.6. CIBERNOS .............................................................................................. 138  </w:t>
        <w:br/>
        <w:t xml:space="preserve">4.4.7. CONNECTIS ............................................................................................ 139  </w:t>
        <w:br/>
        <w:t xml:space="preserve">4.4.8. EVERIS ...................................................................................................... 141  </w:t>
        <w:br/>
        <w:t xml:space="preserve">4.4.9. GESEIN ...................................................................................................... 142  </w:t>
        <w:br/>
        <w:t xml:space="preserve">4.4.10. IBM .......................................................................................................... 143  </w:t>
        <w:br/>
        <w:t xml:space="preserve">4.4.11. IECISA ..................................................................................................... 144  </w:t>
        <w:br/>
        <w:t xml:space="preserve">4.4.12. INDRA ...................................................................................................... 145  </w:t>
        <w:br/>
        <w:t xml:space="preserve">4.4.13. NEXT ........................................................................................................ 148  </w:t>
        <w:br/>
        <w:t xml:space="preserve">4.4.14. SAG .......................................................................................................... 149  </w:t>
        <w:br/>
        <w:t xml:space="preserve">4.5. Effects of the conduct ............................................................................... 152  </w:t>
        <w:br/>
        <w:t xml:space="preserve">4.6. Analysis of culpability and applicability of the principle of legitimate trust ......................................................................................... 158  </w:t>
        <w:br/>
        <w:t xml:space="preserve">4.6.1. Culpability analysis ................................................................................ 158  </w:t>
        <w:br/>
        <w:t xml:space="preserve">4.6.2. Analysis of the applicability of the principle of legitimate trust ........ 160  </w:t>
        <w:br/>
        <w:t>FIFTH. RESPONSE TO THE REST OF THE ALLEGATIONS TO THE</w:t>
        <w:br/>
        <w:t>RESOLUTION PROPOSAL AND OTHER ISSUES RAISED IN THE</w:t>
        <w:br/>
        <w:t xml:space="preserve">RESOLUTION PHASE .................................................................................. 163  </w:t>
        <w:br/>
        <w:t xml:space="preserve">5.1. On the defenselessness alleged by BABEL ................................................ 163  </w:t>
        <w:br/>
        <w:t xml:space="preserve">5.2. Allegations regarding AEAT contracts ...................................................... 164  </w:t>
        <w:br/>
        <w:t xml:space="preserve">5.3. Allegations regarding GISS contracts ....................................................... 167  </w:t>
        <w:br/>
        <w:t xml:space="preserve">5.3.1. Allegations affecting several contracts .................................................. 167  </w:t>
        <w:br/>
        <w:t xml:space="preserve">5.3.2. File 7202/06G .......................................................................................... 169  </w:t>
        <w:br/>
        <w:t xml:space="preserve">5.3.3. File 7201/10G .......................................................................................... 171  </w:t>
        <w:br/>
        <w:t xml:space="preserve">5.3.4. File 7201/13G .......................................................................................... 171  </w:t>
        <w:br/>
        <w:t xml:space="preserve">5.3.5. File 7201/14G .......................................................................................... 173  </w:t>
        <w:br/>
        <w:t xml:space="preserve">5.4. Allegations regarding SEPE contracts ...................................................... 173  </w:t>
        <w:br/>
        <w:t xml:space="preserve">5.4.1. Files C 10/08 and C 11/08 ...................................................................... 173  </w:t>
        <w:br/>
        <w:t xml:space="preserve">5.4.2. File PA 11/12 ........................................................................................... 178  </w:t>
        <w:br/>
        <w:t xml:space="preserve">5.4.3. File PA 7/14 and 8/14 ............................................................................. 179  </w:t>
        <w:br/>
        <w:t xml:space="preserve">5.5. Allegations regarding the SAP Environment for regional and local administrations ........................................................................... 180  </w:t>
        <w:br/>
        <w:t xml:space="preserve">5.6. Allegations regarding contracts of the National Institute of Social Security (INSS) ............................................................................... 181  </w:t>
        <w:br/>
        <w:t xml:space="preserve">5.7. Allegations regarding coverage offers and other favors between companies ....................................................................................... 182  </w:t>
        <w:br/>
        <w:t xml:space="preserve">5.7.1. Coverage offers ....................................................................................... 182  </w:t>
        <w:br/>
        <w:t xml:space="preserve">5.7.2. Other favors between companies ............................................................ 184  </w:t>
        <w:br/>
        <w:t xml:space="preserve">5.8. Allegations regarding negotiations between companies prior to the formation of collaboration instruments ........................................ 186  </w:t>
        <w:br/>
        <w:t xml:space="preserve">5.9. Allegations regarding inspections conducted by the Competition Directorate .................................................................................. 189  </w:t>
        <w:br/>
        <w:t xml:space="preserve">5.10. On the application of the de minimis rule ................................................ 190  </w:t>
        <w:br/>
        <w:t xml:space="preserve">5.11. On the implementation of compliance programs .................................... 190  </w:t>
        <w:br/>
        <w:t xml:space="preserve">5.12. On the late initiation of ACCENTURE companies .................................. 192  </w:t>
        <w:br/>
        <w:t xml:space="preserve">5.13. Response to the economic reports submitted by the companies .......... 192  </w:t>
        <w:br/>
        <w:t xml:space="preserve">5.13.1. On the justification of the UTE .............................................................. 192  </w:t>
        <w:br/>
        <w:t xml:space="preserve">5.13.2. On the effects of the conduct in the market ........................................ 200  </w:t>
        <w:br/>
        <w:t xml:space="preserve">5.14. Confidentiality ............................................................................................ 209  </w:t>
        <w:br/>
        <w:t xml:space="preserve">S/DC/0565/15 Comisión Nacional de los Mercados y la Competencia Page 5 of 224  </w:t>
        <w:br/>
        <w:t xml:space="preserve">C/ Barquillo, 5 – 28004 Madrid - C/ Bolivia, 56 – 08018 Barcelona  </w:t>
        <w:br/>
        <w:t>www.cnmc.es</w:t>
      </w:r>
    </w:p>
    <w:p>
      <w:r>
        <w:t xml:space="preserve">SIXTH. DETERMINATION OF THE SANCTION ................................................ 210  </w:t>
        <w:br/>
        <w:t xml:space="preserve">6.1 Criteria set forth by the Supreme Court ...................................................... 210  </w:t>
        <w:br/>
        <w:t xml:space="preserve">6.2 Criteria for determining the sanction: general assessment of the conduct .......................................................................................... 210  </w:t>
        <w:br/>
        <w:t xml:space="preserve">6.3 Criteria for the individual assessment of the conduct ................................. 212  </w:t>
        <w:br/>
        <w:t xml:space="preserve">6.4 Sanction type and adequacy of the sanction ................................................ 213  </w:t>
        <w:br/>
        <w:t xml:space="preserve">RESOLVES  </w:t>
        <w:br/>
        <w:t xml:space="preserve">Dissenting vote  </w:t>
        <w:br/>
        <w:t xml:space="preserve">S/DC/0565/15 Comisión Nacional de los Mercados y la Competencia Page 6 of 224  </w:t>
        <w:br/>
        <w:t xml:space="preserve">C/ Barquillo, 5 – 28004 Madrid - C/ Bolivia, 56 – 08018 Barcelona  </w:t>
        <w:br/>
        <w:t>www.cnmc.es</w:t>
      </w:r>
    </w:p>
    <w:p>
      <w:r>
        <w:rPr>
          <w:b/>
        </w:rPr>
        <w:t>[Pages 7–9]</w:t>
      </w:r>
    </w:p>
    <w:p>
      <w:r>
        <w:t xml:space="preserve">I. BACKGROUND  </w:t>
        <w:br/>
        <w:t xml:space="preserve">1. On May 8, 2015, an email from the State Agency for Tax Administration (AEAT) was received by the CNMC, whereby, in application of the provisions of the twenty-third additional provision of the consolidated text of the Public Sector Contracts Law, approved by Royal Legislative Decree 3/2011, of November 14 (TRLCSP), the result of the tender for the development and maintenance services of the electronic administration systems and applications of the Tax Information Department (file number: 14840210300) was communicated to the CNMC.  </w:t>
        <w:br/>
        <w:t xml:space="preserve">2. This led to the decision by the Directorate of Competition (DC) on May 12, 2015, to open preliminary investigation proceedings, under reference DP/0077/15.  </w:t>
        <w:br/>
        <w:t xml:space="preserve">3. In view of the information sent by the AEAT during the investigation, on October 5, 2015, the DC agreed to initiate a prior investigation procedure under reference S/DC/0565/15, as well as the incorporation of the received documentation, in order to preliminarily determine the existence of circumstances that justified the initiation of a sanctioning file (folios 1 to 210).  </w:t>
        <w:br/>
        <w:t xml:space="preserve">4. Within the framework of this reserved information, the DC conducted inspections on the premises of the companies: Indra Sistemas, S.A. and Indra Software Labs, S.L. (folios 211 to 240); Cibernos Consulting, S.A. (folios 241 to 283); and Software AG España, S.A. (folios 284 to 321) on October 27, 28, and 29, 2015.  </w:t>
        <w:br/>
        <w:t xml:space="preserve">5. The inspections at the premises of Software AG España, S.A. and Cibernos Consulting, S.A. were challenged by these companies, both of which were dismissed by the Competition Chamber of the CNMC.  </w:t>
        <w:br/>
        <w:t xml:space="preserve">6. On April 20, 2016, the DC agreed to initiate a sanctioning file against the companies Cibernos Consulting, S.A. (CIBERNOS), Software AG España, S.A. (SAG), Indra Sistemas, S.A. and Indra Software Labs, S.L. (jointly, INDRA), Gesein, S.L. (GESEIN), International Business Machines, S.A. (IBM), Atos Spain, S.A. (ATOS), Connectis ICT Services, S.A. (CONNECTIS), Informática El Corte Inglés, S.A. (IECISA), Next Computer Services, S.A. (NEXT), Axpe Consulting, S.L. (AXPE), and Everis Spain, S.L. (EVERIS), for prohibited conduct under Article 1 of Law 15/2007, of July 3, on the Defense of Competition (hereinafter, LDC) and Article 101 of the Treaty on the Functioning of the European Union (hereinafter, TFEU) (folios 367 to 496).  </w:t>
        <w:br/>
        <w:t xml:space="preserve">7. Between April 26 and May 5, 2018, the DC made the following requests for information:  </w:t>
        <w:br/>
        <w:t xml:space="preserve">- To the Management of Information Technology of the Social Security (GISS) (folios 537 to 541), to which a response was received on May 4, 2016 (folios 723 to 740).  </w:t>
        <w:br/>
        <w:t xml:space="preserve">- To the General Directorate of the State Public Employment Service (SEPE) (folios 601 to 605), to which a response was received on May 6, 2016 (folios 770 to 799).  </w:t>
        <w:br/>
        <w:t xml:space="preserve">- To EVERIS (folios 606 to 609), to which a response was received on May 18, 2016 (folios 981 to 1463).  </w:t>
        <w:br/>
        <w:t xml:space="preserve">- To INDRA (folios 610 to 613) and to SAG (folios 614 to 617), to which responses were received on May 11, 2016 (folios 922 to 964) and May 5, 2016 (folios 751 to 758), respectively.  </w:t>
        <w:br/>
        <w:t xml:space="preserve">- To the National Institute of Social Security (INSS) (folios 641 to 645), to which a response was received on May 25, 2016 (folios 4421 to 4425).  </w:t>
        <w:br/>
        <w:t xml:space="preserve">- To the Cervantes Institute (folios 697 to 701), whose response was received on May 12 (folios 976 and 977).  </w:t>
        <w:br/>
        <w:t xml:space="preserve">- To the Undersecretary of the Ministry of Education, Culture and Sports (folios 741 to 745), whose response was received on May 10, 2016 (folio 911) and May 26, 2016 (folios 4427 to 4440).  </w:t>
        <w:br/>
        <w:t xml:space="preserve">- To the Ministry of the Interior (folios 746 to 750), whose response was received on May 24, 2016 (folios 4417 to 4420). On May 27, 2016, an additional document was received from the Ministry of the Interior completing its previous response (folios 4441 to 4444).  </w:t>
        <w:br/>
        <w:t xml:space="preserve">- To the University of Barcelona (folios 759 to 762), with the response received on May 19, 2016 (folios 1464 to 1466).  </w:t>
        <w:br/>
        <w:t xml:space="preserve">- To the Directorate of Information and Communication Technologies of the Ministry of Finance and Public Administrations (folios 763 to 766), whose response was received on May 30, 2016 (folios 4445 and 4446).  </w:t>
        <w:br/>
        <w:t xml:space="preserve">8. On April 28, 2016, a request from APEDANICA was received by the CNMC to recognize its status as an interested party in the reference file (folios 618 to 622), a status that the DC denied by agreement of July 14, 2016 (folios 4988 to 4991).  </w:t>
        <w:br/>
        <w:t xml:space="preserve">9. On November 14, 2016, a document from INDRA was received (folio 7158) in which this entity indicated its intention to appeal to the National Court the resolution of the Council of November 3, 2016, which partially upheld its appeal against the DC's agreement of July 29, 2016, denying confidentiality (file R/AJ/624/16), as well as to request the adoption of a precautionary measure consisting of the suspension of the execution of the appealed resolution.  </w:t>
        <w:br/>
        <w:t xml:space="preserve">10. In view of the above, on November 14, 2016, the DC agreed to suspend the maximum resolution period of the procedure, exercising the power provided in Article 37.1.d) of the LDC, from that moment until the Administrative Litigation Chamber of the National Court denied the precautionary suspension of the appealed resolution or, failing that, ruled on the subject of the appeal filed by INDRA, as established in Article 12 of the RDC, which was notified to all interested parties in the file (folios 7159 to 7187).  </w:t>
        <w:br/>
        <w:t xml:space="preserve">11. On April 24, 2017, the DC lifted the suspension of the maximum resolution period of the reference file, upon receiving notification of the order from the sixth section of the Administrative Litigation Chamber of the National Court, adopted on March 30, 2017, denying the precautionary measures requested by INDRA. The resumption of the period calculation occurred from April 18, 2017, the day after the receipt of the notification of the order by the State Attorney's Office (folios 8496 to 8522).  </w:t>
        <w:br/>
        <w:t xml:space="preserve">12. On May 19, 2017, the DC made a request for information to the Directorate of Economic Management of the AEAT (folios 9461 to 9465). The response to this request was received on May 29, 2017 (folios 9467 to 9527).  </w:t>
        <w:br/>
        <w:t xml:space="preserve">13. On July 6, 2017, the DC made a request for information to NEXT (folios 12164 to 12168).  </w:t>
        <w:br/>
        <w:t xml:space="preserve">14. On July 17, 2017, the response from NEXT to the request made on July 6, 2017, was received (folio 12711).  </w:t>
        <w:br/>
        <w:t xml:space="preserve">15. On July 27, 2017, an appeal from SAG against the DC's decision denying confidentiality of July 19, 2017, was received by the CNMC. The appeal was dismissed by the Competition Chamber of the CNMC by resolution dated October 26, 2017 (R/AJ/051/17). The DC agreed to suspend the maximum resolution period of the procedure in file S/DC/0565/15, in accordance with Article 37.1.d) of the LDC. This suspension was notified to all interested parties in the file (folios 12784 to 12826). The suspension was lifted following the aforementioned resolution of October 26, 2017, effective October 27, 2017 (folio 13223).  </w:t>
        <w:br/>
        <w:t>16. On October 9, 2017, documents from CIBERNOS, INDRA, and SAG regarding a new tender for IT services by the AEAT (AV 22/2017, file number: 17840060500) were received by the CNMC.</w:t>
      </w:r>
    </w:p>
    <w:p>
      <w:r>
        <w:rPr>
          <w:b/>
        </w:rPr>
        <w:t>[Pages 10–12]</w:t>
      </w:r>
    </w:p>
    <w:p>
      <w:r>
        <w:t>involves the continuation of one of the contracting files affected by the investigation in the sanctioning file S/DC/0565/15 and whose design of specifications may not be compatible with competition law, according to these companies (folios 12843 to 13061).</w:t>
      </w:r>
    </w:p>
    <w:p>
      <w:r>
        <w:t>17. On October 11, 2017, the DC sent a letter to the AEAT, forwarding a copy of the letter from CIBERNOS, INDRA, and SAG dated October 9, 2017, previously mentioned, so that the AEAT could adopt the measures it deemed appropriate regarding the tender of file AV 22/2017 (folios 13062 to 13069).</w:t>
      </w:r>
    </w:p>
    <w:p>
      <w:r>
        <w:t>18. On October 16, 2017, a letter from an anonymous complainant was received at the CNMC, referring to the existence of links between certain individuals who have been providing their services to various companies and executives of public bodies. According to the complainant, these personal links would have influenced the awarding of public contracts for information technology services by these bodies to various companies, among which several of the companies involved in the reference file are mentioned (folios 13072 to 13074).</w:t>
      </w:r>
    </w:p>
    <w:p>
      <w:r>
        <w:t>19. On October 19, 2017, the DC agreed to expand the initiation of the reference file to the companies: Accenture, S.L and Accenture Outsourcing Services, S.A. (jointly, ACCENTURE), Aldebarán Tecnologías de la Información, S.L. (ALDEBARÁN), and Babel Sistemas de Información, S.L (BABEL), for prohibited conduct under Article 1 of the LDC and Article 101 of the TFEU, in relation to the facts investigated in the reference file (folios 13075 to 13077).</w:t>
      </w:r>
    </w:p>
    <w:p>
      <w:r>
        <w:t>20. On November 3, 2017, the PCH was notified to the parties (folios 13374 to 13556). All companies submitted allegations regarding it.</w:t>
      </w:r>
    </w:p>
    <w:p>
      <w:r>
        <w:t>21. On January 30, 2018, the Director of Competition issued the proposal for resolution of the procedure (folios 24545 to 24946), which was duly notified to the parties. All parties have submitted allegations to it.</w:t>
      </w:r>
    </w:p>
    <w:p>
      <w:r>
        <w:t>22. On February 26, 2018, the Director of Competition submitted the proposal report to the Competition Chamber of the CNMC, along with the proposal for resolution and the written allegations submitted by the companies (folio 27077).</w:t>
      </w:r>
    </w:p>
    <w:p>
      <w:r>
        <w:t>23. On April 19, 2018, the Competition Chamber of the CNMC Council agreed to send information to the European Commission as provided by Article 11.4 of Regulation (EC) No. 1/2003 of the Council, of December 16, 2002, regarding the application of the rules on competition provided in Articles 101 and 102 of the TFEU. It was also agreed to suspend the deadline for resolving the sanctioning procedure effective that same day, April 19, 2018, the date of effective notification to the European Commission, until a response was received from the European Commission to the information sent or until the term referred to in Article 11.4 of Regulation (EC) No. 1/2003 had elapsed (folio 43923). The suspension period was lifted by agreement dated May 19, 2018, effective May 20 of that same year (folio 27841).</w:t>
      </w:r>
    </w:p>
    <w:p>
      <w:r>
        <w:t>24. On May 10, 2018, the Competition Chamber adopted an Agreement regarding the requests of the companies for the practice of evidence, acceptance of confidentiality, and holding of a hearing (folios 27602 to 27610). This agreement was rectified by a resolution correcting errors dated May 17, 2018 (folios 27736 to 27739).</w:t>
      </w:r>
    </w:p>
    <w:p>
      <w:r>
        <w:t>25. On June 12, 2018, an oral hearing was held before the Competition Chamber of the CNMC, attended by all the companies involved (folios 28107 to 28124).</w:t>
      </w:r>
    </w:p>
    <w:p>
      <w:r>
        <w:t>26. On June 26, 2018, the Competition Chamber adopted an agreement requiring information from the companies regarding the volume of the affected market and total turnover of the companies for the year 2017 (folios 28136 to 28138). Additionally, on July 2, 2017, it was agreed to extend the response period by 5 working days (folio 28230). In the same information request agreement, the resolution period of the procedure was suspended, which was lifted by agreement dated July 14, 2018 (folio 28391).</w:t>
      </w:r>
    </w:p>
    <w:p>
      <w:r>
        <w:t>27. The Competition Chamber of the CNMC Council approved this resolution in its session of July 26, 2018.</w:t>
      </w:r>
    </w:p>
    <w:p>
      <w:r>
        <w:t>28. The interested parties in this file are the companies listed below.</w:t>
      </w:r>
    </w:p>
    <w:p>
      <w:r>
        <w:t>II. THE PARTIES</w:t>
      </w:r>
    </w:p>
    <w:p>
      <w:r>
        <w:t>1. ACCENTURE, S.L AND ACCENTURE OUTSOURCING SERVICES, S.A. (ACCENTURE)</w:t>
        <w:br/>
        <w:t>ACCENTURE is part of a multinational dedicated to providing consulting, technology, and outsourcing services. The Accenture brand was created in 2001, after abandoning the name Andersen Consulting. The ACCENTURE group has four main lines of work, which are specified in the areas of consulting, technology, and outsourcing, as well as in strategic issues of the company itself. ACCENTURE, S.L. is the parent company of Accenture Outsourcing Services, S.A., which acts as a subsidiary for outsourcing and externalization of services.</w:t>
      </w:r>
    </w:p>
    <w:p>
      <w:r>
        <w:t>2. ALDEBARÁN TECNOLOGÍAS DE LA INFORMACIÓN, S.L. (ALDEBARÁN)</w:t>
        <w:br/>
        <w:t>ALDEBARÁN is a company established in 2004 that provides information technology services. Its activity focuses on providing consulting services, including project monitoring, execution of plans, and advising on business solutions in the field of information technology and telecommunications. Its services are directed both to companies and individuals, and it sells directly and through integrators.</w:t>
      </w:r>
    </w:p>
    <w:p>
      <w:r>
        <w:t>3. ATOS SPAIN, S.A. (ATOS)</w:t>
        <w:br/>
        <w:t>ATOS SPAIN is part of the ATOS group, a multinational information technology services company, whose parent company is listed on the French stock exchange. The ATOS group conducts its activities under the brands Atos, Atos Consulting, Atos Worldgrid, Bull, Canopy, Unify, and Worldline. In Spain, ATOS is the result of the successive integration of different companies, has its headquarters in Madrid, and has branches in Barcelona, Seville, León, Valladolid, Vigo, Zaragoza, Santander, Bilbao, Las Palmas, and Tenerife. ATOS works with clients from various sectors, including Defense, financial services, health, manufacturing, public sector, distribution, energy, telecommunications, and transport. ATOS provides various services aimed at integrating business with technology, such as consulting services (through Atos Consulting), integration of information technology systems with existing infrastructures, and outsourcing (a service for which ATOS is responsible for all functions of the technological systems and business support of its clients, managing the essential information technology infrastructures, including data centers, desktops, and communication network systems).</w:t>
      </w:r>
    </w:p>
    <w:p>
      <w:r>
        <w:t>4. AXPE CONSULTING, S.L. (AXPE)</w:t>
        <w:br/>
        <w:t>AXPE is a multinational company that provides consulting, system integration, and information technology outsourcing services. AXPE provides its services to companies in various fields such as telecommunications, financial entities, public administrations, energy, and industry. AXPE has offices in Madrid, Barcelona, Bilbao, and Valladolid, as well as in other countries around the world.</w:t>
      </w:r>
    </w:p>
    <w:p>
      <w:r>
        <w:t>5. BABEL SISTEMAS DE INFORMACIÓN, S.L. (BABEL)</w:t>
      </w:r>
    </w:p>
    <w:p>
      <w:r>
        <w:rPr>
          <w:b/>
        </w:rPr>
        <w:t>[Pages 13–15]</w:t>
      </w:r>
    </w:p>
    <w:p>
      <w:r>
        <w:t>BABEL is a Spanish multinational company with a presence in Spain (Barcelona, Madrid, and Seville), other countries in Europe (London and Lisbon), Latin America (Mexico City), and Morocco (Casablanca). BABEL provides technological services primarily aimed at the digital transformation of large companies and public organizations. BABEL offers services for building digital user experiences, business analytics or business intelligence, new architectures, and outsourcing, among others.</w:t>
      </w:r>
    </w:p>
    <w:p>
      <w:r>
        <w:t xml:space="preserve">6. CIBERNOS CONSULTING, S.A. (CIBERNOS)  </w:t>
        <w:br/>
        <w:t>CIBERNOS is a technology services company, with a presence in Spain (Madrid, Santander, Cádiz, and Seville) and Latin America. CIBERNOS has clients in the financial, public administration, telecommunications, utilities, industry, and services sectors. CIBERNOS provides technological services, as well as consulting and management services, and develops various products, both proprietary and third-party.</w:t>
      </w:r>
    </w:p>
    <w:p>
      <w:r>
        <w:t xml:space="preserve">7. CONNECTIS ICT SERVICES, S.A. (successor of THALES INFORMATION SYSTEMS)  </w:t>
        <w:br/>
        <w:t>CONNECTIS is a company that provides consulting, development, and operation of information systems. CONNECTIS emerged from the merger in 2012 of five small Spanish niche technology companies that, being subsidiaries of multinationals, usually worked only for Spanish clients. The merged companies were THALES INFORMATION SYSTEMS (THALES), STERIA IBÉRICA, TELVENT GLOBAL SERVICES (TELVENT), NEC España, and COLT. In 2012, CONNECTIS became part of the GETRONICS group. In fact, the operation that led to the creation of CONNECTIS was conceived between GETRONICS (the technology company of the investment fund AURELIUS, which is now the main shareholder of CONNECTIS) and one of the executives of THALES (Graham Johnson). Thus, CONNECTIS is the brand of a global information technology services company under which the activity, business, and technical and human resources, among other companies, of THALES (in Spain and Argentina), a company that also appears in this file, have been grouped. CONNECTIS offers, among others, services for designing and implementing processes, applications, and new channels on the Internet, operating information technology environments, information protection and secure services, advanced mobility solutions, process automation, outsourcing, and management of application development services and administration of complex and multiple environments.</w:t>
      </w:r>
    </w:p>
    <w:p>
      <w:r>
        <w:t>CONNECTIS has clients in various fields and sectors such as: Public sector, socio-health, financial, insurance, industrial, and retail.</w:t>
      </w:r>
    </w:p>
    <w:p>
      <w:r>
        <w:t xml:space="preserve">8. EVERIS SPAIN, S.L. (EVERIS)  </w:t>
        <w:br/>
        <w:t>EVERIS is part of a multinational group that provides consulting services and belongs to the NTT Data group since 2013. EVERIS works on business development and strategy projects, maintenance of technological applications, and outsourcing. EVERIS has clients in various sectors such as telecommunications, financial entities, industry, utilities and energy, banking, insurance, public administrations, and healthcare.</w:t>
      </w:r>
    </w:p>
    <w:p>
      <w:r>
        <w:t xml:space="preserve">9. GESEIN, S.L. (GESEIN)  </w:t>
        <w:br/>
        <w:t>GESEIN is a Spanish company that provides information technology services and is primarily focused on the national scope. Initially, its activity was centered on the public sector, although it later expanded the range of sectors to which it provides services, including sectors such as banking, insurance, healthcare, transportation, energy, telecommunications, industrial, and aerospace. GESEIN originally specialized in the installation and implementation of software, but currently offers consulting services, development, information technology infrastructure, implementation and integration, training, managed services, or auditing.</w:t>
      </w:r>
    </w:p>
    <w:p>
      <w:r>
        <w:t xml:space="preserve">10. INTERNATIONAL BUSINESS MACHINES, S.A. (IBM)  </w:t>
        <w:br/>
        <w:t>IBM is part of a multinational group focused on technology and consulting services. IBM manufactures and markets hardware and software for computers and offers infrastructure services, Internet hosting, and consulting in a wide range of areas related to computing, from mainframes to nanotechnology.</w:t>
      </w:r>
    </w:p>
    <w:p>
      <w:r>
        <w:t xml:space="preserve">11. INFORMÁTICA EL CORTE INGLÉS, S.A. (IECISA)  </w:t>
        <w:br/>
        <w:t>IECISA belongs to the business group "El Corte Inglés." IECISA specializes in the integration of solutions and services, in technology consulting tailored to business, and in digital transformation. In addition, IECISA incorporates technological solutions such as cloud services, mobility, big data analytics, and social business into its applications. The areas in which IECISA develops its activity include, among others, the public sector, commercial field, tourism, telecommunications, environment, healthcare, financial and insurance entities, as well as the industrial sector.</w:t>
      </w:r>
    </w:p>
    <w:p>
      <w:r>
        <w:t xml:space="preserve">12. INDRA (INDRA SISTEMAS S.A and INDRA SOFTWARE LABS S.L.)  </w:t>
        <w:br/>
        <w:t>INDRA is one of the leading global consulting and technology companies. INDRA is the leading technology multinational in the Spanish market and is publicly traded in Spain. INDRA develops comprehensive technological solutions in various sectors, including: public administrations, airports, defense, energy, hotels and tourism, industry, airlines, healthcare, security, insurance, financial services, simulation, infrastructure, telecommunications, air traffic, rail traffic, ports, and water; to which it provides various technological and outsourcing services. INDRA SISTEMAS, S.A. is the parent company of INDRA SOFTWARE LABS, S.L.</w:t>
      </w:r>
    </w:p>
    <w:p>
      <w:r>
        <w:t xml:space="preserve">13. NEXT COMPUTER SERVICES, S.A. (NEXT)  </w:t>
        <w:br/>
        <w:t>Next belongs to the Next Group, which has a presence in Spain and the United States, and provides business consulting services focused on information technology and telecommunications. NEXT provides comprehensive technological solutions through its strategic business areas: management applications, internet and development, infrastructure, and technological outsourcing. Among NEXT's offerings is the design, development, and implementation of technological solutions, up to their integration, operation, and maintenance.</w:t>
      </w:r>
    </w:p>
    <w:p>
      <w:r>
        <w:t xml:space="preserve">14. SOFTWARE AG ESPAÑA, S.A. (SAG)  </w:t>
        <w:br/>
        <w:t>SAG is a subsidiary of the Software AG Group, a technology group headquartered in Germany. SAG is one of the leading companies in the provision of infrastructure software at the European level. The main activity of SAG is the development of software and integration platforms based on XML language. SAG is present in various fields such as: Internet of Things, banking, business solutions, capital markets, media, energy and environment, insurance, public administrations, transportation, or manufacturing.</w:t>
      </w:r>
    </w:p>
    <w:p>
      <w:r>
        <w:rPr>
          <w:b/>
        </w:rPr>
        <w:t>[Pages 16–18]</w:t>
      </w:r>
    </w:p>
    <w:p>
      <w:r>
        <w:t xml:space="preserve">III. ANALYSIS OF THE AFFECTED MARKET  </w:t>
        <w:br/>
        <w:t xml:space="preserve">1. Market Characterization  </w:t>
        <w:br/>
        <w:t xml:space="preserve">1.1. Relevant Market  </w:t>
        <w:br/>
        <w:t xml:space="preserve">a) Product Market  </w:t>
        <w:br/>
        <w:t xml:space="preserve">The behaviors analyzed have developed in the sector of information technology services and related services, particularly concerning the activities of development and maintenance of systems and applications.  </w:t>
        <w:br/>
        <w:t xml:space="preserve">This sector encompasses the basic functions used to provide all information technology services, including software programs, data processing and storage, and related services such as consulting services and training for client personnel.  </w:t>
        <w:br/>
        <w:t xml:space="preserve">Information technology services are listed as a subsector of the services provided to businesses and professionals in the Sectoral Classification List of Services prepared under the General Agreement on Trade in Services (GATS). This subsector, which corresponds to section 1B of the List, includes five subcategories that are more broadly defined in the corresponding items of the United Nations Provisional Central Product Classification (CPC) and include:  </w:t>
        <w:br/>
        <w:t xml:space="preserve">a. Computer equipment installation consulting services: customer assistance services in the installation of computer equipment and networks.  </w:t>
        <w:br/>
        <w:t xml:space="preserve">b. Software application services: all services involving advice, development, and application of programs. The term "programs" can be defined as the set of instructions necessary for the operation of computers. Different programs can be developed for specific applications (application programs), and the client may choose to use pre-packaged programs (packaged software), develop specific programs tailored to their specific needs (customized programs), or a combination of both possibilities.  </w:t>
        <w:br/>
        <w:t xml:space="preserve">c. Data processing services or "data preparation services for processing": data entry services, such as keyboard entry, optical character recognition, or other methods used for data input. These include: data processing and tabulation services, time-sharing computer services, and other data processing services (such as those involving the management of the entire IT setup of a client under a contract: quality control of the computer room environment, management of computer equipment combinations, and the flow and distribution of computer workloads).  </w:t>
        <w:br/>
        <w:t xml:space="preserve">d. Database services: all services provided from a primary database and a communications network. The CPC specifically excludes "data transmission and messaging services," classified as telecommunications services, and data recovery services, classified as library services.  </w:t>
        <w:br/>
        <w:t xml:space="preserve">e. Other information technology services: services in which the CPC distinguishes two subcategories: i) data preparation services (services for clients that do not include data processing operations) and ii) other information technology services (client personnel training and other professional IT services).  </w:t>
        <w:br/>
        <w:t xml:space="preserve">However, the definition of this sector or market is complicated by various factors. The main one is that, despite the existence of the aforementioned classification, many sources do not use a uniform definition of the activities considered as information technology services or programs.  </w:t>
        <w:br/>
        <w:t xml:space="preserve">This partly derives from the relationship between the activities included in the aforementioned classification and telecommunications services, as well as the creation and provision of software programs. These interrelations sometimes make it almost impossible to distinguish some information technology services from value-added telecommunications services.  </w:t>
        <w:br/>
        <w:t xml:space="preserve">Moreover, the commercial trend to offer the subsectors identified in the GATS classification in an integrated manner makes it increasingly difficult to make distinctions between them.  </w:t>
        <w:br/>
        <w:t xml:space="preserve">For the purposes of this file, it is worth noting that one can speak interchangeably of the information technology services sector or information technology services, a term commonly used in the analysis of concentrations in the European Union and at the national level.  </w:t>
        <w:br/>
        <w:t xml:space="preserve">This sector has been the subject of analysis by the European Commission on numerous occasions.  </w:t>
        <w:br/>
        <w:t xml:space="preserve">In the precedents of the European Union, the possibility of segmenting the sector is often indicated by distinguishing between (i) information technology services market and (ii) information technology software market.  </w:t>
        <w:br/>
        <w:t xml:space="preserve">In turn, the information technology services market could be subject to narrower delimitations, in line with the previously cited community precedents, according to the classification pointed out in the Gartner Report without ruling out other possible delimitations. However, the European Commission has not closed the delimitation of these markets but has merely referred to this possibility based on different criteria proposed by the notifying parties.  </w:t>
        <w:br/>
        <w:t xml:space="preserve">In the present case, the behaviors subject to analysis in the reference file particularly affect the activities of development and maintenance of systems and applications and, more specifically, the services of software development and maintenance (which in turn belong to the general category of "information technology services"), which are demanded by large entities, both public and private.  </w:t>
        <w:br/>
        <w:t xml:space="preserve">The essence of the work of software development and maintenance, in any of its variants, consists of automating the various types of activities that are recurrently reproduced in any business or activity, in order to harmonize the procedures related to workflows and documents, internal procedures, and the movement of funds.  </w:t>
        <w:br/>
        <w:t xml:space="preserve">The development of the work largely depends on the capacity of human resources. The general practice is that large consulting firms allocate a specific working group that integrates as support personnel in the companies and institutions that demand the systems.  </w:t>
        <w:br/>
        <w:t xml:space="preserve">Given the existing specialization in the development and maintenance of applications and information systems (also referred to as software development and maintenance), human resources are not easily replaceable in a short period of time.  </w:t>
        <w:br/>
        <w:t xml:space="preserve">In light of all the above, this Chamber shares the market definition made by the Competition Directorate and considers that the relevant affected product market by the investigated behaviors is that of information technology services (also referred to as software development and maintenance), without the need to precisely close the delimitation of the same for the purposes of this file, as it does not affect the conclusions of the analysis.  </w:t>
        <w:br/>
        <w:t>b) Geographic Market</w:t>
      </w:r>
    </w:p>
    <w:p>
      <w:r>
        <w:rPr>
          <w:b/>
        </w:rPr>
        <w:t>[Pages 19–21]</w:t>
      </w:r>
    </w:p>
    <w:p>
      <w:r>
        <w:t>The market for information technologies, or IT services and other related services, has traditionally been defined in European precedents as being of national scope, although there is a clear trend towards the internationalization of its supply and demand.</w:t>
      </w:r>
    </w:p>
    <w:p>
      <w:r>
        <w:t>Since the decision M.6237 COMPUTER SCIENCES CORPORATION / iSOFT GROUP, dated June 20, 2011, the European Commission points to a geographical scope that exceeds the national level, due to the fact that large IT service providers typically operate on an international scale and clients generally demand their services through internationally open tenders.</w:t>
      </w:r>
    </w:p>
    <w:p>
      <w:r>
        <w:t>In any case, the European Commission, despite referring to factors such as ease of entry or the standardization of outsourcing that would allow for a discussion of a geographical scope of these markets exceeding the national level, does not make a conclusive statement on this issue, leaving the market definition open in most cases as it does not affect the conclusions of the analysis.</w:t>
      </w:r>
    </w:p>
    <w:p>
      <w:r>
        <w:t>In the present case, however, it is considered that the affected geographical market is of national scope. This is so because, despite the aforementioned trend towards the internationalization of the supply and demand of this market, caused by the globalization of contractual models, labor mobility, or the use of English as the language for applications in the IT sector, there are still certain elements that allow for the market to be defined as national and whose weight in the present case must be taken into account due to its relevance.</w:t>
      </w:r>
    </w:p>
    <w:p>
      <w:r>
        <w:t>Among these elements, the fact stands out that the behaviors analyzed in the reference file would have developed in relation to tenders and contracts signed by public administrations and Spanish agencies, both from the General State Administration and from various Autonomous Communities. In most cases, these contracts involve the physical integration of personnel from the companies involved or their subcontractors into the clients' staff as support personnel, making the relevance of communication in Spanish or the existence of a close and constant relationship essential.</w:t>
      </w:r>
    </w:p>
    <w:p>
      <w:r>
        <w:t>This perspective aligns with what is stated in the European precedent M.6921 - IBM ITALIA / UBIS, dated June 19, 2013, where, when defining the geographical scope of the market, it is taken into account that, from the demand perspective, IT solutions are normally adapted to the language and local business particularities, and a close and constant relationship between the providers of these services and the clients is also necessary.</w:t>
      </w:r>
    </w:p>
    <w:p>
      <w:r>
        <w:t>Therefore, for the purposes of the present case, this Chamber, in accordance with the Competition Directorate, considers that the market for information technologies (also referred to as the software development and maintenance market) has a relevant national geographical scope, covering all of Spain.</w:t>
      </w:r>
    </w:p>
    <w:p>
      <w:r>
        <w:t>1.2. Affected Market</w:t>
      </w:r>
    </w:p>
    <w:p>
      <w:r>
        <w:t>The Competition Directorate has not made a distinction between relevant market and affected market. However, this Chamber, in light of the scope in which the behaviors have occurred and their extent, does consider it appropriate to make this distinction.</w:t>
      </w:r>
    </w:p>
    <w:p>
      <w:r>
        <w:t>As the Competition Authority has repeatedly pointed out and has been confirmed by the National Court, the concept of the affected market by the infringing conduct is determined by the scope in which the behaviors have produced or are likely to produce effects on the conditions of effective competition.</w:t>
      </w:r>
    </w:p>
    <w:p>
      <w:r>
        <w:t>The "affected market," as defined, is delimited by the scope of the anticompetitive behaviors developed by the companies, and may not coincide with the relevant product and geographical market, as it is not determined by the area in which the conditions of competition are homogeneous.</w:t>
      </w:r>
    </w:p>
    <w:p>
      <w:r>
        <w:t>In this case, a series of behaviors affecting public tenders in the scope of various public administrations of the State have been analyzed. Consequently, while the relevant market is that of IT services of national scope, the affected market must be limited to the market for information technologies in the scope of the affected public administrations, both at the national and regional levels.</w:t>
      </w:r>
    </w:p>
    <w:p>
      <w:r>
        <w:t>2. Main Characteristics of the Affected Market</w:t>
      </w:r>
    </w:p>
    <w:p>
      <w:r>
        <w:t>The sector of IT services and other related services has experienced rapid growth in recent decades, among other reasons due to the increasing introduction of information technologies in almost all economic activities. In any case, as the sector has matured, some of its segments have shown a tendency towards concentration in large companies.</w:t>
      </w:r>
    </w:p>
    <w:p>
      <w:r>
        <w:t>In recent years, there has been a notable increase in the use of system integration services, as well as the frequent recourse to consulting services to facilitate the adoption of new technologies by large companies.</w:t>
      </w:r>
    </w:p>
    <w:p>
      <w:r>
        <w:t>Moreover, the use of outsourcing has become a common element of new business strategies due to the priority given to cost control.</w:t>
      </w:r>
    </w:p>
    <w:p>
      <w:r>
        <w:t>Thus, currently, almost all companies tend to make use of information technologies, although access to services related to these differs depending on whether they are large clients (large private companies and public administrations) or small and medium-sized enterprises. The fundamental difference lies in the fact that large clients tend to outsource or subcontract all services, while small companies would only outsource part of the IT services, due to economic considerations.</w:t>
      </w:r>
    </w:p>
    <w:p>
      <w:r>
        <w:t>It is also worth noting that the contracting of large clients usually occurs through tenders. In these cases, one of the main components of the price derives from the human resources employed to provide the services, although licenses for the use and maintenance of software and hardware can also involve very significant costs.</w:t>
      </w:r>
    </w:p>
    <w:p>
      <w:r>
        <w:t>In the particular case of application and IT system development and maintenance services, these are demanded by a wide variety of companies and institutions, belonging to both the public and private sectors, although special emphasis will be placed on the public sector, given that the behaviors subject to analysis in the reference file would have developed in relation to it.</w:t>
      </w:r>
    </w:p>
    <w:p>
      <w:r>
        <w:t>The services of application and IT system development and maintenance are a recurring demand from all public administrations in the process of modernization and automation of their procedures and systems. Therefore, given the difficulties previously described in defining and differentiating IT services, the international CPV classification system for the procurement of goods and services of the State contracting platform includes them with their own numbering.</w:t>
      </w:r>
    </w:p>
    <w:p>
      <w:r>
        <w:t>Thus, the international CPV classification system distinguishes a "general category of information processing services (IT): consulting, software development, internet, and support" within which are included the</w:t>
      </w:r>
    </w:p>
    <w:p>
      <w:r>
        <w:rPr>
          <w:b/>
        </w:rPr>
        <w:t>[Pages 22–24]</w:t>
      </w:r>
    </w:p>
    <w:p>
      <w:r>
        <w:t>services for software programming and related consulting14, which in turn includes software development15. The CPV for software development is the one included in the contracts mentioned in the AEAT's letter that led to the inspection and subsequent initiation of the reference file.</w:t>
      </w:r>
    </w:p>
    <w:p>
      <w:r>
        <w:t>The structure of the provision of development and maintenance services for applications and computer systems (information technologies) is based on a more or less standard work pyramid that distinguishes three categories: Computer Engineer (consultant), Systems Analyst, and Programmer.</w:t>
        <w:br/>
        <w:t>- The engineer (consultant) analyzes the information of the system to be created or improved and a possible solution.</w:t>
        <w:br/>
        <w:t>- The analyst designs the most appropriate solution, based on the engineer's recommendations, and creates the diagrams, etc.</w:t>
        <w:br/>
        <w:t>- The programmer develops them.</w:t>
      </w:r>
    </w:p>
    <w:p>
      <w:r>
        <w:t>However, the functions are highly intertwined, and for large projects, the engineer (consultant) and analyst may end up programming, the analyst also assists in defining the solution with the client, etc. In reality, the critical phase of the work is execution, which usually requires adjustments and revisions of the system until everything works correctly.</w:t>
      </w:r>
    </w:p>
    <w:p>
      <w:r>
        <w:t>Despite the complexity of the work, both the tools used and the categories of experts are quite standardized, although differences still exist depending on the various types of activity or business models.</w:t>
      </w:r>
    </w:p>
    <w:p>
      <w:r>
        <w:t>The work options and salaries vary if workers specialize in databases or programming languages. There are also differences for workers specialized in network administration and technical support systems for internal and external users. The more or less common salary range fluctuates on a scale where the analyst's compensation is usually around 60-80% of what the engineer (consultant) receives. The programmer's compensation drops to 40-50%.</w:t>
      </w:r>
    </w:p>
    <w:p>
      <w:r>
        <w:t>There is a large number of companies present in this sector16, of different sizes, among which are the companies involved in the present file. Many of them belong to the Spanish Association of Consulting Companies (AEC), which groups the main consulting firms in management and organization of companies and information and communication technology (ICT) in Spain.</w:t>
      </w:r>
    </w:p>
    <w:p>
      <w:r>
        <w:t>According to the market shares provided by INDRA in the notification of the concentration operation between INDRA SISTEMAS, S.A. and TECNOCOM, TELECOMUNICACIONES ENERGÍA S.A. (FILE C/0821/16 INDRA/TECNOCOM), the joint market shares in the information technology services market in Spain of five of the companies involved in the sanctioning file (INDRA (without TECNOCOM), IBM, IECISA, ATOS, and EVERIS) were 30.8% in 2013, 32.4% in 2014, and 31.6% in 2015.</w:t>
      </w:r>
    </w:p>
    <w:p>
      <w:r>
        <w:t>In light of these shares, and considering the size and weight in Spain of the other companies involved (especially SAG), the group of involved companies has held, at least in those years, a market share in Spain exceeding 40% in the provision of information technology services.</w:t>
      </w:r>
    </w:p>
    <w:p>
      <w:r>
        <w:t>IV. ESTABLISHED FACTS</w:t>
        <w:br/>
        <w:t>The established facts in this resolution, whose complete version is included in section 5 of the resolution proposal (folios 24564 to 24665), originate from the actions that several companies have carried out within the framework of contractual relationships with various public state bodies.</w:t>
      </w:r>
    </w:p>
    <w:p>
      <w:r>
        <w:t>Since the facts refer to several procurement procedures regarding computer applications held in different public bodies, in order to systematize the facts, they will be analyzed separately according to the affected body in each case and the corresponding tender or bidding.</w:t>
      </w:r>
    </w:p>
    <w:p>
      <w:r>
        <w:t>1. STATE AGENCY FOR TAX ADMINISTRATION (AEAT)</w:t>
        <w:br/>
        <w:t>Between the years 2006 and 2015, the AEAT tendered 6 tenders related to the development and maintenance of the computer systems and applications of the aforementioned administration. Contracts C68/06, AV 42/10, PA 20/2014, on one hand, and contracts C03/07, AV 10/2011, and PA 2/2015, on the other hand, are related to each other, as they occur in succession over time and, consequently, there is identity between them.</w:t>
      </w:r>
    </w:p>
    <w:p>
      <w:r>
        <w:t>The most relevant facts regarding the aforementioned tenders are as follows.</w:t>
      </w:r>
    </w:p>
    <w:p>
      <w:r>
        <w:t>Contracts C68/06, AV 42/10, PA 20/2014</w:t>
        <w:br/>
        <w:t>a) Contract C68/06. External technical assistance to collaborate in the development and maintenance of the systems and applications carried out in the scope of the AEAT.</w:t>
        <w:br/>
        <w:t>(1) This contract was awarded, on October 19, 2006, to the UTE SAG/INDRA/GESEIN/CIBERNOS. The base budget for the tender was 10,000,896 euros17 and the awarded amount was exactly the same18.</w:t>
        <w:br/>
        <w:t>(2) The announcement of the tender for file C68/06 was made on September 4, 2006, through publication in the BOE number 211.</w:t>
        <w:br/>
        <w:t>(3) On September 14, 2006, INDRA sent SAG a collaboration agreement and commitment to establish a UTE between the companies SAG, INDRA, GESEIN, and CIBERNOS to jointly bid for the tender (folio 9900).</w:t>
        <w:br/>
        <w:t>(4) The aforementioned commitments include the formation of a UTE according to the agreement for its establishment; the distribution of the number of workers by category that each company is to contribute; the policy regarding subcontracting (indicating that the profit obtained, resulting from the subcontracting of personnel already existing in the agency will be distributed among the participating companies according to their percentage of participation); the lack of linkage of the workers provided by each company with the UTE and their dependence on the company from which they come; the monthly billing to the UTE or the existence of a monitoring committee for the UTE and its composition.</w:t>
        <w:br/>
        <w:t>(5) The collaboration agreement also sets the amount/hour by category that each company will bill for the technicians they have contributed to the project and the expectation that the participation percentages of each member of the UTE will be leveled through the incorporation of resources (workers) (folio 9902).</w:t>
        <w:br/>
        <w:t>(6) Furthermore, this agreement contains the provision for adjustments that are made "in order for each company to bill the initially agreed percentage of what the UTE bills to the AEAT [...]", indicating the deadlines in which these adjustments occur and how they function, in order to compensate each company so that it ultimately obtains its agreed participation (folio 9903).</w:t>
        <w:br/>
        <w:t>(7) The justification expressed by the companies in the memorandum for their participation in the tender through UTE is: "The experience of the four allied companies in this type of work advises the formation of this Temporary Union to allow the provision of the contracted services to the full satisfaction of the State Agency for Tax Administration" (folio 5517).</w:t>
      </w:r>
    </w:p>
    <w:p>
      <w:r>
        <w:t>17 In the announcement in the BOE, it is not specified whether the stated amount includes taxes or not. For the purposes of this file, it is interpreted that the cited amount does not include VAT.</w:t>
        <w:br/>
        <w:t>18 Information published in the BOE on December 4, 2006, pages 13448 and 13449 https://www.boe.es/boe/dias/2006/12/04/pdfs/B13448-13449.pdf</w:t>
      </w:r>
    </w:p>
    <w:p>
      <w:r>
        <w:rPr>
          <w:b/>
        </w:rPr>
        <w:t>[Pages 25–27]</w:t>
      </w:r>
    </w:p>
    <w:p>
      <w:r>
        <w:t>(8) The expected duration of the contract was 24 months19, but after that period, the contract was extended until the end of December 2010 (folio 6070).</w:t>
      </w:r>
    </w:p>
    <w:p>
      <w:r>
        <w:t>(9) At the time of the closure of the UTE, INDRA was in a position to request compensation for having billed less than agreed (folios 5870-5871). However, the member companies of the UTE met on January 24, 2011, and agreed that CIBERNOS and GESEIN would compensate with a lower percentage than they were actually entitled to (folio 6070).</w:t>
      </w:r>
    </w:p>
    <w:p>
      <w:r>
        <w:t>b) Contract AV 42/10. Development and maintenance services for the systems and applications carried out in the tax information department of the AEAT (file 10840059600).</w:t>
      </w:r>
    </w:p>
    <w:p>
      <w:r>
        <w:t>(10) The tender AV 42/10 is a continuation of contract C 68/06, with the same UTE SAG/INDRA/GESEIN/CIBERNOS being the awardee as it was then. The companies in this contract maintain the same participation percentages as agreed in 2006. The base bidding budget was 10,495,994 euros, and the awarded amount was exactly the same.</w:t>
      </w:r>
    </w:p>
    <w:p>
      <w:r>
        <w:t>(11) On June 23, 2010, SAG internally communicated that "It is a fact that they are going to publish two Tenders, we still do not know the rates of the specifications." In the attached Excel file, under the heading "AEAT TENDERS 2010," it is indicated "Tender 1: UTE Software AG-Indra-Gesein-Cibernos (Software AG has 42.02% of the UTE)" and "Tender 2: UTE Cibernos-Indra-Software AG-IBM (Software AG has 17.28% of the UTE)" (folios 10880 and 10882).</w:t>
      </w:r>
    </w:p>
    <w:p>
      <w:r>
        <w:t>(12) On July 23, 2010, GESEIN informed the other members of the UTE that the announcement of the tender had been published in the Official Journal of the European Union (DOUE) (folios 5667 to 5672). It is worth noting that the announcement of the tender in the DOUE refers to the Particular Administrative Clauses Document for obtaining legal, economic, financial, or technical information, without that information being available at that time for all those companies that might be interested in the tender (folios 5669 to 5672).</w:t>
      </w:r>
    </w:p>
    <w:p>
      <w:r>
        <w:t>(13) On the same day, July 23, 2010, SAG sent the other companies (INDRA, GESEIN, and CIBERNOS) the rates, the number of technicians, and the days for each category. In its calculations, SAG uses the rates from the previous tender with VAT for each category of workers, although it indicates that "the problem is that when discounting the VAT at 18%, it has somehow reduced the expected budget by 2%" (folio 5673).</w:t>
      </w:r>
    </w:p>
    <w:p>
      <w:r>
        <w:t>19 BOE number 211 of September 4.</w:t>
      </w:r>
    </w:p>
    <w:p>
      <w:r>
        <w:t>(14) The publication of the tender occurred in BOE number 187 on August 3, 2010.</w:t>
      </w:r>
    </w:p>
    <w:p>
      <w:r>
        <w:t>(15) On the same day, SAG internally communicated the content of the specifications, stating the following (folio 5710):</w:t>
        <w:br/>
        <w:t>“Good morning,</w:t>
        <w:br/>
        <w:t>Attached are the specifications for the AEAT offer.</w:t>
        <w:br/>
        <w:t>The offer must be submitted by September 8.</w:t>
        <w:br/>
        <w:t>We will go in UTE.”</w:t>
      </w:r>
    </w:p>
    <w:p>
      <w:r>
        <w:t>(16) The final rates to be offered by the UTE in the tender were decided by the members of the UTE on August 19, 2010. The table on folio 5768 includes the workers who are working there (with their names and ID numbers), to which company they belong, their category, and the amount to be received by each (folios 5767 and 5768).</w:t>
      </w:r>
    </w:p>
    <w:p>
      <w:r>
        <w:t>(17) On October 26, 2010, the AEAT communicated to the members of the UTE the provisional award of the tender (folios 5819 to 5821).</w:t>
      </w:r>
    </w:p>
    <w:p>
      <w:r>
        <w:t>(18) For the execution of the contract, the companies that would make up the winning UTE hired IECISA to provide them with certain services, as stated in several folios of the file. It is noteworthy that through this agreement, project managers20 and analysts21 are hired at prices higher than those paid to workers of the same category from the member companies of the UTE22 (folios 6162 to 6175).</w:t>
      </w:r>
    </w:p>
    <w:p>
      <w:r>
        <w:t>(19) The signing of the statutes and the memorandum of the UTE was scheduled for October 29, 2010 (folio 5823). In the memorandum of the UTE, the same justification appears as in the memorandum of the winning UTE of contract 68/2006 (fact 7). It also includes the participation percentages of each company in the UTE, maintaining the percentages from the 2006 UTE (folio 5835).</w:t>
      </w:r>
    </w:p>
    <w:p>
      <w:r>
        <w:t>(20) The expected duration of the contract was until December 2012. However, the contract was extended until December 2014 (folios 6141, 6136, and 7517).</w:t>
      </w:r>
    </w:p>
    <w:p>
      <w:r>
        <w:t>(21) On May 10, 2013, through an email, two workers from INDRA discussed the differences between the actual and theoretical situation of the period 2010-2012, indicating that INDRA is below the theoretical percentages and the compensations that should be made among the members of the UTE to regularize that difference (folio 7889).</w:t>
      </w:r>
    </w:p>
    <w:p>
      <w:r>
        <w:t>(22) At the beginning of 2015, the members of the UTE communicated to carry out the closure of the extension (folios 7073 and 7074). After various emails, on January 18, 2015, the companies SAG, INDRA, and CIBERNOS reached an agreement whereby they would only bill the margin, awaiting GESEIN's agreement (folio 7079). According to the data from folio 7080, the margin is 5%. The regularization proposal involves payments from GESEIN to INDRA and SAG and from CIBERNOS to SAG. In that Excel, it shows how the members of the UTE share the profit margin that has resulted from subcontracting to IECISA23.</w:t>
      </w:r>
    </w:p>
    <w:p>
      <w:r>
        <w:t>c) Contract PA 20/2014. Development and maintenance services for systems and applications in the tax information department of the AEAT (file 14840074500, also referred to as AV 20/2014)</w:t>
      </w:r>
    </w:p>
    <w:p>
      <w:r>
        <w:t>(23) This contract represents the continuation of the contracts from 2006 and 2010 (files C68/06 and AV42/10), and it was awarded to the same UTE SAG/INDRA/GESEIN/CIBERNOS. The bidding budget was 11,759,651 euros, and the awarded price was 11,416,487 euros, resulting in a discount of 2.9%.</w:t>
      </w:r>
    </w:p>
    <w:p>
      <w:r>
        <w:t>(24) Although the AEAT has not provided data on this tender, there is an internal document from INDRA that identifies IECISA as a competitor in the tender (folio 9278).</w:t>
      </w:r>
    </w:p>
    <w:p>
      <w:r>
        <w:t>(25) On March 31, 2014, after speaking with [personal data]24 from the AEAT, a member of the contracting table of the aforementioned agency, SAG, INDRA, CIBERNOS, and GESEIN arranged a meeting to prepare for the new AEAT tender (folios 821 and 822 and 6300 to 6303).</w:t>
      </w:r>
    </w:p>
    <w:p>
      <w:r>
        <w:t>(26) On July 31, 2014, an internal report on the commercial activity from July 28 to August 1, 2014, was sent within INDRA, indicating that "the same existing UTE with SAG (42%)- INDRA (35%)- CIBERNOS (12%)- GESEIN (11%) will continue" (folio 9048).</w:t>
      </w:r>
    </w:p>
    <w:p>
      <w:r>
        <w:t>(27) On August 1, 2014, in an internal email from SAG, it was mentioned that this is the tender they were waiting for and that it continues the contract25 in which they are currently involved. It also states the following:</w:t>
        <w:br/>
        <w:t>“the current UTE is formed by SAG, Indra, Gesein, and Cibernos, and nothing suggests that things will be different in the new offer.</w:t>
        <w:br/>
        <w:t>The AEAT has issued a specification that quite well reflects the knowledge of the people we have located there from the four companies, and in our case, there are 31 personnel of which 11 are subcontracted.</w:t>
      </w:r>
    </w:p>
    <w:p>
      <w:r>
        <w:rPr>
          <w:b/>
        </w:rPr>
        <w:t>[Pages 28–30]</w:t>
      </w:r>
    </w:p>
    <w:p>
      <w:r>
        <w:t>(…) We have to consider whether we are playing with the possibility of a SINGLE offer or if we contemplate the existence of MULTIPLE offers. Obviously, the outcome of the strategy is completely different.</w:t>
      </w:r>
    </w:p>
    <w:p>
      <w:r>
        <w:t>Initially, our starting position would be to maintain the current rates, which would likely lead us to discounts between 7% and 10%.</w:t>
      </w:r>
    </w:p>
    <w:p>
      <w:r>
        <w:t>(28) The participation of the companies in the configuration of the specifications is evident in an internal email from INDRA dated August 26, 2014, where it is stated: “We have developed the profiles together with the client and in the specifications they have included exactly the models that we sent them.” Regarding the continuity of the UTE, it is mentioned that “We have spoken with the client about the advisability of it and they would like to give it continuity” (folio 9274).</w:t>
      </w:r>
    </w:p>
    <w:p>
      <w:r>
        <w:t>(29) Two days later, on August 28, 2014, SAG sent to INDRA, CIBERNOS, and GESEIN the first version of the collaboration agreement and the agreement for the establishment of the UTE among the four companies in relation to this contract (folio 11714). The collaboration agreement requires exclusivity. Furthermore, the agreement contains the percentage of participation of each company in the UTE and the rates for each category of worker that have been published in the PPT for the execution of the contract. In order for each company to invoice the initially agreed percentage, mechanisms for regularization of the amounts are also foreseen, with the margin to be paid by the companies exceeding their percentage being 5% (folios 11715 to 11722).</w:t>
      </w:r>
    </w:p>
    <w:p>
      <w:r>
        <w:t>(30) In an internal email from INDRA, dated September 19, 2014, INDRA states: “we have managed to present only our UTE because the Client wanted continuity and the specifications focused on the continuity of the current resources” (folios 8409 and 9639).</w:t>
      </w:r>
    </w:p>
    <w:p>
      <w:r>
        <w:t>(31) The contract was definitively awarded on December 23, 2014, to the UTE formed by SAG, INDRA, GESEIN, and CIBERNOS (folio 198).</w:t>
      </w:r>
    </w:p>
    <w:p>
      <w:r>
        <w:t>(32) In the UTE memorandum, it is indicated that the justification for the UTE is, as in the previously seen cases, that “the experience of the 4 allied companies in this type of work advises the formation of this Temporary Union to allow the provision of the contracted services to the full satisfaction” of the AEAT (folio 6622).</w:t>
      </w:r>
    </w:p>
    <w:p>
      <w:r>
        <w:t>Contracts C03/07, AV 10/2011, and PA 2/2015</w:t>
      </w:r>
    </w:p>
    <w:p>
      <w:r>
        <w:t>d) Contract C03/07. Service for the development of computer applications of the tax information department of the AEAT (file 068403137PO)</w:t>
      </w:r>
    </w:p>
    <w:p>
      <w:r>
        <w:t>(33) The contract was awarded, dated March 13, 2007, to the UTE CIBERNOS/INDRA/SAG/IBM (folio 9470). The base bidding budget was 12,979,200 euros and the awarded amount was exactly the same. The duration of the contract was 2 years, although it was extended for two more years, until March 22, 2011 (folios 843, 9694, and 9470).</w:t>
      </w:r>
    </w:p>
    <w:p>
      <w:r>
        <w:t>(34) A few months before the publication of the tender in the DOUE26 and in the BOE27, the companies SAG, IBM, CIBERNOS, and INDRA held a series of communications and meetings regarding a future tender at the AEAT. Thus, for example, on July 3, 2006, SAG sent an email to IBM, CIBERNOS, and INDRA with the subject “AEAT Meeting,” discussing a possible meeting for July 7, 2006 (folio 9887).</w:t>
      </w:r>
    </w:p>
    <w:p>
      <w:r>
        <w:t>(35) In an email dated July 12, 2006, CIBERNOS informs SAG, IBM, and INDRA that they had held a meeting with [personal data] on July 10, 2006, “as agreed, in case they had prepared data regarding the budget and some other information about the tender,” although the aforementioned AEAT employee indicates that they do not have such data at that moment (folio 9892).</w:t>
      </w:r>
    </w:p>
    <w:p>
      <w:r>
        <w:t>(36) Furthermore, CIBERNOS proposes to the other companies to prepare a table with the situation at that moment and the proposal of each company with the categories and rates for the new tender. In the mentioned email, CIBERNOS already presents its proposed rate by category. The companies schedule a meeting for July 14, 2006, to discuss the matter (folios 9892 to 9896).</w:t>
      </w:r>
    </w:p>
    <w:p>
      <w:r>
        <w:t>(37) Without the tender being published in the BOE yet, on October 18, 2006, SAG internally sent an Excel file with the participation percentages of CIBERNOS, INDRA, SAG, and IBM in an unidentified tender, in which the categories of the same are distributed (folios 9911 and 9912). Although the tender is not identified, this data would coincide with that of contract C03/07.</w:t>
      </w:r>
    </w:p>
    <w:p>
      <w:r>
        <w:t>(38) As happened in contract C68/06, on December 4, 2006, CIBERNOS sent to SAG, IBM, and INDRA the prior commitment to establish the “UTE AEAT-SG APLICACIONES” (folio 9946). The commitment contains the participation percentages of the four companies, coinciding with those sent in the document from October 2006 mentioned in the previous paragraph (folios 9947 to 9948).</w:t>
      </w:r>
    </w:p>
    <w:p>
      <w:r>
        <w:t>(39) The announcement of the tender for file C03/07 of the AEAT was made in the DOUE on August 1, 2006, and in the BOE on January 4, 2007 (folios 9469 and 9471).</w:t>
      </w:r>
    </w:p>
    <w:p>
      <w:r>
        <w:t>(40) At the beginning of February 2007, SAG's parent company raised doubts about its continuation in the project of the tender (folio 9952). However, there is an internal email from SAG dated February 1, 2007, in which the intention of the Spanish subsidiary to convince the parent company that they must submit a bid for the tender to avoid losing their “slice of the pie” against their competitors INDRA, CIBERNOS, and IBM is evident, which would be negative for SAG28. To reinforce the arguments, SAG attaches an Excel table with the actual costs that the project entails and the main arguments to support it, stating the following: “Image in the AEAT and in the Sector They have prepared the tender for the four companies of the UTE Negative reaction from the AEAT Reaction in the market from IBM, INDRA, and CIBERNOS. (…) Personnel with a lot of experience Difficult placement with other Clients Leaving the Company would be very costly for it” (folios 13257 and 13258).</w:t>
      </w:r>
    </w:p>
    <w:p>
      <w:r>
        <w:t>(41) As already noted, the awarded UTE was formed by the companies CIBERNOS/INDRA/SAG/IBM.</w:t>
      </w:r>
    </w:p>
    <w:p>
      <w:r>
        <w:t>(42) After the contract duration period expired, in February 2015, CIBERNOS sent to IBM the closing minutes of the UTE (folios 837 to 844 and 9707 to 9713).</w:t>
      </w:r>
    </w:p>
    <w:p>
      <w:r>
        <w:t>(43) As in the previous cases, the member companies of the UTE distribute their participation in the contract proportionally29. These participation percentages serve as the basis for calculating the invoicing that would theoretically correspond to each company based on the</w:t>
      </w:r>
    </w:p>
    <w:p>
      <w:r>
        <w:t>28 “This project is a Joint Venture with INDRA, CIBERNOS, and IBM, the most powerful Spanish companies in our sector, today joint venture but also competitors, to give them our portion of the cake would be very negative for the future. Moreover, as these companies have for years a portion of AEAT business the project has been assigned in some way, SAG's image would be strongly damaged if we leave now.”</w:t>
      </w:r>
    </w:p>
    <w:p>
      <w:r>
        <w:t>29 The participation percentages in the UTE of the companies during the period 2006 to 2009 and in the extension from 2009 to 2011 were: CIBERNOS 39.21%, INDRA 26.54%, SAG 17.28%, and IBM 16.97% (folios 844 and 9693).</w:t>
      </w:r>
    </w:p>
    <w:p>
      <w:r>
        <w:rPr>
          <w:b/>
        </w:rPr>
        <w:t>[Pages 31–33]</w:t>
      </w:r>
    </w:p>
    <w:p>
      <w:r>
        <w:t>initial agreement reached, although due to differences with the actual billing of each company, the amounts billed were regularized in a manner similar to that described above (folios 844 and 9693).</w:t>
      </w:r>
    </w:p>
    <w:p>
      <w:r>
        <w:t>(44) Despite the fact that initially the compensations between the billing of the various companies based on their deviation from the initially agreed percentages were to be carried out through the UTE, SAG, INDRA, CIBERNOS, and IBM ultimately decided to compensate directly among themselves (folio 6636). The minutes of the meeting held on November 21, 2014, between IBM, CIBERNOS, INDRA, and SAG refer to the agreement adopted in this regard (folio 9715).</w:t>
      </w:r>
    </w:p>
    <w:p>
      <w:r>
        <w:t>(45) The operation of the compensation mechanisms between companies is reflected in an internal email from INDRA dated November 26, 2014: “we have signed agreements with the commitment that none of the companies will bill the UTE more than the percentage assigned to them, defining compensation mechanisms between companies, if this occurs. This mechanism implies that the company that does not reach its percentage bills the UTE the amount it has lacked, but receives an invoice from the company that has exceeded that same amount reduced by a profit percentage” (Folio 8411).</w:t>
      </w:r>
    </w:p>
    <w:p>
      <w:r>
        <w:t>(46) Finally, in relation to this contract, it should be noted that in an Excel sheet showing the distribution of the billing of contract C03/07, AXPE also appears from April 2007 to March 2011. Additionally, the differential between the work performed by AXPE at UTE prices and AXPE's billing for this work is recorded, obtaining a margin from the differential that is distributed among the members of the UTE (folios 843 and 9694).</w:t>
      </w:r>
    </w:p>
    <w:p>
      <w:r>
        <w:t>(47) It is also recorded the draft of the framework contract between the UTE AEAT 03/07 and AXPE, which CIBERNOS sent to the other members of the UTE on November 20, 2007, after making the modifications suggested by INDRA, and with which the other companies agreed (folios 10000 to 10002).</w:t>
      </w:r>
    </w:p>
    <w:p>
      <w:r>
        <w:t>e) Contract AV 10/2011. Development and maintenance services for electronic administration systems and applications in the tax information department of the AEAT (file 11840000400)</w:t>
      </w:r>
    </w:p>
    <w:p>
      <w:r>
        <w:t>(48) This contract is a continuation of contract C03/07 AEAT, which has been previously referenced and was awarded to the UTE CIBERNOS/INDRA/SAG/IBM (the same awardee of the 2007 contract), for a price of 12,509,369 euros, which coincides with the bidding budget.</w:t>
      </w:r>
    </w:p>
    <w:p>
      <w:r>
        <w:t>(49) On March 4, 2011, one month before the publication of the tender in the BOE, CIBERNOS contacted SAG, INDRA, and IBM via email, indicating the need to meet “to discuss the upcoming AEAT tender and the conclusion of the current one” (folio 5901).</w:t>
      </w:r>
    </w:p>
    <w:p>
      <w:r>
        <w:t>(50) On April 14, 2011, SAG, INDRA, CIBERNOS, and IBM exchanged drafts of the commitment to form the UTE, collaboration agreement, and economic proposal (folio 5910). In the commitment to form the UTE attached to that email, the percentage of participation of each company in the UTE is recorded (folio 5912), percentages that exactly match those established in contract C 03/07 to which the new contract comes to replace.</w:t>
      </w:r>
    </w:p>
    <w:p>
      <w:r>
        <w:t>(51) As in previous contracts, the companies also prepared a collaboration agreement. This draft provides in its point 5 that “in new incorporations, the principle of attempting to level the participation percentages at that moment will be followed, so the company that is furthest from its participation percentage will have to incorporate the next resource that is requested” (folio 5915). Point seven of the collaboration agreement states that the subcontracting of existing personnel in the agency whose incorporation is proposed by the AEAT will be carried out directly by the UTE and that the profit obtained as a result of this subcontracting will be distributed according to the percentage of each participating company (folio 5916). For its part, point eight of the collaboration agreement includes the same regularization procedure as that provided for contract C 68/06 (fact 7) (folio 5916).</w:t>
      </w:r>
    </w:p>
    <w:p>
      <w:r>
        <w:t>(52) The opening of envelopes for the tender was on May 18, 2011, and the only offer presented was that of the winning UTE. In this regard, there is an internal email from SAG stating: “there were indeed spies in the room to find out the rates offered by the UTE. One of the spies was ATOS, the other we do not know” (folio 6018).</w:t>
      </w:r>
    </w:p>
    <w:p>
      <w:r>
        <w:t>(53) The memorandum on the purpose of the UTE justifies its existence based on the experience of the four companies in providing services to the full satisfaction of the AEAT (folio 6043).</w:t>
      </w:r>
    </w:p>
    <w:p>
      <w:r>
        <w:t>(54) Finally, it should be noted that in an email between the companies dated December 27, 2012, the following is stated: “We need to issue the invoices for AXPE's margin from the UTE AEAT 10-2011” (folio 6144).</w:t>
      </w:r>
    </w:p>
    <w:p>
      <w:r>
        <w:t>f) Contract PA 2/2015. Development and maintenance services for electronic administration systems and applications in the tax information department of the AEAT (file 14840210300)</w:t>
      </w:r>
    </w:p>
    <w:p>
      <w:r>
        <w:t>(55) This contract represents the continuation of the contracts from 2007 and 2011 (files C03/07 and AV10/2011), and was tendered through an open procedure divided into two lots. Lot 1 was formally awarded to the UTE SAG/CIBERNOS, with a discount of 1.04%. Lot 2 was formally awarded to the UTE INDRA SISTEMAS/INDRA SOFTWARE LABS with a discount of 1.06%.</w:t>
      </w:r>
    </w:p>
    <w:p>
      <w:r>
        <w:t>(56) On December 9, 2014, prior to the publication of the tender, the companies SAG, INDRA, CIBERNOS, and IBM met to discuss this tender (folios 6660, 845, and 846). The meeting took place in a strategic location “in case we later needed to see [personal data]” (an AEAT employee and member of the contracting table for these tenders, previously mentioned).</w:t>
      </w:r>
    </w:p>
    <w:p>
      <w:r>
        <w:t>(57) On February 25, 2015, CIBERNOS contacted SAG, INDRA, and IBM, attaching the specifications of the new tender and calling for a meeting on March 2, 2015, at INDRA's headquarters (folio 6691).</w:t>
      </w:r>
    </w:p>
    <w:p>
      <w:r>
        <w:t>(58) Although the contract is divided into two lots, SAG, on that same day, conducted an internal exercise in which a “breakdown by companies, plus the new resources and without considering lots” is recorded. In an Excel sheet, the company includes a table with the participation of the four companies in which the participation percentages recorded are exactly the same as in the UTE C 03/07 and in the UTE AV 10/2011, tenders that this tender would continue, albeit divided into two lots. The Excel also records the number of workers by category that the four companies and AXPE, to whom they subcontracted services, had at that time (folios 6928 and 6929).</w:t>
      </w:r>
    </w:p>
    <w:p>
      <w:r>
        <w:t>(59) For its part, INDRA seemed to have doubts about how to participate in the contract, as demonstrated by the internal email dated February 26, 2015, in which it expresses the possibility of going alone or in UTE: “Mª Jesús, we need to decide whether we bet on participating alone in this tender with IBM as a subcontractor or whether we propose to go in UTE. I will tell you the economic scenarios and the advantages and disadvantages (...)” (folio 8414).</w:t>
      </w:r>
    </w:p>
    <w:p>
      <w:r>
        <w:rPr>
          <w:b/>
        </w:rPr>
        <w:t>[Pages 34–36]</w:t>
      </w:r>
    </w:p>
    <w:p>
      <w:r>
        <w:t>In the aforementioned email, it is indicated that the option of going in a Temporary Business Association (UTE) is estimated to yield a margin of around 12%, while going with IBM as a subcontractor results in a margin of 9.27%. It also mentions the existence of a meeting with IBM the following day.</w:t>
      </w:r>
    </w:p>
    <w:p>
      <w:r>
        <w:t>In the response given that same day to the email, the possibility of a UTE between INDRA SISTEMAS and INDRA SOFTWARE LABS is proposed, a UTE that was ultimately presented for lot 2 (folios 8414 and 8415).</w:t>
      </w:r>
    </w:p>
    <w:p>
      <w:r>
        <w:t>(60) On February 27, 2015, INDRA internally communicated its commercial market report for public administrations corresponding to that week. In this report, it is noted, in relation to the 2015 tender, that "This offer continues the current contract where Indra is in a UTE with Cibernos, SAG, and IBM. The AEAT has decided that it will be divided into two lots to promote competition, and that each company will bid for its lot. It has suggested that it be split into CIBERNOS-SAG (lot 1) and INDRA-IBM (lot 2)" (folios 9167 and 9168).</w:t>
      </w:r>
    </w:p>
    <w:p>
      <w:r>
        <w:t>(61) Again, SAG conducted an internal exercise regarding the tender, considering two scenarios: calculating the participation percentages in the UTE according to the technicians that each company has at that moment or calculating the percentage by extrapolating the percentages agreed upon in the current UTE only to CIBERNOS and SAG. In that exercise, the prices by category offered in the 2014 specifications are used as a reference. In the "lot 1" tab, AXPE also appears, to which two Programming Analysts would correspond, which would be maintained (folio 6936 and 6937).</w:t>
      </w:r>
    </w:p>
    <w:p>
      <w:r>
        <w:t>(62) It is also recorded in the documentation obtained by the DC, how on March 3, 2015, despite the contract being divided into two lots, INDRA communicated with SAG, CIBERNOS, and IBM (folios 6938 and 6939 and 852 and 853), presenting a simulation of discounts in which it applies a total discount of 1.05% on the combined bidding price over the four years that they expect the contract to last (the two years of validity plus the extensions). The percentages of each company used for the calculations coincide exactly with those of UTE 03/07 AEAT and UTE AV 10/2011. And the discount percentage matches the discounts presented by the companies in their economic offers for the two lots (folios 6940 and 854).</w:t>
      </w:r>
    </w:p>
    <w:p>
      <w:r>
        <w:t>(63) In an email sent that same day by INDRA to SAG, CIBERNOS, and IBM, the commitments made in a meeting held that same day, March 3, among the various participants are summarized. It is highlighted that for the companies it is indifferent whether the contract is divided into two lots, as they agree to maintain the business percentages even if they present in separate UTES (folio 6942 and 856). "Hello, I am sending you the summary of today's meeting and the tasks we have agreed to carry out: 1.- It is agreed to articulate in some way that the current business percentages are maintained or tend to be maintained even though we have separate UTES. 2.- A proposal for a joint discount for both offers is agreed upon. 3.- It is agreed not to ask for or provide certifications of resources that are currently not providing service in the AEAT. 4.- We agreed to share the technical offers, so as not to present very different technical offers. 5.- Each of the UTES is responsible for providing the resumes of the profiles it has in its lot and of the additional ones in its lot. 6.- Send a discount proposal around 1.05%. 7.- In the case of INDRA/IBM, if the model is finally Subcontracting, it must be explained to [personal data]/AEAT."</w:t>
      </w:r>
    </w:p>
    <w:p>
      <w:r>
        <w:t>(64) That same day, SAG and CIBERNOS carried out the distribution of the new resources that would correspond to each in lot 1. In the Excel attached to the email, the budget corresponding to two resources from AXPE is recorded, and it is presented in some tables how the decided distribution corresponds to maintaining the percentages of each company in the previous tender (AV 2011) (folio 6944 and 6945).</w:t>
      </w:r>
    </w:p>
    <w:p>
      <w:r>
        <w:t>(65) Also on March 3, 2015, SAG internally communicated via email the commitment agreement and the UTE agreement with CIBERNOS for lot 1, as well as the Project calculation (folio 6946).</w:t>
      </w:r>
    </w:p>
    <w:p>
      <w:r>
        <w:t>(66) The agreements reached between the companies are again evidenced in an internal email from INDRA dated March 9, 2015, which states that: "INDRA will present in UTE with IBM for lot 2, but continues to respect the agreement among the 4 members of the current UTE. The business increases by around 30% [...]" "The approach is to make a symbolic low (1.05%) and increase the margin to 12.86% in the operation." It also indicates that it is "in negotiations with IBM to explore the possibility of them going as subcontractors" (folio 9357). This email attaches a document that outlines the commercial strategy to be followed, indicating: "In the previous tenders, no offers were submitted except for ours. We have developed the profiles together with the client, and in the specifications, they have put exactly the models that we sent them. INDRA will present in UTE with IBM for lot 2, but the agreement among the four members of the current UTE is still respected. The UTE with IBM, under negotiation, will be distributed with 57.33% Indra/36.58% IBM, the rest (6.09%) corresponds to the other members of the other UTE while respecting the current percentage agreement. These numbers may vary depending on the distribution of the 15 new profiles (1 Analyst 4 AP and 10 PS). Indra provides 1 Analyst, 2 AP, and 7 PS, and IBM provides 2 AP and 3 PS. Both companies increase their business by around 30% [...] We are negotiating with IBM several lines of work, exploring the possibility of them going as subcontractors. It must also be closed with the client" (folios 9359 to 9367).</w:t>
      </w:r>
    </w:p>
    <w:p>
      <w:r>
        <w:t>(67) The negotiations with IBM concluded with the decision that INDRA would present alone for lot 2 and subcontract IBM. This is evidenced based on the offer presented and the collaboration agreement between INDRA and IBM (folios 8435 to 8445 and 8448 to 8457). The agreement, dated March 17, 2015, includes a clause whereby the parties commit to collaborate on an exclusive basis and not to participate directly or indirectly in alternative offers that may compete directly or indirectly with the object of said agreement, nor will they present independent offers on their own for the project (folio 8440 and 8452). The amount to be received by IBM for each category of subcontracted workers is 3.5% lower than the amount offered by INDRA for lot 2 (folios 8444 and 8456).</w:t>
      </w:r>
    </w:p>
    <w:p>
      <w:r>
        <w:t>(68) On April 28, 2015, the award of both lots was published on the State Contracting Platform.</w:t>
      </w:r>
    </w:p>
    <w:p>
      <w:r>
        <w:t>(69) On May 12, 2015, CIBERNOS communicated with INDRA in an email to see how to coordinate to determine whether certain employees correspond directly to the UTE or to the companies and are subcontracted by the UTE. In the aforementioned email, it is indicated that "It would be necessary to distinguish Lot 1 and Lot 2" (folio 888). That is, the operation of both lots, although they have been tendered separately, continues to be coordinated by the responsible companies.</w:t>
      </w:r>
    </w:p>
    <w:p>
      <w:r>
        <w:t>(70) On June 3, 2015, the four companies contacted via email to meet with the purpose of "discussing the start of the management of the New tender, with the 2 UTES" (folio 890). According to the file, the meeting was held on June 15, 2015, where both a meeting of the four companies (INDRA, SAG, IBM, and CIBERNOS) with the aforementioned AEAT employee was agreed upon, as well as new percentages for INDRA and IBM "for the set of lots 1+2" (folio 7157).</w:t>
      </w:r>
    </w:p>
    <w:p>
      <w:r>
        <w:rPr>
          <w:b/>
        </w:rPr>
        <w:t>[Pages 37–39]</w:t>
      </w:r>
    </w:p>
    <w:p>
      <w:r>
        <w:t>In the Excel attached to the email, in the tab "current lot structure" (folio 5504), it can be observed how the profiles of the companies are taken into account in both lots for the calculation of percentages of the overall agreement. Likewise, the Excel contains the names and surnames of the different workers from the various companies, as well as the professional category of each one (data that the companies have considered a trade secret in their information requests and which are censored in folios 5502 and 5505).</w:t>
      </w:r>
    </w:p>
    <w:p>
      <w:r>
        <w:t>(71) On June 11, 2015, CIBERNOS requested SAG to validate the rates to be included in the agreement with AXPE (folios 9732 and 9733). The rates that are requested to be validated are 0.9% lower than the UTE rates.</w:t>
      </w:r>
    </w:p>
    <w:p>
      <w:r>
        <w:t>(72) On September 17, 2015, CIBERNOS sent INDRA, via email (folio 896), a draft agreement whereby SAG and CIBERNOS commit to provide services to INDRA in the contract for lot 2 (folios 897 to 910). As indicated in the Annex to the agreement, the object of the contract "is to cover the provision of resources by the service provider38 when requested by the UTE, for a Technical Assistance Service for the State Agency for Tax Administration, covered by the public tender File AV 2/2015 LOT 2" (folio 908). The amounts to be invoiced for each hour paid by the client are recorded in the draft agreement and, for each category, correspond exactly to those received by INDRA from the AEAT based on its economic offer (folio 909). That is to say, there would be no profit margin for the provision of these resources by CIBERNOS and SAG.</w:t>
      </w:r>
    </w:p>
    <w:p>
      <w:r>
        <w:t>(73) On October 22, 2015, in an internal email from SAG, tables are included that refer to contract PA 2/2015, indicating the participation percentages of each company and the dedication percentages in August 2015, indicating the deviation of each company from what was agreed (folio 7154).</w:t>
      </w:r>
    </w:p>
    <w:p>
      <w:r>
        <w:t>2. MANAGEMENT OF SOCIAL SECURITY INFORMATION TECHNOLOGY (GISS)</w:t>
      </w:r>
    </w:p>
    <w:p>
      <w:r>
        <w:t>In relation to the tenders for IT services by the GISS, the facts have been analyzed concerning four files from 2006 to 2014, all related to the development and maintenance of IT applications in the Social Security Management, with the following official results:</w:t>
      </w:r>
    </w:p>
    <w:p>
      <w:r>
        <w:t>a) Contract 7202/06G. IT services necessary in the Management of Social Security Information Technology</w:t>
      </w:r>
    </w:p>
    <w:p>
      <w:r>
        <w:t>(74) The tender for this file through an open procedure was published in the BOE on August 11, 200639.</w:t>
      </w:r>
    </w:p>
    <w:p>
      <w:r>
        <w:t>(75) The base budget for the tender was 118,950,435.69 euros40. The tender was divided into 14 lots. The result of the tender concerning the lots of interest for this file was as follows (folio 74041):</w:t>
      </w:r>
    </w:p>
    <w:p>
      <w:r>
        <w:t>Lots UTE awarded</w:t>
        <w:br/>
        <w:t>7 SAG/INDRA/BABEL</w:t>
        <w:br/>
        <w:t>10 INDRA/THALES/SAG</w:t>
        <w:br/>
        <w:t>11 INDRA/THALES/ATOS/SAG</w:t>
        <w:br/>
        <w:t>12 INDRA/THALES/ATOS</w:t>
        <w:br/>
        <w:t>13 INDRA/GESEIN</w:t>
        <w:br/>
        <w:t>14 SAG/THALES</w:t>
      </w:r>
    </w:p>
    <w:p>
      <w:r>
        <w:t>(76) Although the awardee of lot 12 was formally the UTE composed of the companies INDRA/THALES/ATOS, it should be noted that in the facts there is an Excel prepared by SAG regarding this lot in which, in addition to the aforementioned companies, SAG also appears in parentheses with a percentage of 10% (folio 5770):</w:t>
      </w:r>
    </w:p>
    <w:p>
      <w:r>
        <w:t>Lot UTE INDRA-Thales-ATOS-(SAG)</w:t>
        <w:br/>
        <w:t>Development Applications INSS 6,535,259.43</w:t>
        <w:br/>
        <w:t>12 (42-31-17-10)</w:t>
      </w:r>
    </w:p>
    <w:p>
      <w:r>
        <w:t>This hypothetical distribution in which SAG appears coincides with that established in the collaboration agreement signed between the four companies on August 28, 2006 (folio 5850). The content of the agreement coincides with that of the agreements signed for the contracts with the AEAT, although in this case the compensation between companies that have incurred an excess in the corresponding period is 7%, instead of 5%.</w:t>
      </w:r>
    </w:p>
    <w:p>
      <w:r>
        <w:t>(77) On July 10, 2006, even before the announcement of the tender for contract 7202/06G was sent to the DOUE (which occurred on August 1, 2006)42, THALES (CONNECTIS) sent an email to ATOS, SAG, and INDRA, attaching the distribution of profiles for lots 10, 11, and 12 (folios 9888 and 12345 to 12349), which shows that they had information about the tender and its division into lots and necessary resources before this information had been published.</w:t>
      </w:r>
    </w:p>
    <w:p>
      <w:r>
        <w:t>(78) On August 23, 2006, THALES (CONNECTIS) sent SAG the final data for lot 14 "Development Environment Pros@", which includes the data corresponding to rates and amounts for SAG and THALES, both in the specifications and in the offer. The offer was made with a global discount of 9.09%, although the proposed discount percentage varies for each category (folio 9899).</w:t>
      </w:r>
    </w:p>
    <w:p>
      <w:r>
        <w:t>(79) On August 28, 2006, collaboration agreements were signed between INDRA, SAG, ATOS, and THALES (CONNECTIS) for the provision of the necessary IT services in the GISS for lots 1043 and 1244 of file 7202/06 G (folios 5850 to 5856 and 5857 to 5863). The agreements refer to the participation percentages of the four companies, the number of technicians per category corresponding to each company, and the amount/hour for each category that each company will invoice the UTE for the technicians provided to the project (folios 5850, 5851, 5857, and 5858).</w:t>
      </w:r>
    </w:p>
    <w:p>
      <w:r>
        <w:t>(80) The wording of the agreements regarding the responsibility of the companies, leveling of percentages, subcontracting of existing personnel in the agency, regularizations, extensions, etc., is identical to that mentioned in the case of the AEAT, although in this case the compensation between companies that have incurred an excess in the corresponding period is 7%.</w:t>
      </w:r>
    </w:p>
    <w:p>
      <w:r>
        <w:t>(81) On October 30, 2006, once the tender had already been published, SAG internally reported that the GISS had called a tender for 14 lots indicating that "we, using different formulas, alone, in UTE or subcontracted, have submitted bids for 7 lots, of which we are going to be awarded 6, if the papers we have to present in the coming days do not throw us any unexpected surprises, which I naturally do not expect" (folio 9914). This forecast would later be fulfilled, as SAG would end up participating in 6 of the awarded lots.</w:t>
      </w:r>
    </w:p>
    <w:p>
      <w:r>
        <w:rPr>
          <w:b/>
        </w:rPr>
        <w:t>[Pages 40–42]</w:t>
      </w:r>
    </w:p>
    <w:p>
      <w:r>
        <w:t>(82) In relation to lot 11, on November 23, 2006, INDRA sent to SAG, ATOS, and THALES (CONNECTIS) a spreadsheet to keep track of the UTE for the aforementioned lot. The email states the following: "As you can see, with the initial team that they are asking us for, we are already deviating (in some cases) quite a bit from the percentage of the UTE: INDRA: 37.29 SAG: 18.04 THALES: 24.66 ATOS: 20.01 What does this mean? Well, if we follow what was agreed, neither Indra, nor Thales, nor Atos could include ANYONE ELSE (for the moment) until SAG reaches its 25%. Therefore, the people proposed by the TGSS should be with SAG" (folio 9939). In the Excel, the workers from each company are listed with their names, the company they belong to, their professional category, and the rate corresponding to each one (data that, as previously indicated, have been classified as trade secrets by the companies) (folios 12357 to 12377).</w:t>
      </w:r>
    </w:p>
    <w:p>
      <w:r>
        <w:t>(83) On December 1, 2006, the contracts corresponding to the different lots of the file came into effect (folios 9930, 9932, 9934, 9936, and 9938).</w:t>
      </w:r>
    </w:p>
    <w:p>
      <w:r>
        <w:t>(84) In November 2007, ATOS, THALES (CONNECTIS), INDRA, and SAG exchanged emails with proposals for discounts on the rates of the different categories of workers for the GISS (folios 9998 and 9999).</w:t>
      </w:r>
    </w:p>
    <w:p>
      <w:r>
        <w:t>(85) On December 14, 2007, INDRA sent an email to SAG, THALES (CONNECTIS), and ATOS, which contained a summary sheet with the discounts that each company would be comfortable with for each category and, based on which, it prepared two proposals (folios 10004 and 10005). ATOS proposed to reduce the discount of one of the categories from 10% to 5%.</w:t>
      </w:r>
    </w:p>
    <w:p>
      <w:r>
        <w:t>(86) In December 2008, the contracts were extended for two more years (folio 5849).</w:t>
      </w:r>
    </w:p>
    <w:p>
      <w:r>
        <w:t>(87) In relation to lot 12, on May 17, 2010, INDRA wrote to SAG (despite the fact that it did not formally participate in the UTE of lot 12), THALES (CONNECTIS), and ATOS an email with the subject "The three scenarios of lot 12," which includes a table where the four companies appear in the rows and in the columns appear "objective" and three scenarios, A, B, and C. The table records percentages. The percentages in the objective column match those of the distribution recorded in folio 5850 (folio 10863).</w:t>
      </w:r>
    </w:p>
    <w:p>
      <w:r>
        <w:t>(88) At the end of August 2010, INDRA, SAG, THALES (CONNECTIS), and ATOS were regularizing the amounts corresponding to the extension of the contract for lot 10 of file 7202/06G (folio 5866).</w:t>
      </w:r>
    </w:p>
    <w:p>
      <w:r>
        <w:t>(89) In an email dated January 4, 2011, several documents are attached that reflect the closure of lots 10 and 12 and the distribution of invoices with the corresponding projects (folio 5848). In both lots, both INDRA and THALES (CONNECTIS) would have had a real participation lower than the initially agreed distribution, while ATOS would have had a real participation higher. SAG would have had a real participation higher in lot 10 and lower in lot 12 (folios 5864 and 5865).</w:t>
      </w:r>
    </w:p>
    <w:p>
      <w:r>
        <w:t>(90) Finally, in relation to lot 7, in an internal email from INDRA dated September 14, 2009 (folio 9541), the existence of a meeting with BABEL is mentioned in which, among other matters, the following issues were discussed: "- Summary, since the award of the contract, of BABEL's performance, which at no time behaved as an integral part of a UTE and freely went to cover 'the positions that theoretically corresponded to it,' even skipping some points of what was signed in the agreement." - That for the GISS it is transparent who the resources are. If a company exceeds its percentage, it is seen from the outside that the budget is tight, so they do NOT request more resources, thus penalizing the income of others. - That the additional values have been assumed by each one in their percentage. It cannot be that, for example, Indra assumes 30% of the cost when it was only receiving 25%. Hence the need for the clause in question, to regularize the income." Regarding SAG, the same email indicates that "it also agrees to leave things as they are. In fact, this model of 'UTE agreement' is also being used by them, even in the UTEs in which we are not involved." As can be seen, the email highlights the use of the same collaboration models in different UTEs configured in these contracts, regardless of the participating companies.</w:t>
      </w:r>
    </w:p>
    <w:p>
      <w:r>
        <w:t>b) Contract 7201/10G IT services necessary in the IT Management of Social Security</w:t>
      </w:r>
    </w:p>
    <w:p>
      <w:r>
        <w:t>(91) On July 5, 2010, the tender 7201/10G was announced in the BOE number 162. The bidding was carried out through an open procedure. The base bidding budget was 116,057,742 euros. The expected duration of the contract was 24 months.</w:t>
      </w:r>
    </w:p>
    <w:p>
      <w:r>
        <w:t>(92) This file represents the continuation of the services tendered in file 7202/06G at the end of the extension of the same, although unlike the 2006 tender, the contracting of these services was divided into 11 lots45, instead of the 14 into which the 2006 tender had been divided, although the tendered services were equivalent (folio 5770).</w:t>
      </w:r>
    </w:p>
    <w:p>
      <w:r>
        <w:t>(93) The awardees in the lots of this contract coincide with the awardees of the equivalent lots of the 2006 contract.</w:t>
      </w:r>
    </w:p>
    <w:p>
      <w:r>
        <w:t xml:space="preserve">(94) The equivalence of lots between both contracts and the awardees is as follows (folios 740 and 5770): </w:t>
        <w:br/>
        <w:t xml:space="preserve">7202/06G 7201/10G COMPANIES </w:t>
        <w:br/>
        <w:t xml:space="preserve">Lots 7, 8, and 10 Lot 6 INDRA, THALES (CONNECTIS), SAG, and BABEL </w:t>
        <w:br/>
        <w:t xml:space="preserve">Lot 11 Lot 8 ATOS, THALES (CONNECTIS), INDRA, and SAG </w:t>
        <w:br/>
        <w:t xml:space="preserve">Lot 12 Lot 9 INDRA, THALES (CONNECTIS), and ATOS </w:t>
        <w:br/>
        <w:t xml:space="preserve">Lot 4 and 13 Lot 10 INDRA, UNISYS, GESEIN </w:t>
        <w:br/>
        <w:t>Lot 14 Lot 11 SAG and THALES (CONNECTIS)</w:t>
      </w:r>
    </w:p>
    <w:p>
      <w:r>
        <w:t>(95) The awards of the eleven lots were published in the BOE number 11 dated January 13, 201146, for a total amount of 106,342,691.48 euros (VAT included), which represents a discount on the tendered budget of 8.37%.</w:t>
      </w:r>
    </w:p>
    <w:p>
      <w:r>
        <w:t xml:space="preserve">(96) Prior to the announcement of the tender in the BOE, on June 9, 2010, ATOS communicated to INDRA, SAG, and THALES (CONNECTIS) that the "tender for this contract went through the Council of Ministers on June 4, 2010" (as we were informed [personal data]47), so it seems that deadlines can be met, and in July we will have to submit the offers," it also proposes to meet "to discuss lots 6 (GISS), 8 (TGSS), and 9 (INSS), distributions, agreements, etc... and to clarify everything in order to advance in the offers" (folio 5659). The lots being discussed are all lots from file 7201/10G. </w:t>
        <w:br/>
        <w:t xml:space="preserve">45 Lot 1 systems and Communications zOS, Lot 2 Corporate databases, Lot 3 Open systems, Lot 4 Communications and networks, Lot 5 Security, Lot 6 Corporate developments and electronic administration, Lot 7 Data and Application Management, Lot 8 Development applications TGSS, Lot 9 Development applications INSS, Lot 10 IGSS Applications and OS 2200 Systems, Lot 11 Development Pros@ IGSS Applications (folios 740 and 5770). </w:t>
        <w:br/>
        <w:t xml:space="preserve">46 https://www.boe.es/boe/dias/2011/01/13/pdfs/BOE-B-2011-1226.pdf </w:t>
        <w:br/>
        <w:t>47 INDRA employee.</w:t>
      </w:r>
    </w:p>
    <w:p>
      <w:r>
        <w:rPr>
          <w:b/>
        </w:rPr>
        <w:t>[Pages 43–45]</w:t>
      </w:r>
    </w:p>
    <w:p>
      <w:r>
        <w:t>(97) On June 28, 2010, BABEL contacted INDRA by email, stating that in lot 6 of the GISS, BABEL "has performed 7% of the contract due to the lack of resources from the other companies in the UTE, and we want to maintain that percentage for the next tender" (folio 12195). Furthermore, BABEL intends for INDRA to subcontract resources that until then had been subcontracted to EVERIS in the area of document management.</w:t>
      </w:r>
    </w:p>
    <w:p>
      <w:r>
        <w:t>(98) In the internal comments prepared by INDRA to respond to BABEL, INDRA indicates that it does not agree with the way BABEL had reached that 7% and refers to the fact that "The 5% is equivalent to its 20% initially subscribed in the UTE from four years ago" (folio 9545), from which it can be inferred that in those negotiations, a 5% participation was offered to BABEL and that this percentage was conditioned by its participation in previous tenders. Additionally, in this document, INDRA states that they will continue subcontracting to EVERIS and that "we are including them in new UTES configured for the tenders they did not want to join with us. Lot 3-open systems: they had a commitment with us to attend jointly and a week ago they distanced themselves by configuring another UTE leaving us out" (folio 9545).</w:t>
      </w:r>
    </w:p>
    <w:p>
      <w:r>
        <w:t>(99) On July 21, 2010, SAG contacted INDRA indicating that they had a problem with the UTE agreement, as the contractual provision that whoever exceeded their billing percentage according to the UTE distribution would compensate with 5-7% of the excess to those who did not reach their agreed percentage could cause them problems, in case they lacked resources and had to ask other companies to provide them. SAG suggests removing the clause from the agreements and points out that BABEL is pressuring on this issue (folio 9549). INDRA commented internally via email on the need to lower that penalty percentage to a nominal one by agreement with BABEL, but suspicions arose that by removing it, both BABEL and SAG would have incentives to place their workers and INDRA would not be able to place its own, reducing the percentage of work initially assigned to INDRA, in favor of SAG and BABEL. Among the aspects discussed internally at INDRA, it is said that thanks to those clauses they have been able to compensate in the past with regularizations increases in billing from some companies (SAG and BABEL) at the expense of others (INDRA). Additionally, it is indicated that the SAG executive who is pushing for the elimination of those clauses "is also a partner of BABEL." THALES (CONNECTIS) would also not agree with the elimination of said clause (folios 9547 and 9548).</w:t>
      </w:r>
    </w:p>
    <w:p>
      <w:r>
        <w:t>(100) On July 22, 2010, the meeting took place and SAG internally informed via email that they have decided that the discount for lot 6 will be 8.1662, for lot 8 it will be 7.8998, and for lot 9 it will be 7.01. Furthermore, it is reported that THALES (CONNECTIS) and ATOS wanted to make a smaller discount and that the 8.5% was an unattainable goal because "no one can make the numbers work." The following day, a meeting is scheduled for lot 11. In the internal response to the report, it is stated that they believe they can lose lot 9 because they think there will be competition and that lots 6 and 8 may be saved (folio 10890).</w:t>
      </w:r>
    </w:p>
    <w:p>
      <w:r>
        <w:t>(101) On July 25, 2010, INDRA sent another email to SAG, THALES (CONNECTIS), and ATOS, attaching the agreement (folios 5690 to 5696) and the UTE Commitment for lot 8 (folios 5697 to 5699). In the agreement, the four companies commit "to collaborate exclusively" and establish their percentage of participation. Likewise, this document includes the existence of regularizations and the manner in which they will be carried out, identical to the operation previously described for the AEAT (folios 5692 and 5693). It also includes the maintenance of conditions in case of contract extension (folio 5693).</w:t>
      </w:r>
    </w:p>
    <w:p>
      <w:r>
        <w:t>(102) On July 25, 2010, ATOS wrote an email to INDRA and SAG in which it attached the file "Lot 9-Pre-agreement for subcontracting INDRA-SAG" (folio 5675). This pre-agreement for subcontracting, dated July 28, 2010, states that "INDRA, through a UTE, will submit an offer for the award by OPEN PROCEDURE of the contract for the 'INFORMATION TECHNOLOGY SERVICES NECESSARY IN THE INFORMATION MANAGEMENT OF SOCIAL SECURITY' (File 7201/10G- Lot 9: Development of INSS applications)" and that in the "Administrative Clauses of the aforementioned tender, it is required that, in the event that the bidder presents CVs of personnel not belonging to its staff, it must present a pre-agreement for the subcontracting of the services to be provided by the aforementioned profiles. Since the UTE to be formed by INDRA has provided CVs of profiles from SOFTWARE AG, they are set to establish through this document the basic terms of the pre-agreement for subcontracting," referring to technical profiles for lot 9 of file 7201/10G48 (folios 5676 and 5677).</w:t>
      </w:r>
    </w:p>
    <w:p>
      <w:r>
        <w:t>(103) For lot 9, there is also an agreement and commitment of UTE between the companies INDRA, SAG, THALES (CONNECTIS), and ATOS (folios 5701 to 5709). Although the agreement includes the participation percentages of the four companies, the UTE commitment only refers to the companies INDRA, THALES (CONNECTIS), and ATOS (folio 5709), which shows that the internal agreement and distribution of services for lot 9 does not coincide with what was officially communicated in the submission of offers for the tender. In the agreement, the four companies commit "to collaborate exclusively." The clauses regarding compensations for the incorporation of personnel, subcontracting of personnel proposed by the GISS, regularizations, extensions, etc., are exactly the same as those described for lot 8.</w:t>
      </w:r>
    </w:p>
    <w:p>
      <w:r>
        <w:t>(104) On August 20, 2010, SAG sent an email in which it attached an Excel file containing the equivalences of the lots between the contracts of 2006 and 2010 and, in the case of being a UTE of which SAG is a part, the percentage of participation of each company in the UTE. The comparison allows confirming that the companies that had been awarded certain services in 2006 maintain their award in 2010, despite changes in the number of lots. This is achieved by grouping into UTE those that were not and whose services merge into the same lot49 or maintaining existing agreements in case the services still correspond to a lot.</w:t>
      </w:r>
    </w:p>
    <w:p>
      <w:r>
        <w:t>(105) Therefore, there is an equivalence in lots and in the awarding companies of the same, in such a way that the companies that are awarded the lots of 2006 are also awarded their equivalent lots in 2010.</w:t>
      </w:r>
    </w:p>
    <w:p>
      <w:r>
        <w:t xml:space="preserve">(106) The contract 7201/10G was extended upon its completion for at least until October 31, 2014 (folios 6178 and 6179).  </w:t>
        <w:br/>
        <w:t>c) Contract 7201/13G. Execution of the development and maintenance of the computer applications of the Managing Entities, Common Services, and General Intervention of Social Security, through the provision of analysis, design, construction, testing, and documentation services for applications.</w:t>
      </w:r>
    </w:p>
    <w:p>
      <w:r>
        <w:t>(107) The tender for file 7201/13G, which continues the services of various previous tenders, some from 2010 (folios 9563 and 9564), was carried out through an open procedure. The announcement of the tender was sent to the DOUE on June 12, 2013, although it was not published until June 14, 2013 (folios 11134 to 11137). It was also published in the BOE number 155 of June 29, 2013.</w:t>
      </w:r>
    </w:p>
    <w:p>
      <w:r>
        <w:t>(108) This tender was not divided into lots (folio 740) and was awarded on October 11, 2013, to the UTE SAG/INDRA, with a discount offered of 30.01% on unit prices, according to the information provided by the GISS (folio 740). However, the award of the contract was made for the same amount as the base budget of the tender, which was 33,438,111.09 euros (excluding VAT)50.</w:t>
      </w:r>
    </w:p>
    <w:p>
      <w:r>
        <w:rPr>
          <w:b/>
        </w:rPr>
        <w:t>[Pages 46–48]</w:t>
      </w:r>
    </w:p>
    <w:p>
      <w:r>
        <w:t>(109) On January 24, 2013, in an internal email from INDRA, it is indicated that an employee of the aforementioned company has spoken with the GISS and that "as the current contracts of INSS and IMS end at the end of the year, they want to focus those tenders on AM (but only the development part, not the analysis). The GISS wants us to help them draft the specifications to start the administrative process" (folio 7572).</w:t>
      </w:r>
    </w:p>
    <w:p>
      <w:r>
        <w:t>This same internal email from INDRA continues to indicate that they must begin working in relation to the lots that have been contracted through the GISS and that need to be renewed in June 2013, noting that the director of public administrations at SAG "wants to stage with the Manager of the GISS the commitment made that we are working together on the AM model and the specifications. It is true that we then have to see what the best business strategy is when presenting ourselves, as we believe there will be several lots and it may be advisable to present separately or not" (folio 7572).</w:t>
      </w:r>
    </w:p>
    <w:p>
      <w:r>
        <w:t>(110) INDRA, in its commercial report from February 25 to March 1, 2013, regarding this tender indicates that "for the client's own interest and current positioning, we have agreed with SAG to present ourselves in UTE (current UTE in the lots where we have presence). We are collaborating with the GISS in the preparation of the report" (folio 7578).</w:t>
      </w:r>
    </w:p>
    <w:p>
      <w:r>
        <w:t>(111) In fact, in an internal email dated April 3, 2013, INDRA comments that it is not interested in making the distribution considering the people because they would end up "losing out." Furthermore, it is noted, in reference to SAG, the following: "since the prior announcement has come out, some companies are already calling them to see how they are going to present themselves. They want us to see how much of the pie we are willing to give up, so that they do not present themselves as competitors. And, above all, to maintain a common and aligned message if they also call us" (folio 7600). The internal email attaches the version of the particular administrative clauses specification (PCAP) and the technical specifications (PPT) (folios 7602 to 7700) that were not public until June 14, 2013, two months later, when they were published on the State Contracting Platform.</w:t>
      </w:r>
    </w:p>
    <w:p>
      <w:r>
        <w:t>(112) In April 2013, INDRA regarding this same contract states in an internal email that: "SAG wants to continue advancing in the distribution and the other partners, I have asked [personal data] how we are now because I know we have a lower % and that [personal data] wants to do it based on resources, my idea is to propose that this is an opportunity for equal 50% UTE and we will see if we have to compensate by taking on more people from third companies... We will talk about the Management of the UTE and Technical Direction,... according to the numbers that come out" (folio 7704).</w:t>
      </w:r>
    </w:p>
    <w:p>
      <w:r>
        <w:t>(113) The usual collaboration agreement to present in UTE is recorded in an internal email from INDRA dated May 10, 2013. In this agreement, a participation of 49% for INDRA and 51% for SAG is established. The parties commit to collaborate on an exclusive basis. The content of the agreement is analogous to that described in other collaboration agreements mentioned earlier (folios 9563, 9565 to 9569). In this agreement, INDRA and SAG also agree that the UTE will subcontract ATOS and CONNECTIS a certain percentage of the services, the amount of which is not yet specified (folio 9565).</w:t>
      </w:r>
    </w:p>
    <w:p>
      <w:r>
        <w:t>(114) Regarding the subcontracting of third companies, this possibility is already noted in INDRA's report corresponding to the week of April 15 to 19, 2013, in which the intention to collaborate with ATOS, CONNECTIS, and CIBERNOS is expressed to prevent them from collaborating with the competition: "We are in a negotiation process with SAG regarding the participations, in addition to the participation of the current collaborating companies (Atos, Connectis, and Cibernos) so that they participate as subcontractors to prevent them from collaborating with CVs and knowledge with the competition" (folio 8692).</w:t>
      </w:r>
    </w:p>
    <w:p>
      <w:r>
        <w:t>Therefore, with the subcontracting, a status quo is maintained, and the aforementioned objective of preventing these companies from collaborating with the competition is fulfilled. For this reason, it is justified that in the same draft, it is also contemplated in the third stipulation that "This preferential subcontracting implies that the rate at which the UTE will pay each of the different categories contemplated in the contract and subcontracted to CIBERNOS will be higher than that which it will pay to other subcontractors until covering the amount guaranteed by the UTE in this agreement" "All those additional subcontracted profiles that increase the initially guaranteed amount will have a rate equivalent to that of the other subcontractors with whom the UTE works, with CIBERNOS having preference for its incorporation" (folio 7894).</w:t>
      </w:r>
    </w:p>
    <w:p>
      <w:r>
        <w:t>(115) In INDRA's commercial report from June 24 to June 28, 2013, the situation at that time regarding the tender 7201/13G is discussed, indicating: "There is a working group formed by Indra and SAG that has collaborated with the GISS in drafting the report and subsequent specification, and that will continue for the management of the opportunity and development of the offer. The report is going through the commissions of the GISS and the MEySS for acceptance and is currently in a presentation cycle, it is expected to be approved in the Council of Ministers in April. The main problem is that the Ministry has finally demanded that the weight of the amount be 60%, a very aggressive criterion that distributes the points comparing directly the discounts. A significant technical solvency has been set, but it is achievable by the main companies of the competition, but it requests more than 100 CVs with experience and requires a minimum technical score to proceed to the reading of the economic proposal. We are in the negotiation process with SAG regarding the participations, in addition to the participation of the current collaborating companies (ATOS, Connectis, and Cibernos) so that they participate as subcontractors to prevent them from collaborating with CVs and knowledge with the competition" (folios 8751 and 8752).</w:t>
      </w:r>
    </w:p>
    <w:p>
      <w:r>
        <w:t>(116) On July 18, 2013, INDRA and SAG sent each other the final collaboration agreement via email, according to the changes they had made that same day. The reference rates and number of workers of each category corresponding to each company are recorded in folio 8073. The compensation between companies in the regularizations is finally left at 5% (folios 8070 to 8079).</w:t>
      </w:r>
    </w:p>
    <w:p>
      <w:r>
        <w:t>(117) In INDRA's commercial report from July 22 to July 26, 2013, regarding this tender, the status of negotiations is updated, and it is noted that "agreements have been closed with the current collaborating companies (ATOS, Connectis, and Cibernos) so that they participate as subcontractors to prevent them from collaborating with CVs and knowledge with the competition." Additionally, it is indicated that the competitors in this case are IECISA, IBM, ACCENTURE, EVERIS, etc. (folio 8824).</w:t>
      </w:r>
    </w:p>
    <w:p>
      <w:r>
        <w:t>(118) The identification of competitors for this tender was carried out through informal channels. BABEL informed SAG that IBM was presenting with INSA a couple of days before, and that BABEL had conversations with IBM to collaborate for that tender, which concluded in the commitment to subcontract them in case they were awarded (folios 6248 and 6249).</w:t>
      </w:r>
    </w:p>
    <w:p>
      <w:r>
        <w:t>(119) The competitors that submitted offers in this tender are: IBM/INSA; EVERIS; IECISA/GESEIN/ALTIA and ACCENTURE/AXPE (folios 740, 8129, 8849, and 6248).</w:t>
      </w:r>
    </w:p>
    <w:p>
      <w:r>
        <w:t>(120) On October 15, 2013, the award of contract 7201/13G to the UTE SAG-INDRA was published on the State Contracting Platform.</w:t>
      </w:r>
    </w:p>
    <w:p>
      <w:r>
        <w:t>(121) At the opening of bids, the discount offered by IECISA would have been higher (39.2% compared to 30.01% of INDRA and SAG), but they won because in the technical part they left IECISA with zero points (folio 8264 and 740).</w:t>
      </w:r>
    </w:p>
    <w:p>
      <w:r>
        <w:t>(122) On October 16, 2015, the GISS communicated to SAG that it considered it appropriate to extend contract 7201/13G from November 8.</w:t>
      </w:r>
    </w:p>
    <w:p>
      <w:r>
        <w:rPr>
          <w:b/>
        </w:rPr>
        <w:t>[Pages 49–51]</w:t>
      </w:r>
    </w:p>
    <w:p>
      <w:r>
        <w:t>2015 to November 30, 2016, or until the budget was exhausted, urging it to formally accept the extension (folios 12127 and 12128).</w:t>
      </w:r>
    </w:p>
    <w:p>
      <w:r>
        <w:t>On October 19, 2015, SAG sent its agreement to the extension of contract 7201/13G to the GISS, which was set to expire on November 7, 2015 (folios 12127 to 12129).</w:t>
      </w:r>
    </w:p>
    <w:p>
      <w:r>
        <w:t>(123) Regarding the subcontracting for this contract, the following facts should be highlighted.</w:t>
      </w:r>
    </w:p>
    <w:p>
      <w:r>
        <w:t>(124) The subcontracting agreement with CIBERNOS is documented in an email from May 2013 exchanged between INDRA and SAG that contains the draft agreement (folios 7892 to 7900). The third stipulation of the draft states that “This preferential subcontracting implies that the rate at which the UTE will pay each of the different categories contemplated in the contract and subcontracted to CIBERNOS will be higher than that paid to other subcontractors until covering the amount guaranteed by the UTE in this agreement.” “All additional subcontracted profiles that increase the initially guaranteed amount will have a rate equivalent to that of the other subcontractors with whom the UTE works, with CIBERNOS having preference for its incorporation” (folio 7894). In the same vein, the provision of clause five “exclusivity” states that “CIBERNOS commits to collaborate with the UTE on an exclusive basis for the project” (folio 7895).</w:t>
      </w:r>
    </w:p>
    <w:p>
      <w:r>
        <w:t xml:space="preserve">(125) Regarding the subcontracting of CONNECTIS, on May 9, 2013, INDRA and SAG discussed in an email the situation with the aforementioned company following a conversation with them. Among the notable aspects of the mentioned email are the following: “I have broadly mentioned the following: </w:t>
        <w:br/>
        <w:t xml:space="preserve">- That we wanted to count on them, that the formula should be subcontracting because this is a service and we must present a service image, and because as he himself told me, he knew that this process is led by SAG and INDRA. That we know it is very important for the client to have a first managed development tender that will have all eyes on it, and we must be and appear as such. And that we also want to count on those we are currently working with, which makes it impossible for a UTE with several parties. </w:t>
        <w:br/>
        <w:t xml:space="preserve">- That if the underlying problem is visibility, we can solve that, that we can make it explicit to the client in a meeting, in the offer, with CVS… […] </w:t>
        <w:br/>
        <w:t>- That we guaranteed them the business they currently have, that they would also have priority treatment in subcontracting, that things will change and we do not know how but we must be there. This because he told me that it was not worth it to “place a few” without participating. What I really saw as a goal is to go in the UTE, I was frank and told him that I did not see that, that he should trust our strategy, and that if he really wants to be with us (as he says) we would find a way for him to feel comfortable with the visibility we give him” (folios 6180 and 7875).</w:t>
      </w:r>
    </w:p>
    <w:p>
      <w:r>
        <w:t>(126) The negotiations with CONNECTIS seem to be more difficult than with the other companies. This is reflected in an email dated June 8, 2013, in which SAG commented to INDRA that CONNECTIS must “fulfill its “unwritten” commitments. They should not be permanently forcing situations” (folio 7938). Additionally, INDRA commented in an email dated June 8, 2013, to SAG that CONNECTIS “wants it to be a future alliance, also thinking about the upcoming tenders” (folio 7938).</w:t>
      </w:r>
    </w:p>
    <w:p>
      <w:r>
        <w:t>(127) On July 5, 2013, CONNECTIS accepted the last proposal made by INDRA and SAG (folio 8012), and on July 7, 2013, INDRA sent CONNECTIS the draft subcontracting agreement (folios 8011 and 8014 to 8022). In this case, CONNECTIS is considered a preferred supplier until reaching 4.5% of the total invoiced amount of the main contract (folio 8017). Furthermore, the same clauses as in the previous cases are included, among which the exclusivity clause of the fifth stipulation of the contract stands out.</w:t>
      </w:r>
    </w:p>
    <w:p>
      <w:r>
        <w:t>(128) The definitive subcontracting agreement with CONNECTIS was sent by INDRA on July 22, 2013 (folios 8080 to 8090).</w:t>
      </w:r>
    </w:p>
    <w:p>
      <w:r>
        <w:t>(129) Regarding the subcontracting of ATOS, on May 10, 2013, INDRA and SAG exchanged the subcontracting agreement with the aforementioned company (folios 6186 to 6195). The agreement establishes that, although all parties collaborate in the participation of the offers, the UTE INDRA/SAG will act as the main contractor and ATOS as the subcontractor (folio 6188). The agreement also establishes that it is a preferential subcontracting with exclusivity.</w:t>
      </w:r>
    </w:p>
    <w:p>
      <w:r>
        <w:t>(130) This document of the agreement refers to ATOS, despite CONNECTIS also appearing on the cover. However, in the copy of this agreement included in the INDRA documentation, it does appear in clause three that CONNECTIS commits, just like ATOS, to provide services under the same terms and conditions required of the UTE and CONNECTIS is included in the terms of preferential contracting (folios 9553 to 9562).</w:t>
      </w:r>
    </w:p>
    <w:p>
      <w:r>
        <w:t>(131) On May 14, 2013, ATOS communicated to INDRA and SAG the calculations of its participation in contract 7201/13G, according to which it concludes that they should include in the preferential subcontracting agreement 10% of the expected growth in the INSS, in addition to “2,230 K€,” as it concerns a tender of 35 million euros (folios 8740 to 8742). INDRA and SAG discussed these requests among themselves, noting that it is about maintaining their 10% status that they have in the totality of the current contracts (folio 8740). ATOS's requests are considered unfeasible by INDRA, who states that “it is fine to ask but they must also be prudent and recognize their position, which entails whether to go with this UTE now and in the future […]” (folio 8738). Additionally, INDRA expresses its concern that “our partners form a common front by talking among themselves. I think it would be good to try to close agreements as soon as possible with those we can. We will have to see if later the conditions with another partner are different, how we solve it, but we should try to avoid the possibility of a common front…” (folio 8738).</w:t>
      </w:r>
    </w:p>
    <w:p>
      <w:r>
        <w:t>(132) Finally, in the contract with ATOS (folios 11199 to 11212), the UTE contracts ATOS for the provision of certain services corresponding to 4.8% of the total invoiced amount (excluding VAT) of the contract corresponding to tender 7201/13G. The contract determines that the UTE considers ATOS a “preferred subcontractor.” The prices by category listed are lower than those awarded to the UTE in the tender.</w:t>
      </w:r>
    </w:p>
    <w:p>
      <w:r>
        <w:t>(133) On the other hand, on April 22, 2014, INDRA and SAG signed a framework contract for the provision of services with IECISA and subcontracted four junior consultants (TSB) (folios 6981 to 6989).</w:t>
      </w:r>
    </w:p>
    <w:p>
      <w:r>
        <w:t>(134) In this regard, on May 7, 2014, SAG and INDRA emailed each other an agreement with IECISA for the subcontracting of four senior technicians A (TSA). The margin of the UTE in this case would be 9% and would be distributed between both according to the percentages of the UTE. This margin corresponds, therefore, to the margin foreseen for the subcontracting contracts referred to previously (folio 6306 and 11250).</w:t>
      </w:r>
    </w:p>
    <w:p>
      <w:r>
        <w:t>(135) Finally, regarding BABEL, it had the commitment to be subcontracted by IBM in the event that it was awarded the contract (folios 6248 and 6249). Since IBM was ultimately not the winner of the tender, BABEL decided to be subcontracted by the UTE SAG/INDRA.</w:t>
      </w:r>
    </w:p>
    <w:p>
      <w:r>
        <w:t>(136) Thus, on March 12, 2015, SAG sent INDRA the subcontracting contract for a senior technician A from the aforementioned company for the services of file 7201/13G (folios 11936 to 11946).</w:t>
      </w:r>
    </w:p>
    <w:p>
      <w:r>
        <w:t xml:space="preserve">(137) On May 19, 2015, SAG emailed INDRA a contract53 for the provision of services to the UTE by BABEL, which is dated March 12, 2015. It is indicated that this contract replaces the one signed concerning lot 1 of UTE 7201/14G (folio 7053). </w:t>
        <w:br/>
        <w:t>53 Folios 7055 to 7067.</w:t>
      </w:r>
    </w:p>
    <w:p>
      <w:r>
        <w:rPr>
          <w:b/>
        </w:rPr>
        <w:t>[Pages 52–54]</w:t>
      </w:r>
    </w:p>
    <w:p>
      <w:r>
        <w:t xml:space="preserve">d) Contract 7201/14G, Development, maintenance, and quality control services of applications necessary in the GISS  </w:t>
        <w:br/>
        <w:t xml:space="preserve">(138) The file 7201/14G continues part of the services from file 7201/10G. The announcement of the tender was published in the BOE number 145 on June 16, 2014. The tender announcement on the State contracting platform, as well as in the DOUE54, was published 11 days earlier, on June 5, 2014. On that same day, the specifications55 were published, and offers were accepted until July 4, 2014.  </w:t>
        <w:br/>
        <w:t xml:space="preserve">(139) The total base budget for the tender was €86,767,732.81 (€71,708,870.09 excluding VAT) and the estimated value of the contract was €150,588,627.19.56  </w:t>
        <w:br/>
        <w:t xml:space="preserve">(140) The tender was divided into 4 lots (folio 740).  </w:t>
        <w:br/>
        <w:t xml:space="preserve">(141) Lot 4 was exclusive for those who submitted offers for the first 3 lots, whose awards were as follows:  </w:t>
        <w:br/>
        <w:t xml:space="preserve">Lots Awarded UTE  </w:t>
        <w:br/>
        <w:t xml:space="preserve">1 INDRA/SAG  </w:t>
        <w:br/>
        <w:t xml:space="preserve">2 INDRA/SAG/CONNECTIS  </w:t>
        <w:br/>
        <w:t xml:space="preserve">3 INSA  </w:t>
        <w:br/>
        <w:t xml:space="preserve">INSA and EVERIS also submitted offers for lot 2, but they were not awarded, despite having offered higher percentage discounts on unit prices (folio 740).  </w:t>
        <w:br/>
        <w:t xml:space="preserve">The UTE formed by INDRA/SAG/ALDEBARAN submitted an offer for lot 3. EVERIS and INSA also submitted offers, with the latter being awarded.  </w:t>
        <w:br/>
        <w:t xml:space="preserve">(142) On December 11, 2013, months before the tender was called, INDRA and SAG communicated via email that "The specifications for the GISS are progressing, and there is already sufficient and solid information for us, INDRA and SAG, to begin designing the presentation strategy, which is not simple. I think we should meet before Christmas to outline what we say to our colleagues" (folio 6268).  </w:t>
        <w:br/>
        <w:t xml:space="preserve">54 https://www.acobur.es/licitacion-publica/720114g/680829  </w:t>
        <w:br/>
        <w:t xml:space="preserve">55 https://contrataciondelestado.es/wps/portal/!ut/p/b0/04_Sj9CPykssy0xPLMnMz0vMAfIjU1JTC3Iy87KtUlJLEnNyUuNzMpMzSxKTgQr0w_Wj9KMyU1zLcvQjswMjovKzcrwyTPIDvY1CXNMi3Cu1HW1t9Qtycx0BIXWvyw!!/  </w:t>
        <w:br/>
        <w:t xml:space="preserve">56 www.boe.es/boe/dias/2014/06/16/pdfs/BOE-B-2014-21533.pdf  </w:t>
        <w:br/>
        <w:t xml:space="preserve">(143) The intention to present as a UTE and subcontract to third companies also appears in an internal email from INDRA dated January 15, 2014, which states: "We are considering a collaboration model with SAG due to presence with the client and its interest, establishing collaborations with other companies such as CONNECTIS, ATOS, BABEL, and NEXT where the other companies currently present come as subcontractors" (folios 8206 and 8207 and 8214 and 8215).  </w:t>
        <w:br/>
        <w:t xml:space="preserve">(144) On March 26, 2014, INDRA emailed SAG a document comparing the budget for 2014 against the award from 2010 (file 7201/10G). It includes calculations for the 2014 tender based on what was done in the 2010 tender. In the 2010 tender, there are references to lots 6, 7, 8, 9, 10, and 11, and in 2014 to lots 1 to 4 (folios 6296 and 6297).  </w:t>
        <w:br/>
        <w:t xml:space="preserve">(145) On April 4, 2014, INDRA again commented on the best strategy for this contract: "currently defining a strategy with SAG, who together with us are the ones with the main presence in them, and also as in the 2013 tender, we are analyzing which third partners are the most interesting and in what modalities we should present ourselves, since there are 4 development lots" (folio 8261). More specifically, possible collaborations with CONNECTIS, ATOS, BABEL, and NEXT are mentioned "where the other companies currently present come as subcontractors" (folio 8262).  </w:t>
        <w:br/>
        <w:t xml:space="preserve">(146) On June 8, 2014, in an internal email from INDRA, this tender is again referenced, indicating IBM as a possible candidate for collaboration, intending to limit competition: "It is delivered on July 4. Due to the volume we already have in the Ministry of Employment and in the GISS itself in UTE with Software AG [...] other options will be analyzed to opt for more blocks and limit competition. IBM is a possible candidate" (folio 8285).  </w:t>
        <w:br/>
        <w:t xml:space="preserve">(147) INDRA proposes to SAG to increase its participation in some points, although SAG refuses, as it considers that the overall situation is quite balanced (folio 8286). Regarding this fact, SAG expresses the possibility of going separately and competing in the tender between both companies: "We will fight, we will compete, you will lose, and then you will want to share it" (folio 8292).  </w:t>
        <w:br/>
        <w:t xml:space="preserve">(148) Regarding the previous incident, INDRA comments that its relationship with SAG "is and will be fruitful for both, and in general our other partners understand this because they are allowing subcontracting much more than they would like. In the end, we all grow, but it is true that we are still generally below, regardless of how the accounts are made, and it may indeed be that our expectation is high because it was the one we bought internally, but without wanting to overlook our interests as a UTE and companies, those relationships do not work in the long run. Now the one we have to 'scratch' profitability from is the Client, and of course, first, we need to finalize all agreements among all the companies that we are" (folio 6349).  </w:t>
        <w:br/>
        <w:t xml:space="preserve">(149) In the proposals considered by INDRA and SAG, CONNECTIS, ATOS, ALDEBARAN, and GESEIN appear, either as participants in the UTE or as subcontractors (folio 8291).  </w:t>
        <w:br/>
        <w:t xml:space="preserve">(150) In the projections that INDRA sends via email to SAG in mid-June 2014 (folios 8289 and 8291), lot 1 for the development of TGSS applications appears, for which lot 8 from 2010 (file 7201/10G), also corresponding to the development of those applications, is taken as a basis, and the UTE of INDRA/SAG/THALES/ATOS is maintained. The percentages that would correspond in case of maintaining the economic amounts from 2010 in 2014 are calculated, and the percentage that the sum of all of them represents concerning the total being tendered in 2014 shows an increase in the budget that would amount to 21.95% of the budgeted amount in 2010. Additionally, the subcontracting is shared between INDRA and SAG.  </w:t>
        <w:br/>
        <w:t xml:space="preserve">(151) In the same projections (folio 8291), lot 3 of the GISS57 is also included, for which the companies SAG, INDRA, ALDEBARAN, CONNECTIS, ATOS, and BABEL appear along with the percentages corresponding to each of them. The subcontracting is distributed among INDRA, SAG, and ALDEBARAN.  </w:t>
        <w:br/>
        <w:t xml:space="preserve">(152) The collaboration agreement between INDRA and SAG for lot 1 "Development of TGSS applications" of file 7201/14G implies that the parties collaborate exclusively concerning the object of the agreement (folios 6357 to 6365). Through subcontracting, ATOS and CONNECTIS participate in the execution of the project (ATOS 13.9% and CONNECTIS 21.2%). INDRA would be responsible for 60% of said subcontracting and SAG for the remaining 40%. The agreement also refers to the amount to be invoiced to the UTE for each category of workers, as well as the number of workers of each category of the basic team corresponding to INDRA and SAG (folio 6359).  </w:t>
        <w:br/>
        <w:t xml:space="preserve">(153) The collaboration agreement between INDRA and SAG also contains clauses on leveling percentages of new incorporations, regularizations, extensions, company responsibilities, etc., analogous to those previously described for other tenders. In fact, the draft of the agreement is dated July 19, 2013, likely based on some pre-existing agreement. This collaboration agreement between INDRA and SAG is an internal agreement (folio 6389), distinct from the agreement for the establishment of the UTE (folios 6391 and 6392).  </w:t>
        <w:br/>
        <w:t>57 In the resources tab, the equivalence between lot 3 of 2014 and lots 6 and 7 of 2010 is noted. Lot 6 in 2010 would correspond to the UTE SAG/INDRA/THALES/BABEL, and the company ATOS also appears. Lot 7 of 2010 corresponded to the UTE ALDEBARAN/NEXT/NESPRO.</w:t>
      </w:r>
    </w:p>
    <w:p>
      <w:r>
        <w:rPr>
          <w:b/>
        </w:rPr>
        <w:t>[Pages 55–57]</w:t>
      </w:r>
    </w:p>
    <w:p>
      <w:r>
        <w:t>in which the same percentages for INDRA and SAG are reflected but no reference is made to subcontracting.</w:t>
      </w:r>
    </w:p>
    <w:p>
      <w:r>
        <w:t>(154) On June 27, 2014, SAG sent an email to INDRA with the commitment and agreement for the establishment of the UTE SAG-INDRA-CONNECTIS for lot 2. The agreement for the establishment of the UTE (folios 6406 and 6407) indicates that the UTE will be formed by SAG (41%), INDRA (39%), and CONNECTIS (20%).</w:t>
      </w:r>
    </w:p>
    <w:p>
      <w:r>
        <w:t>(155) In the case of lot 3 of tender 7201/14G, INDRA and SAG reached an agreement to form a UTE58 with ALDEBARAN (folio 8301).</w:t>
      </w:r>
    </w:p>
    <w:p>
      <w:r>
        <w:t>(156) On July 1, 2014, in an internal email from SAG titled “Just for your information. This is how we are doing in the 3 development lots,” reference is made to the distribution of the three managed development lots, indicating the billing percentage corresponding to each company and the percentage in the UTE (folio 11705). The percentages referred to would be:</w:t>
      </w:r>
    </w:p>
    <w:p>
      <w:r>
        <w:t xml:space="preserve">% BILLING % UTE  </w:t>
        <w:br/>
        <w:t xml:space="preserve">INDRA 30 46  </w:t>
        <w:br/>
        <w:t xml:space="preserve">SAG 31 45  </w:t>
        <w:br/>
        <w:t xml:space="preserve">CONNECTIS 18 4  </w:t>
        <w:br/>
        <w:t xml:space="preserve">ATOS 11 0  </w:t>
        <w:br/>
        <w:t xml:space="preserve">ALDEBARAN 6 6  </w:t>
        <w:br/>
        <w:t xml:space="preserve">BABEL 2 0  </w:t>
        <w:br/>
        <w:t>GESEIN 3 0</w:t>
      </w:r>
    </w:p>
    <w:p>
      <w:r>
        <w:t>Source: Own elaboration with data from folio 11705. In this internal email from SAG, it is also indicated that “Subcontracting must leave a net 4%, ATOS and CONNECTIS, 5% for BABEL and GESEIN” (folio 11705).</w:t>
      </w:r>
    </w:p>
    <w:p>
      <w:r>
        <w:t>(157) On June 29, 2014, INDRA commented in an internal email on the need to transfer the management of lots 2 and 3 to SAG (folios 8324 and 8325). This would involve distributing the technical management of the different UTEs of which INDRA and SAG were part. While the management of lot 1 would correspond to INDRA, both the management of lots 2 and 3 of tender 7201/14G and of file 7201/13G would correspond to SAG. The technical direction of the service provided in all four cases is attributed, however, to INDRA. In the event that the technical direction could be divided and SAG took over one of the centers, INDRA proposes that it correspond to the management of lots 1 and 2 of file 7201/14G, and to SAG for lot 3 and file 7201/13G. The distribution of management is also foreseen in case not all three lots of file 7201/14G are won: “in the case of awarding a lot, parity in management will prevail just as in technical directions,” “in the case of awarding two lots, in each lot the majority company has priority in the choice, and it will be the majority that has the management of two lots” (folio 8325).</w:t>
      </w:r>
    </w:p>
    <w:p>
      <w:r>
        <w:t>(158) This distribution was reflected in the agreement between SAG and INDRA dated July 19, 2014 (folios 8329 to 8331).</w:t>
      </w:r>
    </w:p>
    <w:p>
      <w:r>
        <w:t>(159) Regarding the participation of other companies in the tender, there is an email dated July 9, 2014, from INDRA in which it internally comments the following: “I am surprised by the low participation…hahahaha. Of course, everyone is with us hahahaha!!!!!” (folio 8340).</w:t>
      </w:r>
    </w:p>
    <w:p>
      <w:r>
        <w:t>(160) On October 14, 2014, the award of lot 2 to the UTE INDRA/SAG/CONNECTIS59 (30.30% discount offered on unit prices, folio 740) was published on the State Contracting Platform, and on October 15, 2014, the award of lot 1 to the UTE INDRA/SAG60 (29.30% discount offered on unit prices, folio 740) was published. On October 21, 2014, the award of lot 3 to INSA (Ingeniería de Software Avanzado, S.A)61 was published on the State Contracting Platform.</w:t>
      </w:r>
    </w:p>
    <w:p>
      <w:r>
        <w:t>(161) Regarding subcontracting for this contract, the most relevant facts are as follows.</w:t>
      </w:r>
    </w:p>
    <w:p>
      <w:r>
        <w:t>(162) Regarding ATOS, it accepted to be subcontracted in lots 2 and 3. However, it initially rejected the offer from INDRA and SAG for lot 1 as its intention was to be part of the UTE. Finally, on June 25, 2014, SAG met with ATOS to finalize its participation in the three lots as a subcontractor with a “4% mark-up on the subcontracted amounts in Technical Assistance and 5% in Managed Development” (folio 6355). INDRA prepared the collaboration model with SAG and the subcontracting agreements with ATOS and CONNECTIS and sent them by email that same day to SAG (folio 6355).</w:t>
      </w:r>
    </w:p>
    <w:p>
      <w:r>
        <w:t>(163) ATOS's participation in the project was agreed to be 13.9% (folio 6359).</w:t>
      </w:r>
    </w:p>
    <w:p>
      <w:r>
        <w:t>(164) The subcontracting agreement of INDRA and SAG with ATOS62 includes the aforementioned conditions, as well as the exclusivity clause of the collaboration of these companies with the UTE that governs the relationships of preferential subcontracting (folios 6366 to 6375).</w:t>
      </w:r>
    </w:p>
    <w:p>
      <w:r>
        <w:t>(165) On June 27, 2014, SAG sent an email to INDRA with the subcontracting agreement with ATOS (folio 6405). The agreement states that ATOS's participation must reach a committed overall subcontracting percentage of 6.51% (folios 6408 to 6418).</w:t>
      </w:r>
    </w:p>
    <w:p>
      <w:r>
        <w:t>(166) On July 3, 2014, INDRA sent to ATOS and SAG the final agreements for the subcontracting of ATOS for lots 1, 2, and 3 (folio 6452). ATOS approved them, except for a couple of minor changes (folios 6452 to 6488).</w:t>
      </w:r>
    </w:p>
    <w:p>
      <w:r>
        <w:t>(167) On March 27, 2015, SAG sent to INDRA the contracts related to lot 1 that were to be passed to ATOS and CONNECTIS, with INDRA giving its approval (folio 11987). That same day, SAG sent to ATOS the preferential subcontracting contract for 8.4% of the total billed amount of the main contract (folios 11989 to 12005) and also sent to CONNECTIS the preferential subcontracting contract for 12.7% of the total billed amount of the main contract (folios 12006 to 12022).</w:t>
      </w:r>
    </w:p>
    <w:p>
      <w:r>
        <w:t>(168) The draft of the subcontracting of ATOS for lot 2 is dated July 24, 2015, and would be a replica of the draft for lot 1 (folios 7084 to 7099), whose effects are applied retroactively from December 1, 2014 (folio 7089). In this case, the subcontracted amount represents 3.2% of the total amount to be billed of the main contract (4% mark-up Technical Assistance and 5% Managed Development). After various changes, the contract was sent to the parties on September 23, 2015 (folios 7100 to 7125), dated September 17, 2015, with no further changes than the percentage assigned to ATOS, which is 3.31% of the total billed amount of the main contract (folio 7122).</w:t>
      </w:r>
    </w:p>
    <w:p>
      <w:r>
        <w:t>(169) Also dated September 17, 2015, is the contract with ATOS for lot 2 (folios 7133 to 7153), whose validity is retroactive to November 22, 2014 (folio 7148) and the committed subcontracted services are 8.4% of the total billed amount of the main contract (folio 7150).</w:t>
      </w:r>
    </w:p>
    <w:p>
      <w:r>
        <w:t>(170) CONNECTIS's participation in the project was agreed to be 21.2% (folio 6359).</w:t>
      </w:r>
    </w:p>
    <w:p>
      <w:r>
        <w:t>(171) The subcontracting agreement of INDRA and SAG with CONNECTIS (folios 6376 to 6385) includes, as with ATOS, an exclusivity clause for the collaboration of this company with the UTE that governs the relationships of preferential subcontracting. The draft of CONNECTIS is also dated a year earlier, July 22, 2013, as it would have been taken into account.</w:t>
      </w:r>
    </w:p>
    <w:p>
      <w:r>
        <w:rPr>
          <w:b/>
        </w:rPr>
        <w:t>[Pages 58–60]</w:t>
      </w:r>
    </w:p>
    <w:p>
      <w:r>
        <w:t>agreement as a basis for drafting the corresponding agreement for the tender 7201/14G.</w:t>
      </w:r>
    </w:p>
    <w:p>
      <w:r>
        <w:t>(172) CONNECTIS had requested to join the UTE for lot 3 and, although SAG had no objection, INDRA refused, considering that allowing the aforementioned company to join would end up "spoiling the strategy" and the negotiation would be unfavorable with ATOS when they intended to seek a coherent solution with everyone (folio 6386).</w:t>
      </w:r>
    </w:p>
    <w:p>
      <w:r>
        <w:t>(173) The offer to CONNECTIS from INDRA and SAG was made on June 25, 2014 (folio 8300). CONNECTIS accepted to be a member of the UTE for lot 2 and to act as a subcontractor in lots 1 and 3, although under conditions that equated them in terms of decision-making, project monitoring, etc., with INDRA and SAG, who would be the lead. SAG did not agree with this aspect, as the responsibility of the UTE gives rise to rights and obligations that non-members do not have. CONNECTIS requested to reduce the 5% mark-up, and SAG considered the possibility of reducing it to 4% as in the case of ATOS (folios 6402, 8932, and 8933).</w:t>
      </w:r>
    </w:p>
    <w:p>
      <w:r>
        <w:t>(174) In order to reach an agreement with CONNECTIS that would allow "to maintain the collaboration we have had for years in these projects and that has yielded such good results for all of us, and that, as you know, involves several companies" (folio 9265), INDRA and SAG offered CONNECTIS via email the "creation of a committee for the analysis of all lots, where we can see and share information, documentation, and everything we consider necessary. These committees will be held at a fixed frequency" (folio 9265). INDRA and SAG also offered them the same mark-up conditions as ATOS ("4% on the AT part and 5% on the DG part"). CONNECTIS accepted, provided that "in the DG part no penalties are applied to us" (folio 8311). After a conversation between CONNECTIS and INDRA, the three companies finally reached an agreement on June 26, 2014 (folio 8318), and SAG responded enthusiastically, stating "everything will turn out great. We will win all 3 lots!!" (folio 6399).</w:t>
      </w:r>
    </w:p>
    <w:p>
      <w:r>
        <w:t>(175) On November 24, 2014, the framework contract for the provision of services was signed between the winning UTE of lot 1 of tender 7201/14G (INDRA and SAG) and CONNECTIS (folios 7028 to 7043), formalizing the collaboration agreement signed before submitting the offer for the tender, which states that the UTE INDRA/SAG will subcontract CONNECTIS for a maximum of 12.7% of the total invoiced amount of the main contract signed with the client, establishing a "4% mark-up for AT services and a 5% mark-up for DG services" (folio 7041).</w:t>
      </w:r>
    </w:p>
    <w:p>
      <w:r>
        <w:t>(176) On March 26, 2015, SAG sent INDRA the framework contract for the provision of services of the UTE 7201/14G Lot 1 with CONNECTIS, requesting approval to prepare the one for ATOS (folios 11947 to 11963).</w:t>
      </w:r>
    </w:p>
    <w:p>
      <w:r>
        <w:t>(177) On March 27, 2015, SAG sent INDRA the contracts related to lot 1 that were to be passed to ATOS and CONNECTIS, with INDRA giving its approval (folio 11987). That same day, SAG sent ATOS the preferential subcontracting contract for 8.4% of the total invoiced amount of the main contract (folios 11989 to 12005) and also sent CONNECTIS the preferential subcontracting contract for 12.7% of the total invoiced amount of the main contract (folios 12006 to 12022).</w:t>
      </w:r>
    </w:p>
    <w:p>
      <w:r>
        <w:t>(178) Regarding the subcontracting of GESEIN, on June 30, 2014, SAG emailed GESEIN the draft subcontracting agreement for lot 2 for their review (folios 6428 to 6438). The committed global subcontracting percentage is 13%, the mark-up is 4% for Technical Assistance work and 5% for Managed Development work. The rest of the agreement is analogous to previously seen preferential subcontracting agreements, including the exclusivity clause for the project.</w:t>
      </w:r>
    </w:p>
    <w:p>
      <w:r>
        <w:t>(179) On December 4 of the same year, the draft subcontracting contract for lot 2 is again recorded (folios 11881 to 11896).</w:t>
      </w:r>
    </w:p>
    <w:p>
      <w:r>
        <w:t>(180) Finally, on June 23, 2014, SAG agreed with IECISA to integrate part of its team for lot 3 of file 7201/14G. IECISA confirmed to them "that in case of signing a prior agreement with the UTE that you are going to constitute, Informática El Corte Inglés would not present itself for any of the two Development Lots of the aforementioned tender (Lot 1, 2, and 3), we would only consider the possibility of presenting ourselves for Lot 4, Quality Control, excluding the previous ones" (folio 8316). This incorporation of IECISA resources would be "conditioned on GISS requesting them in the area of mail applications" and signing the agreement would imply the commitment "not to submit an offer for the three development lots and accept a 9% markup on the rates we offer" (folio 8315). The fact of ensuring that IECISA did not submit an offer was positively valued by INDRA (folio 8315). According to the information provided by GISS, IECISA did not submit an offer for any of the agreed lots (folio 740).</w:t>
      </w:r>
    </w:p>
    <w:p>
      <w:r>
        <w:t>3. STATE PUBLIC EMPLOYMENT SERVICE (SEPE)</w:t>
      </w:r>
    </w:p>
    <w:p>
      <w:r>
        <w:t>Regarding the tenders for IT services by the SEPE63 and after analyzing the documentation in the reference file, the contracts considered of interest from the perspective of the object of the reference file are: C 10/08, C 11/08, PA 11/12, PA 7/14, and PA 8/14, all of which relate to the maintenance of the systems and IT applications of this agency.</w:t>
      </w:r>
    </w:p>
    <w:p>
      <w:r>
        <w:t>63 In some documents in the reference file, the abbreviation SEPE (STATE PUBLIC EMPLOYMENT SERVICE) or SPEE (STATE PUBLIC EMPLOYMENT SERVICE) is used interchangeably. For the purposes of this resolution, the abbreviation SEPE has been chosen.</w:t>
      </w:r>
    </w:p>
    <w:p>
      <w:r>
        <w:t>Unlike previous sections, in this case, a joint analysis of the tenders that are called simultaneously in different periods is carried out, as the services subject to the contracts are grouped into lots whose number and denomination vary over time and may or may not belong to the same tender. Furthermore, as will be seen below, companies develop strategies that simultaneously affect several tenders.</w:t>
      </w:r>
    </w:p>
    <w:p>
      <w:r>
        <w:t>a) Contracts C10/08 "IT services necessary for electronic administration in the SEPE" and C11/08 "IT services necessary for the SEPE"</w:t>
      </w:r>
    </w:p>
    <w:p>
      <w:r>
        <w:t>(181) The announcement of the tender for both files was published in the BOE on February 28, 200864. The C10/08 file was divided into five lots, while the C11/08 file was divided into six lots. The joint base budget for the C10/08 tender was 28,021,512 euros, VAT included, while that of the C11/08 file was 33,697,400 euros, VAT included.</w:t>
      </w:r>
    </w:p>
    <w:p>
      <w:r>
        <w:t>(182) In an internal communication from NEXT prior to the publication of the tender, the intention to participate in the two tenders as a UTE was discussed: "On February 6, the UTE held a meeting with the Subdirectorate of INEM who provided us with some data about the new tenders, the most notable being that 2 tenders will be issued, with a total of 11 Lots" (folio 10009).</w:t>
      </w:r>
    </w:p>
    <w:p>
      <w:r>
        <w:t>(…) The intention of NEXT and THALES is to form a new UTE for these tenders, without ruling out the possibility of reaching commitments with other companies currently present in INEM that would allow configuring stronger UTEs.</w:t>
      </w:r>
    </w:p>
    <w:p>
      <w:r>
        <w:t>(183) Following the publication of the tender announcement, on March 3, 2008, THALES (CONNECTIS) contacted ATOS, SAG, and NEXT to begin designing the offers to be submitted by the UTE, specifically for lots 3 of contract C10/08 and 6 of contract C11/08: "As a result of the meetings held between the different managers of our companies regarding the submission of the offer for INEM for the traditional systems tender: LOT 6, and in order to start designing the order and points of the offer, while establishing a schedule for the delivery of documentation, I am calling you for next Friday."</w:t>
      </w:r>
    </w:p>
    <w:p>
      <w:r>
        <w:rPr>
          <w:b/>
        </w:rPr>
        <w:t>[Pages 61–63]</w:t>
      </w:r>
    </w:p>
    <w:p>
      <w:r>
        <w:t>As for the tender related to electronic administration: LOT 3, I am waiting for Everis to provide me with the contact person to proceed with its convening. This will be, in any case, following the first meeting” (folio 10010).</w:t>
      </w:r>
    </w:p>
    <w:p>
      <w:r>
        <w:t>(184) The companies sent each other on March 6, 2008, the commitment of the UTE 11/08 for lot 6 (folio 10020).</w:t>
      </w:r>
    </w:p>
    <w:p>
      <w:r>
        <w:t>(185) A few days later, on March 10, 2008, THALES (CONNECTIS) sent to SAG, ATOS, and NEXT a file with the people who were working at that time in the INEM, in the categories of the specifications (folio 10025). The file lists by name and surname the workers belonging to different companies, their category, and the hourly rate that corresponds to be received from the SEPE for their services (folios 12432 and 12433).</w:t>
      </w:r>
    </w:p>
    <w:p>
      <w:r>
        <w:t>(186) On March 13, 2008, SAG sent to NEXT, ATOS, and THALES (CONNECTIS) the proposed agreement of the UTE for lot 6 of the file C11/08 (folio 10127) and the proposed collaboration agreement (folios 10128 to 10134). This latter proposal contains participation percentages of the four different companies from those in the UTE commitment and those listed in the distribution list that THALES (CONNECTIS) had sent them the day before (folio 10126), in which the data qualified as "real" appeared. The proposed collaboration agreement is incomplete and reflects data from a tender of the GISS, although in the email to which it is attached, it makes clear that it is for lot 6 11/08 of the INEM. On March 14, 2008, ATOS sent to SAG, NEXT, and THALES (CONNECTIS) the agreement for the establishment of the UTE and the commitment to establish the UTE (folio 10135). In the agreement for the establishment of the UTE, the participation percentages of the companies appear (folio 10136) and in the commitment to establish the UTE, dated March 31, 2008, the parties, among other aspects, commit to maintaining confidentiality regarding the existence of said agreement and “not to initiate negotiations with other companies or individuals with the aim of collaborating, providing services, or maintaining relationships related to the work of the object of lot 6 of this tender” (folio 10140).</w:t>
      </w:r>
    </w:p>
    <w:p>
      <w:r>
        <w:t>(187) On June 16, 2008, EVERIS wrote to THALES (CONNECTIS), SAG, ATOS, and NEXT65, in order to finalize a consensus agreement among the five companies (folios 10467 to 10483). With the agreement, the parties commit to facilitating the services and benefits in the scope of the UTE and to sign a subcontracting agreement under “preferential conditions,” understanding such preference “not only in offering competitive conditions but also in considering the other parties as the only option to participate in the tenders and subcontract in them, in the case of Everis Spain, S.L. for lot 6 […]”. Furthermore, “all parties commit not to participate individually or jointly with other companies that are not part of this Agreement in these lots” (folio 10470).</w:t>
      </w:r>
    </w:p>
    <w:p>
      <w:r>
        <w:t>(188) This agreement establishes that for lot 6 of the tender C.11/08, THALES (CONNECTIS), NEXT, SAG, and ATOS will present and subcontract to EVERIS, while for lot 3 of the tender C.10/08, all five will present jointly (including EVERIS) (folio 10471). The percentages and distribution of income are recorded in Annex 1 of the agreement (folios 10478 to 10483). The subcontracting of EVERIS for lot 6 is agreed at 16.94% of the income received by the UTE, without the application of any margin on the rates resulting from the award. Additionally, several scenarios are contemplated. If they are awarded a single lot, the income distribution percentages for each company would be the same regardless of the lot in question, but if they are awarded both lots, the income distribution percentages vary, compensating the percentages corresponding to each company in each lot (increasing in lot 6 for the members of the UTE and EVERIS would have no percentage of participation, while EVERIS's percentage would double in the case of lot 3 and those of the other companies would decrease).</w:t>
      </w:r>
    </w:p>
    <w:p>
      <w:r>
        <w:t>(189) Annex 1 of this agreement records the participation of THALES (CONNECTIS), NEXT, SAG, ATOS, and EVERIS in the different categories of profiles required in the PPT. Based on this “real” distribution of resources, its equivalence with the income percentage that would correspond to each company is calculated, as well as the deviation that this percentage represents concerning the theoretically agreed distribution percentages (folios 10479 and 10480). The existence of deviations implies the provision for a regularization of the billing “in order for each company to bill the percentage of what the UTE bills to the SPEE, which was initially agreed […] an annual regularization will be carried out […]” (folio 10481). When regularizing, a compensation of 10% of the excess incurred in the corresponding period is applied.</w:t>
      </w:r>
    </w:p>
    <w:p>
      <w:r>
        <w:t>(190) On July 2, 2008, ATOS sent an email to THALES (CONNECTIS) forwarding the opinion of its legal counsel regarding the UTE agreements that were being negotiated for two lots called by the INEM (folios 5519 and 5520). ATOS's own counsel expresses concern about considering that the strategy followed by the companies could lead to a market division contrary to competition rules and that this would violate the rules of the purpose that justifies the establishment of the UTE: “As far as we know, two distinct UTE agreements have been agreed for two different Lots that are completely independent, and this has been presented to the INEM with each Offer. According to what I have been informed by [personal data] and [personal data], from the very beginning we have proposed signing a private agreement for each of the lots and that in the case of subcontracting, a subcontracting commitment be signed, in the event that the UTE is awarded. This subcontracting commitment must also be signed by the member of the UTE whose percentage is to be subcontracted. What is now proposed in this agreement to be signed by all members of the two UTEs (which are not the same in both UTEs) determines how the participation percentage of each member will be divided and the agreements between the parties in case of being awarded one or the other lot or both. The problem we see is that this implies a market division, as it subordinates the participation of the members of the UTEs in the different Lots to the award of one or the other lot, in which case a part of the project will be subcontracted to the companies that have not been awarded. This is contrary to Competition Defense Legislation.” It also states that “This also violates the rules of the purpose that justifies the establishment of a UTE, as it can be considered that they are being established so that the companies signing this agreement execute part of the project, either directly as a member of the UTE or through subcontracting, according to the award decided by the Administration” (folios 5519 and 5520).</w:t>
      </w:r>
    </w:p>
    <w:p>
      <w:r>
        <w:t>(191) This email with the opinion of ATOS's legal counsel was forwarded by THALES (CONNECTIS) to SAG, indicating that they would request the opinion of their legal services and conduct an analysis (folio 5519).</w:t>
      </w:r>
    </w:p>
    <w:p>
      <w:r>
        <w:t>(192) The awards of the lots referred to, lot 3 of file C10/08 and lot 6 of file C11/08, were made for 16,477,944.42 euros and 15,242,832 euros, VAT included, respectively (folios 772 and 779). In the case of lot 3 of file C10/08, there were three other economic offers at a lower price, and yet it was awarded to the UTE ATOS/SAG/NEXT/THALES/EVERIS with a 2% discount66. In the case of lot 6 of file C11/08, there were 66 Own calculations based on data from folio 772.</w:t>
      </w:r>
    </w:p>
    <w:p>
      <w:r>
        <w:rPr>
          <w:b/>
        </w:rPr>
        <w:t>[Pages 64–66]</w:t>
      </w:r>
    </w:p>
    <w:p>
      <w:r>
        <w:t>awarded to the UTE formed by the companies INDRA/ACCENTURE/CORITEL/GESEIN, which presented a discount higher than that of the UTE ATOS/SAG/NEXT/THALES, the other offer submitted (10% versus 2%)67.</w:t>
      </w:r>
    </w:p>
    <w:p>
      <w:r>
        <w:t>(193) After the awarding of the lots, negotiations continued among the members of the UTE awarded lot 3 (C10/08), since ATOS had raised the possibility that the agreements reached and their formalization were not in accordance with current legality. ATOS had sent a new draft to the other members of the UTE with which it would feel more comfortable. This led to SAG writing to ATOS, THALES (CONNECTIS), EVERIS, and NEXT68 on July 24, 2008, indicating that it did not agree with the draft private agreement of the UTE that ATOS had sent the day before, as it was halfway between a collaboration agreement and statutes (folio 10525). EVERIS expressed its agreement with SAG (folio 10527). SAG's disagreement was based on the fact that it considered the collaboration agreement for both lots previously referenced, which had the signatures of all companies except ATOS, "was valid in all that referred exclusively to lot 3," so they had agreed to eliminate everything that implied making assumptions about winning in combination with other lots, but the agreement sent by ATOS deviated from this line (folio 10529).</w:t>
      </w:r>
    </w:p>
    <w:p>
      <w:r>
        <w:t>In this regard, ATOS indicated that "legal issues should not be mixed when agreeing on the content of a legal document, with the business we are involved in, a business in which all five companies are absolutely involved and in agreement" (folio 10577).</w:t>
      </w:r>
    </w:p>
    <w:p>
      <w:r>
        <w:t>(194) The sending of this agreement along with a model of the deed of incorporation of the UTE with the statutes of the UTE and the report was carried out by ATOS that same day. As a model of the deed of incorporation of a UTE, a pre-existing one between SAG, INDRA, ATOS, and CIBERNOS was sent, although INDRA and CIBERNOS do not belong to the UTE whose incorporation was being negotiated (folios 5524 to 5569).</w:t>
      </w:r>
    </w:p>
    <w:p>
      <w:r>
        <w:t>(195) The distribution of percentages is reflected in an email dated July 28, 2008, from THALES (CONNECTIS) to the other companies, in which it specifies that the data reflected corresponds to the "actual distribution" with the new adjusted percentages (folios 5570, 5571, and 10584). It should be noted that the theoretical percentages for the incorporation of the UTE do not match the actual percentages for billing and the operation of the UTE, as expressly stated by ATOS (folio 5576).</w:t>
      </w:r>
    </w:p>
    <w:p>
      <w:r>
        <w:t>67 Own calculations based on data folio 779.</w:t>
      </w:r>
    </w:p>
    <w:p>
      <w:r>
        <w:t>68 The recipient is [personal data], who, as previously indicated, performed advisory tasks for NEXT in relation to public tenders.</w:t>
      </w:r>
    </w:p>
    <w:p>
      <w:r>
        <w:t>“3.- Regarding what we discussed yesterday about the Percentages, we should use the percentages from the commitment presented with the offer in lot 3 for the Statutes, that is to say:</w:t>
        <w:br/>
        <w:t>Commitment of UTE (theoretical percentages for the incorporation of UTE):</w:t>
        <w:br/>
        <w:t>Everis: 34.00; Thales: 25.00; Next: 19.00; SAG: 12.00; Atos: 10.00.</w:t>
        <w:br/>
        <w:t>And reflect the actual percentages for billing and operation of the UTE, in the private collaboration Agreement, that is to say:</w:t>
        <w:br/>
        <w:t>Award scenario (actual operating percentages):</w:t>
        <w:br/>
        <w:t>Everis: 16.94; Thales: 33.53; Next: 23.01; SAG: 17.52; Atos: 9.00”.</w:t>
      </w:r>
    </w:p>
    <w:p>
      <w:r>
        <w:t>(196) On July 30, 2008, EVERIS, SAG, NEXT, THALES (CONNECTIS), and ATOS were processing the documentation to establish the UTE (folio 10606). The models are known to the companies as they have been used in all the UTEs of the GISS (folio 10608):</w:t>
        <w:br/>
        <w:t>“First of all, let me clarify that the statutes have not yet been distributed. Atos refers to the statutes of a UTE that we have in force at the INSS, and given the problems we have with its legal aspects, I suggested that they start looking at it to save time. Thales also knows these statutes since they have been used in all the UTEs of the GISS. I am convinced that Everis will also recognize them since I believe they were used in some previous UTE with INDRA.”</w:t>
      </w:r>
    </w:p>
    <w:p>
      <w:r>
        <w:t>(197) On August 4, 2008, SAG sent the final version of the statutes and the UTE report necessary to sign the deed of incorporation of the UTE to the other companies of the UTE of lot 3 C10/08 (folio 10665). The participation percentages of each company reflected in the statutes (folio 10690) do not match those stipulated in the collaboration agreement and that would reflect the "real" pact among the members of the UTE. After some back and forth with ATOS regarding the drafting of certain clauses, SAG sent again that same day the final versions of the statutes and UTE report (folios 10713 to 10731).</w:t>
      </w:r>
    </w:p>
    <w:p>
      <w:r>
        <w:t>(198) On July 5, 2010, once the official communication was received that the extension is for two years, SAG communicated this to THALES, NEXT, ATOS, and EVERIS (folios 10885 and 10886).</w:t>
      </w:r>
    </w:p>
    <w:p>
      <w:r>
        <w:t>(199) The closure of the UTE of Lot 3 of the tender C 10/08 occurred in December 2012. At that time, the companies were making adjustments to align the theoretical and actual results and compensate the companies that had not reached the initially agreed percentages (folio 11130).</w:t>
      </w:r>
    </w:p>
    <w:p>
      <w:r>
        <w:t>b) Contract PA 11/12, “Hiring of the IT services necessary for the SEPE”</w:t>
      </w:r>
    </w:p>
    <w:p>
      <w:r>
        <w:t>(200) The announcement of the tender for file PA 11/12, “Hiring of the IT services necessary for the SEPE” through an open procedure was published on the State Contracting Platform on June 13, 2012, and that same day it was sent for publication in the DOUE69. On June 14, 2012, it was published in the BOE number 14270.</w:t>
      </w:r>
    </w:p>
    <w:p>
      <w:r>
        <w:t>(201) The contract, with an estimated value of 27,032,453.90 euros71, was divided into twelve lots. The duration of the contract, as announced in the BOE, was expected until September 30, 2013, although the possibility of extension was admitted.</w:t>
      </w:r>
    </w:p>
    <w:p>
      <w:r>
        <w:t>(202) Three months before the official announcement of the tender, on March 9, 2012, an internal email from INDRA commented on the idea of continuing with the existing alliances even if it meant presenting in two UTEs and then crossing subcontracting: “there are again changes, [personal data] has separated the maintenance lots again, in any case I think we should continue to maintain an alliance among the 5 key players, even if it is with a strategy of presenting in two different UTEs and then crossing subcontracting. In any case, although SAG plays an important role, it is Thales that we need to “loyalize”” (folio 7367).</w:t>
      </w:r>
    </w:p>
    <w:p>
      <w:r>
        <w:t>(203) That same day, INDRA's commercial report for that week was sent internally (folios 7337 to 7366), indicating that the best-positioned companies for the tender are THALES (CONNECTIS), NEXT, GESEIN, SAG, ACCENTURE, EVERIS, and ATOS, and that the most important lots are in the hands of the UTE INDRA-GESEIN-ACCENTURE and EVERIS-THALES-SAG-ATOS-NEXT, which will be grouped together, noting that “Meetings have begun to form possible UTEs” (folios 7339, 8543, 8574, and 8575).</w:t>
      </w:r>
    </w:p>
    <w:p>
      <w:r>
        <w:t>(204) In an internal email from INDRA, on May 30, 2012, reference is again made to the proposal to form “a strong core of 5 (SAG-Thales and Next, Gesein, and Indra) and present ourselves for the two lots with different UTEs and subcontracting models,” but it seems that SAG is not willing to count on INDRA and will present for the two development lots in the UTE SAG-THALES-NEXT, maintaining some subcontracting with ATOS. Therefore, INDRA is considering presenting with ACCENTURE and/or EVERIS as allies for Development (folio 7431).</w:t>
      </w:r>
    </w:p>
    <w:p>
      <w:r>
        <w:t>69 https://contrataciondelestado.es/wps/wcm/connect/ac0b7629-99d1-4ce2-8a80-3de690717362/DOC_CN2012-402297.pdf?MOD=AJPERES</w:t>
      </w:r>
    </w:p>
    <w:p>
      <w:r>
        <w:t>70 https://www.boe.es/boe/dias/2012/06/14/pdfs/BOE-B-2012-20635.pdf</w:t>
      </w:r>
    </w:p>
    <w:p>
      <w:r>
        <w:t>71 The announcement in the BOE does not indicate whether the amount includes VAT or not, but since the breakdown of the amount in lots is done with net amounts, it is understood that the estimated value does not include VAT.</w:t>
      </w:r>
    </w:p>
    <w:p>
      <w:r>
        <w:rPr>
          <w:b/>
        </w:rPr>
        <w:t>[Pages 67–69]</w:t>
      </w:r>
    </w:p>
    <w:p>
      <w:r>
        <w:t>(205) The fact that SAG did not want to involve INDRA in this case makes INDRA feel upset and consider analyzing SAG's actual contribution in Social Security matters, where both companies would also be present: "what SAG is doing is 'isolating' us, they will tell us later, because for such a partner we will have to see what they really contribute in Social Security" (folio 7431).</w:t>
      </w:r>
    </w:p>
    <w:p>
      <w:r>
        <w:t>(206) A week before the tender announcement, on June 5, 2012, SAG communicated with THALES (CONNECTIS), ATOS, and NEXT, indicating that they were called to a meeting that day with the deputy director of information technologies of SEPE, to begin aligning the teams with the new tender, proposing to meet with her the following day as a UTE. These companies agreed to meet beforehand to see what they would propose to SEPE (folios 10985 and 10986).</w:t>
      </w:r>
    </w:p>
    <w:p>
      <w:r>
        <w:t>(207) On June 15, 2012, INDRA internally communicated that it was preparing the offer for this tender (folio 7452). In the commercial report of that week, INDRA indicates that it has reached agreements with ACCENTURE and GESEIN for lots 6 and 7; with OESIA and GESEIN for lot 4; possibly with UNISYS for lots 3 and 11; that lot 12 presents incompatibility with other lots and that the rest of the lots will be analyzed (folio 7457). These agreements are slightly modified in the commercial report from early July 2012 (folio 8630).</w:t>
      </w:r>
    </w:p>
    <w:p>
      <w:r>
        <w:t>(208) On June 20, 2012, SAG met with THALES (CONNECTIS) and NEXT at the THALES (CONNECTIS) headquarters to discuss the resources in the SEPE tender (folio 6092).</w:t>
      </w:r>
    </w:p>
    <w:p>
      <w:r>
        <w:t>(209) Prior to the meeting, that same day, SAG sent by email to NEXT72 and THALES (CONNECTIS) the foundational agreements they had regarding the strategy to follow:</w:t>
        <w:br/>
        <w:t>"1st.- The companies Thales, Next, and SAG, together, will submit an offer for lots 7 and 8 of the tender recently called by SEPE.</w:t>
        <w:br/>
        <w:t>2nd.- The three companies agree that the discount base in these offers should be 'significant', mentioning as a starting point for discussion around 25%.</w:t>
        <w:br/>
        <w:t>3rd.- The heads of the 3 companies have set a 'distribution' in percentages of said lots, in which they feel reasonably comfortable, which will be the basis for the final adjustment in % of resources and billing.</w:t>
        <w:br/>
        <w:t>4th.- Incorporate ATOS into the agreement" (folio 6097).</w:t>
      </w:r>
    </w:p>
    <w:p>
      <w:r>
        <w:t>(210) INDRA's strategies for this contract are outlined in an internal email dated July 11, 2012, to which an Excel file is attached. In the tabs for lot 1 all, lot 3 all, lot 4 all, lot 6 all, lot 7 all, and lot 11 all, both the rates from the specifications and the cost incurred for each category of employees are recorded, calculating the margin obtained per hour for each of the categories in which they had personnel, which coincides in those lots. The variation of the profit margin based on different discount scenarios, ranging from 10% to 35%, is also recorded. In the other tabs, the margins vary, as they reflect subcontracting situations. The summary tab contains data on the percentage that INDRA has in each lot from 1 to 11, the reduction that has been established, and the margin that each lot represents considering and not considering subcontracting (folios 7490 and 7491).</w:t>
      </w:r>
    </w:p>
    <w:p>
      <w:r>
        <w:t>(211) As was customary, on July 12, 2012, SAG sent to ATOS, CONNECTIS, and NEXT the collaboration agreements and commitment to form a UTE. ATOS and NEXT gave their consent (folio 11035).</w:t>
      </w:r>
    </w:p>
    <w:p>
      <w:r>
        <w:t>(212) These documents record the collaboration between the companies concerning lot 7 of the PA 11/12 of SEPE "Maintenance and development of benefits applications" (folios 6098 to 6107). The collaboration agreement was signed between SAG, ATOS, CONNECTIS, and NEXT, distributing the number of employees of each category corresponding to each of them and the principles that have been previously enumerated for this type of agreements regarding the responsibility of the parties, regularizations, etc. The UTE commitment records the participation percentages of each of them in it (folio 6106).</w:t>
      </w:r>
    </w:p>
    <w:p>
      <w:r>
        <w:t>(213) According to the information sent on July 17, 2012, by email from SAG to its parent company (folio 11042)73, SAG submitted for lot 8 to avoid having to say no to the partners of lot 7, where they have the highest percentage and an agreement with the same partners. Furthermore, SAG indicated that there had been an improvement in the margins of the services referred to in the tender, between 2.8 and 4.5 points compared to two years earlier.</w:t>
      </w:r>
    </w:p>
    <w:p>
      <w:r>
        <w:t>(214) INDRA, after failing to reach an agreement with SAG and the other companies in its UTE, according to the strategy described in its commercial reports, submitted offers for various lots (lot 1, lot 3, lot 4, lot 6, lot 7, lot 8, lot 9, lot 10, and lot 11). INDRA submitted for these lots in collaboration with different companies, except for lots 9 and 10, in which it submitted alone (folios 786 to 798).</w:t>
      </w:r>
    </w:p>
    <w:p>
      <w:r>
        <w:t>(215) It is worth highlighting INDRA's solo submission for lots 9 and 10, since in the internal commercial reports of INDRA previously referred to74, INDRA was not interested in participating in them. In both lots (9 and 10), ACCENTURE was awarded, a company that before the negotiations INDRA indicated as a possible ally and with which it reached agreements for the joint submission of offers in other lots in this tender and in the past75. It is also worth noting that, as will be seen later, in the next tender that continued these services, INDRA, ACCENTURE, and GESEIN attempted to maintain the established participation percentages for this 2012 tender (folios 9582 and 9583).</w:t>
      </w:r>
    </w:p>
    <w:p>
      <w:r>
        <w:t>(216) The commercial report of INDRA dated September 3, 2012, indicates regarding the PA 11/12 tender that the tender consists of 12 lots and that the structure of the lots changes compared to the pre-existing situation, so that each of the current companies has resources in several of the future lots. "Due to the new composition of lots and considering that INDRA's presence was currently in the area of Development and Support, various alliances have been made according to the lot with different companies (Accenture, Gesein, Oesia, Unisys, Alba). It has also been decided to present ourselves for the following [...]" (folio 7501). INDRA indicates that the lots they have submitted for are lots 1, 3, 4, 6, 7, 8, 9, 10, and 11, and identifies the awardees.</w:t>
      </w:r>
    </w:p>
    <w:p>
      <w:r>
        <w:t>(217) According to the information held by both companies, INDRA would have been awarded lots 8 (in UTE with ACCENTURE and GESEIN with a 28.14% discount76) and 11 (in UTE with UNISYS with a 27.04% discount77). Meanwhile, the UTE formed by SAG/CONNECTIS/NEXT/ATOS was awarded lot 7, with a 27% discount.</w:t>
      </w:r>
    </w:p>
    <w:p>
      <w:r>
        <w:t>(218) On September 6, 2012, SAG internally sent the Statutes and the report of the UTE for the PA 11/12 tender, lot 7, of SEPE (folio 11047) and then forwarded them to CONNECTIS, ATOS, and NEXT. The signing of the deed of incorporation of the UTE was initially scheduled for September 10, 2012 (folio 11061).</w:t>
      </w:r>
    </w:p>
    <w:p>
      <w:r>
        <w:t>(219) On October 3, 2012, the 12 lots of the PA 11/12 tender from SEPE were officially awarded (folios 786 to 798).</w:t>
      </w:r>
    </w:p>
    <w:p>
      <w:r>
        <w:t>(220) On September 30, 2013, the contract was scheduled to end, according to the PCAP78, although the possibility of extension by mutual agreement of the parties for a maximum period of one year from the formalization of the contract was foreseen.</w:t>
      </w:r>
    </w:p>
    <w:p>
      <w:r>
        <w:t>(221) In June 2015, the members of the UTE PA 11/12, lot 7, of SEPE (SAG, CONNECTIS, ATOS, and NEXT) began processing its closure,</w:t>
      </w:r>
    </w:p>
    <w:p>
      <w:r>
        <w:rPr>
          <w:b/>
        </w:rPr>
        <w:t>[Pages 70–72]</w:t>
      </w:r>
    </w:p>
    <w:p>
      <w:r>
        <w:t>although it was extended at least until September 2015 (folios 12123 and 12124).</w:t>
      </w:r>
    </w:p>
    <w:p>
      <w:r>
        <w:t>c) Contract PA 7/14, “Services for the development and evolution of computer applications” and PA 8/14 “Services for the support and evolution of infrastructures and computer systems”</w:t>
      </w:r>
    </w:p>
    <w:p>
      <w:r>
        <w:t>(222) On May 13, 2014, the tenders PA 7/14 and PA 8/14 from SEPE were published, which represent the continuation of the services tendered in file PA 11/12.</w:t>
      </w:r>
    </w:p>
    <w:p>
      <w:r>
        <w:t>(223) By dividing the tendered services into two tenders, SEPE grouped the 12 lots from 2012 into 2 lots for development in file 7/14 and 4 lots for systems in file 8/14 (folios 9003 and 9004).</w:t>
      </w:r>
    </w:p>
    <w:p>
      <w:r>
        <w:t>(224) The calls for tender, through an open procedure, for both files were published in the BOE on May 15, 2014, and in the DOUE on May 16, 2014. The publication in the State Contracting Platform, which included the specifications, occurred on May 13, 2014.</w:t>
      </w:r>
    </w:p>
    <w:p>
      <w:r>
        <w:t>(225) The two lots of file PA 7/14 had a combined estimated value of 22,655,309.60 euros and the four tendered lots of file PA 8/14 had a combined estimated value of 14,263,636.30 euros.</w:t>
      </w:r>
    </w:p>
    <w:p>
      <w:r>
        <w:t>(226) On November 21, 2013, in an internal email from SAG with the subject “SEPE-Confidential,” it is stated that they have “the drafts of the specifications that SEPE is handling and that should be published in the coming months. If they come out in line with what is established in these specifications, I am so pessimistic that I even doubt we should submit” (folio 11193).</w:t>
      </w:r>
    </w:p>
    <w:p>
      <w:r>
        <w:t>(227) Regarding this contract, SAG expressed that INDRA had doubts regarding SEPE for the following reasons: “On one hand, they are working well with Accenture, I even believe that ‘their lot’ is going to be fattened with the web issue, which is specifically what they are handling. On the other hand, they know that in the medium term Accenture is not a good partner and this alliance is not viewed favorably at INDRA. They will consider whether to leave Accenture or not, saying literally ‘it is an ally of [personal data]’ and it would not be a problem in any case.” They even comment on INDRA's idea of going separately and not competing among the companies by dividing the lots: “If we do not go together, they do not see the idea of ‘not harming each other’ and respecting a lot for each one” (folio 11216).</w:t>
      </w:r>
    </w:p>
    <w:p>
      <w:r>
        <w:t>(228) Furthermore, INDRA in an internal email dated March 19, 2014, outlines the strategy to follow: “Strategies for presentation are being worked on both with current partners and with the client. Initially, in lots 5 and 6, a UTE model is being worked on with Accenture with Indra taking the lead in both lots. In lot 7, collaboration with Unisys will continue, with Indra also managing the UTE and with a higher percentage. In the remaining lots, progress should continue in the different conversations with potential partners” (folio 8209).</w:t>
      </w:r>
    </w:p>
    <w:p>
      <w:r>
        <w:t>(229) On March 3, 2014, INDRA communicated with ACCENTURE, referring to a previous meeting and presenting an estimate of the amount that would correspond to INDRA, ACCENTURE, and GESEIN, according to the distribution percentages they had previously in other contracts, indicating that in their case they would recover the 5% ceded at that time and, on ACCENTURE's side, they would leave the 5% that they had subcontracted to GESEIN (folios 9582 and 9583). ACCENTURE responded that same day with their calculations based on the data from lots 8, 9, and 10 of the 2012 tender, aiming to maintain the distribution among the three companies of the services they had been providing to SEPE (folio 9582).</w:t>
      </w:r>
    </w:p>
    <w:p>
      <w:r>
        <w:t>(230) SAG, NEXT, and AXPE met on April 8, 2014 (folios 11236 and 11238). In that meeting, they agreed to prepare a collaboration agreement for the employment and benefits lots of the public tender that “SEPE is expected to call shortly.” The agreement would involve the three companies, SAG, NEXT, and AXPE in a UTE, without prejudice to the possible incorporation of ATOS (since it had three resources in benefits and one in employment and they considered it advisable to attract it to the group as a subcontractor) (folio 11239). The agreements reached imply going with a 35% discount, as indicated on April 9, 2014, in an internal email from SAG, stating that they do not want to include that data in the email with the other companies “among other things because the specifications have not yet been published” (folio 11242).</w:t>
      </w:r>
    </w:p>
    <w:p>
      <w:r>
        <w:t>(231) As previously indicated, on May 13, 2014, the call for tenders for files PA 7/14 and PA 8/14 was published in the State Contracting Platform, with offers to be submitted until June 23, 2014 (folios 780 to 785).</w:t>
      </w:r>
    </w:p>
    <w:p>
      <w:r>
        <w:t>(232) In INDRA's commercial report from May 12 to 16, 2014 (folios 12198 to 12214), both the previous 12 lots with their awardees and the new grouping are recorded (folio 12205), noting that “for the development lots, we are going in UTE with Accenture very well positioned with the client. UTE 50%-50% with management for Indra. GESEIN is subcontracted between both companies for having a presence greater than 20% and to avoid other unions” (folio 12206, 9004).</w:t>
      </w:r>
    </w:p>
    <w:p>
      <w:r>
        <w:t>(233) The draft collaboration agreement between SAG, AXPE, and NEXT was sent via internal email from SAG on May 30, 2014 (folios 6318 to 6325) and although the title refers to an agreement between SAG and INDRA, the content includes the collaboration agreement between SAG, NEXT, and AXPE for the open procedure 7/14-Lot 2 of SEPE, with exclusivity. The agreement includes the participation percentages of the three companies, as well as the base rates, demand rates, the professional profiles of each company that will make up the minimum team for the base services, and the fee to be received by each (folios 6320 and 6321).</w:t>
      </w:r>
    </w:p>
    <w:p>
      <w:r>
        <w:t>(234) On May 19, 2014, SAG, NEXT, and AXPE met to revisit the “agreed topics and those outlined in the meeting of April 8 and in the emails of the 9th of the same month” (folio 12131). The agreement refers to the employment and benefits lots “that SEPE is expected to call shortly.” It is also indicated that “in the agreement, we participate the companies NEXT, AXPE, and SAG. Without prejudice to the possible incorporation of ATOS under the terms that I will ultimately outline” (folio 12131).</w:t>
      </w:r>
    </w:p>
    <w:p>
      <w:r>
        <w:t>(235) Additionally, in the emails between SAG, NEXT, and AXPE, it is stated that in the Benefits Lot “SAG will maintain its 12 current resources at an average rate of 32.45€ and NEXT will maintain its 6 current resources also at an average rate of 32.45€,” “AXPE will provide 30 resources of the required profiles according to the specifications at an average rate of 20€.” The demand services are reserved for SAG. From the above, the creation of “a UTE with estimated percentages around SAG 52.9%, AXPE 35.5%, NEXT 11.6%” is anticipated (folio 12131). In the Employment Lot, for its part, “SAG and NEXT will each provide 8 resources” “at an average rate of 36.10€” “AXPE will provide 39 resources of the required profiles according to the specifications at an average rate of 20.07€.” The demand services are also reserved for SAG.</w:t>
      </w:r>
    </w:p>
    <w:p>
      <w:r>
        <w:rPr>
          <w:b/>
        </w:rPr>
        <w:t>[Pages 73–75]</w:t>
      </w:r>
    </w:p>
    <w:p>
      <w:r>
        <w:t>reserved for SAG. The above entails a UTE with estimated percentages of SAG 45.7%, AXPE 39.7%, NEXT 14.6% (folio 12132).</w:t>
      </w:r>
    </w:p>
    <w:p>
      <w:r>
        <w:t>(236) Regarding ATOS, in the aforementioned emails between SAG, NEXT91, and AXPE, it is mentioned that at that time ATOS has 3 resources in the service area and 1 in the employment area, so they consider it "appropriate to attract them to the group, preferably as a subcontractor, although the rates should be high" (folio 12132).</w:t>
      </w:r>
    </w:p>
    <w:p>
      <w:r>
        <w:t>(237) On June 1, 2014, SAG internally sent via email the drafts of the commitment to form a UTE and the collaboration agreement for lots 1 and 2 of the SEPE (folios 6326 to 6342). Both refer to the companies SAG, AXPE, and NEXT. The drafts include the participation percentages of each company (folios 6331 and 6338) and leave open the possibility of a subcontracting agreement, without specifying the particular company (folio 6330). They also establish that in the event of being awarded, each company will provide a certain number of professional profiles at an average rate (SAG and NEXT at 36.10 euros and AXPE at 20 euros, VAT not included) (folios 6331 and 6339).</w:t>
      </w:r>
    </w:p>
    <w:p>
      <w:r>
        <w:t>(238) On June 2, 2014, INDRA internally sent via email information about the SEPE tender (folios 8916, 8927 to 8931). In this information, it is stated that an agreement has been reached for the development lots with ACCENTURE and that the part that GESEIN had at that time will be subcontracted (folio 8931).</w:t>
      </w:r>
    </w:p>
    <w:p>
      <w:r>
        <w:t>(239) On June 3, 2014, SAG commented in an email92 that ATOS had agreed to go as a subcontractor.</w:t>
      </w:r>
    </w:p>
    <w:p>
      <w:r>
        <w:t>(240) The list of companies that submitted bids for the tender is recorded in an internal SAG email dated June 25, 2014, confirming that for lots 1 and 2 of PA 7/14, among others, the UTE SAG-NEXT-AXPE and the UTE INDRA/ACCENTURE submitted bids. For PA 8/14 in lot 3, among others, the UTE INDRA/UNISYS submitted a bid (folios 6352 to 6354).</w:t>
      </w:r>
    </w:p>
    <w:p>
      <w:r>
        <w:t>(241) As usual, on July 24, 2014, SAG sent to NEXT and AXPE the statutes and the report of the UTE SEPE 7/14 Lot 2 for their review and approval (folios 6503 to 6514). Both the report and the statutes reflect the same participation percentages of the three companies93 as the draft sent on June 1, 2014.</w:t>
      </w:r>
    </w:p>
    <w:p>
      <w:r>
        <w:t>(242) The UTE SAG/NEXT/AXPE won lot 2 of the PA 7/14 file by offering a 35.03% discount, a discount higher than that of its competitors, among which was the UTE INDRA/ACCENTURE (with a 33.9% discount) (folio 781). Despite the existence of that discount, the base bidding budget exactly matches the awarded amount (6,293,037.21 euros, VAT included)94. Although both UTEs submitted bids for lot 1 of the PA 7/14 file, CONNECTIS was awarded the contract, despite the higher discount offered by the UTE SAG/NEXT/AXPE (35.03% vs 33.50%), as CONNECTIS obtained a higher technical score (folio 780).</w:t>
      </w:r>
    </w:p>
    <w:p>
      <w:r>
        <w:t>(243) Following these awards, on December 4, 2014, SAG internally sent via email the draft framework contract for the provision of services of the UTE SEPE 7/14 Lot 2 with ATOS (folios 6645 to 6659), by which the UTE SAG/NEXT/AXPE subcontracted ATOS for the services of a web environment programmer analyst.</w:t>
      </w:r>
    </w:p>
    <w:p>
      <w:r>
        <w:t>(244) On December 5, 2014, SAG, in an internal email with the subject "RE: Agreement ATOS SEPE 7/14 Lot 2," indicates that the agreement with ATOS should "reflect what has already been agreed with them previously in other agreements of this type to avoid conflict" (folio 11897).</w:t>
      </w:r>
    </w:p>
    <w:p>
      <w:r>
        <w:t>(245) There is also a subcontracting agreement between the UTE INSA/GESEIN/SIA, awarded the lot 1 of contract 8/14 of the SEPE, with SAG (folio 12023). The validity of the subcontracting contract by the UTE to SAG dates back to February 16, 2015. This is not a preferential subcontracting and no percentages of subcontracting regarding the total billed by the UTE are foreseen (folios 12024 to 12038). The negotiations for this contract extended throughout June 2015 (folios 12057 to 12061).</w:t>
      </w:r>
    </w:p>
    <w:p>
      <w:r>
        <w:t>(246) Finally, on October 22, 2015, SAG internally communicated via email the data of the UTE AEAT and SEPE (folios 7154 to 7156). In the case of SEPE, it is indicated that they have been subcontracted by the UTE INSA-GESEIN-SIA for lot 1 of PA 8/14. In the case of Lot 2 PA 7/14 awarded to the UTE of which SAG is a part with AXPE and NEXT, the percentage of participation in the UTE is indicated, coinciding with that of the report and statutes, and the percentage of dedication95 in which SAG's percentage decreases and NEXT and AXPE's increases, with ATOS also appearing with a 4.16% subcontracted.</w:t>
      </w:r>
    </w:p>
    <w:p>
      <w:r>
        <w:t>4. SAP ENVIRONMENT96 FOR REGIONAL AND LOCAL ADMINISTRATIONS</w:t>
      </w:r>
    </w:p>
    <w:p>
      <w:r>
        <w:t>(247) On October 6, 2010, in an internal SAG email regarding various lines of work they have with SAP, it is indicated that one of them consists of having INDRA "as a strategic alliance for the entire niche of taxes and even for AEAT where we are also with them." In case INDRA does not accept, EVERIS is proposed as an alliance option. The company SAP would act as "sponsors," talking with INDRA, and then they would set up a three-way meeting "led by SAP." Subsequently, SAP and SAG would evaluate whether to proceed with INDRA or talk to EVERIS (folio 10954).</w:t>
      </w:r>
    </w:p>
    <w:p>
      <w:r>
        <w:t>(248) In an internal SAG email dated November 11, 2010, it is stated that SAP has invited INDRA and SAG to a meeting on November 22, 2010, with the aim of acting as intermediaries in a possible UTE INDRA/SAG for tax-SAP projects for the 17 Autonomous Communities, starting with the tax project of the Community of Madrid (folio 5836). It is also mentioned that the day before they had met with INDRA staff and that their approach was that "Not at all a UTE just for the Community of Madrid Project" that "They would be happy to make an agreement with SAG for the European environment" and that "an agreement for the 17 CCAA is not seen a priori if it is not immersed in option 2" (European environment) (folio 5836).</w:t>
      </w:r>
    </w:p>
    <w:p>
      <w:r>
        <w:t>(249) The existence of the meeting is recorded in an internal SAG email dated November 22, 2010, with the subject "Meeting INDRA-SAP-SAG."</w:t>
      </w:r>
    </w:p>
    <w:p>
      <w:r>
        <w:t>(250) The final proposal consists of an alliance to enter the tax market in the Spanish Autonomous Communities, in the tax market in Portugal, and in "taxes in 2/3 countries to be specified in Eastern Europe." Additionally, the three companies agree to create a center of excellence for Taxes in SAP in Spain, which they consider "of enormous impact in the Iberian market" (folios 10958 and 10959).</w:t>
      </w:r>
    </w:p>
    <w:p>
      <w:r>
        <w:t>(251) On November 30, 2010, SAG informed its German parent company of these contacts and commitments, in order to obtain authorization for collaboration in Eastern countries (folios 10957 and 10958).</w:t>
      </w:r>
    </w:p>
    <w:p>
      <w:r>
        <w:t>(252) In another internal SAG email dated December 21, 2010, it is mentioned that a prior announcement for a SAP-TRM project in the IMI97 of Barcelona was published in the BOE that same day, noting that "we are negotiating agreements with SAP...and with INDRA, for issues like this in Autonomous Communities and Town Halls" (folios 5840 and 5841).</w:t>
      </w:r>
    </w:p>
    <w:p>
      <w:r>
        <w:rPr>
          <w:b/>
        </w:rPr>
        <w:t>[Pages 76–78]</w:t>
      </w:r>
    </w:p>
    <w:p>
      <w:r>
        <w:t>(253) INDRA and SAG met again in January 2011 to discuss "an agreement whose medium/long-term objective must be parity," "this agreement is proposed in a staggered and equitable manner, so that in the first major opportunity a distribution of Indra 70/SAG 30 is set for the national scope and Indra 30/SAG 70 for the Eastern European scenario, the second major opportunity would be 60/40 and 40/60, and the third 50/50 for both cases"; "The opportunities must be equitable, so that both companies can maintain similar figures based on the % distribution." Therefore, it would be an agreement that would incorporate a minimum framework that would then be detailed for each opportunity that arose. Among the Eastern European countries they consider of interest to include in the agreement are Hungary, Poland, and Russia (folio 5868).</w:t>
      </w:r>
    </w:p>
    <w:p>
      <w:r>
        <w:t>(254) Three months later, on March 14, 2011, INDRA and SAG met again to try to finalize the SAP-Taxes agreement (folios 5903 and 7204). In the national line, the reference percentages are: for INDRA 75% and for SAG 25%, percentages that would decrease by 5% for INDRA while increasing by 5% for SAG in the following opportunities up to the fourth. Correlatively, in the case of the international line, the percentages are the same, but starting with SAG at 75% and INDRA at 25%. This is because "Both companies estimate that the National and International Lines must be 'balanced,' so we will establish a series of brakes/accelerators that prevent clear imbalances, both in terms of the number of opportunities and budgetary" (folio 5903). These percentages were set for the future and without the files to which the agreement would be applied having been convened.</w:t>
      </w:r>
    </w:p>
    <w:p>
      <w:r>
        <w:t>(255) The framework collaboration agreement between SAG and INDRA aims to "establish the bases for collaboration between both companies for the identification and management of all those opportunities subject to this contract and that are limited to the work or provision of the following services: Consulting, Design, Development, and Implementation of Information Systems, Outsourcing of Services, and Technical Assistance Services, regardless of their amount, in the field of transactional projects related to taxes, in the SAP environment of institutional clients (Public Administrations) in the identified geographical areas." The geographical areas covered by the agreement are those mentioned above (folios 7210 to 7218 and 6049 to 6057). The agreement also provides that, in order to prepare the offers, for each opportunity a specific collaboration agreement is first drawn up where the execution conditions and the bases for specific collaboration are reflected. Furthermore, in the collaboration agreement "the management modality of the contract (UTE, Consortium, Main Contractor/Subcontractor, etc.) will be negotiated depending on the conditions of the opportunity and the scenario for each company. By default, it is understood that the UTE modality is the management form to be applied in all joint competition opportunities" (folios 7213 and 6052). Additionally, the parties will prepare the offer according to the distribution agreed upon between them and will outline the phases and work to be carried out in an annex (folios 7213 and 6052). The collaboration between both parties is "exclusive" and they commit "not to participate, either directly or through intermediary companies, in other alternative offers, whether as a main contractor or subcontractor" (folio 7215 and 6054).</w:t>
      </w:r>
    </w:p>
    <w:p>
      <w:r>
        <w:t>(256) On the other hand, and in parallel, SAG and EVERIS negotiated another framework collaboration agreement in July 2011 (folios 6058 to 6065 and 6077 to 6083). This is due to EVERIS's experience and capability in the SAP field. The agreement is limited to all Spanish regional and local administrations in tax matters, although those in which the companies operated independently at that time may be excluded. The object of this agreement is identical to that of the agreement reached between SAG and INDRA. The structure of collaboration is similar, as the agreement has a duration of 2 years or 4 opportunities won, and the proposals submitted would aim to be equitable, although percentages are not set unlike the agreement between INDRA and SAG.</w:t>
      </w:r>
    </w:p>
    <w:p>
      <w:r>
        <w:t>(257) The framework agreement between both companies also provides for the preparation of a specific collaboration agreement for each detected opportunity in which the management modality will be established, understanding that the UTE modality is the default management form (folios 6060, 6079, and 6080). Likewise, the same exclusivity clause of the framework agreement signed with INDRA is established (folio 6062), although in the review of the draft carried out by EVERIS, it adds that the commitment not to participate in other alternative offers also extends to "their employees" (folios 6080 and 6081).</w:t>
      </w:r>
    </w:p>
    <w:p>
      <w:r>
        <w:t>(258) On October 26, 2011, SAG and EVERIS met and agreed to address SAP projects in the field of taxes in the regional and local territory, but with the possibility of including other clients such as the AEAT (folio 6075).</w:t>
      </w:r>
    </w:p>
    <w:p>
      <w:r>
        <w:t>(259) In turn, on November 3, 2011, SAG and EVERIS discussed holding a three-way meeting with SAP for November 16, 2011, in which they were to convey to SAP the content of their agreement, create a commercial action plan supervised by a monitoring committee with members from the three companies, establish a center of excellence, as proposed by SAP, and SAP would issue a press release informing the market about the relationship between the three companies (folio 6075).</w:t>
      </w:r>
    </w:p>
    <w:p>
      <w:r>
        <w:t>(260) On February 6, 2012, INDRA and SAG met to resume the SAG-INDRA framework agreement around SAP topics, after which they exchanged the draft agreement for review (folios 7327 to 7336). The wording of the draft is identical to that of the drafts from the previous year.</w:t>
      </w:r>
    </w:p>
    <w:p>
      <w:r>
        <w:t>(261) Despite the existence of the previous negotiation evidence regarding the provision of IT services in tax matters in the SAP environment, in its response to the information request made by the DC (folio 614), SAG indicates that neither it nor any company in its group has submitted offers in tenders called by any Spanish regional or local administration for the provision of this type of service in the period from January 1, 2011, to December 31, 2015.</w:t>
      </w:r>
    </w:p>
    <w:p>
      <w:r>
        <w:t>(262) For its part, INDRA, in response to the DC's information request of April 28, 2016 (folio 610), stated that, regarding the mentioned services, INDRA submitted only two offers in tenders called by the IMI of the Barcelona City Council: in File C207 2011 92 "IT services for the renewal of the tax systems of the Barcelona City Council," in which it was not awarded, and in File C 207 2012 439 "Change management services for the implementation of a renewal plan for the tax systems of the Barcelona City Council," in which it was awarded (folio 923).</w:t>
      </w:r>
    </w:p>
    <w:p>
      <w:r>
        <w:t>5. NATIONAL INSTITUTE OF SOCIAL SECURITY (INSS)</w:t>
        <w:br/>
        <w:t>In order to systematize the tenders called by the INSS, the facts related to the ATRIUM projects, ADABAS/NATURAL, or other types of IT products and services subject to tender by the INSS have been divided.</w:t>
        <w:br/>
        <w:t>a) Tenders related to ATRIUM</w:t>
        <w:br/>
        <w:t>(263) On December 13, 2004, the announcement of the call for tender 11/CP-10/2005 for the contracting of "the IT services necessary for the development of an application for the medical units of the National Institute of Social Security" was published in the BOE number 299.</w:t>
      </w:r>
    </w:p>
    <w:p>
      <w:r>
        <w:rPr>
          <w:b/>
        </w:rPr>
        <w:t>[Pages 79–81]</w:t>
      </w:r>
    </w:p>
    <w:p>
      <w:r>
        <w:t>Social (Atrium Project)". On November 30, 2004, the announcement of the tender was sent to the DOUE.</w:t>
      </w:r>
    </w:p>
    <w:p>
      <w:r>
        <w:t>(264) The contract had a planned duration of 24 months, starting from April 1, 2005, it was not divided into lots, and the bid amount was 3,064,460.80 euros101.</w:t>
      </w:r>
    </w:p>
    <w:p>
      <w:r>
        <w:t>(265) On March 16, 2005, the contract was awarded to the UTE SAG/INDRA, for an amount of 2,604,761.60 euros102, which represents a 15% discount compared to the total bid amount103. The announcement of the award was published in the BOE on April 4, 2005.</w:t>
      </w:r>
    </w:p>
    <w:p>
      <w:r>
        <w:t>(266) On March 30, 2007, the 24-month planned duration of file 11/CP-10/2005 ended, although the DC considers it proven that the contract was extended for two years (folio 10788).</w:t>
      </w:r>
    </w:p>
    <w:p>
      <w:r>
        <w:t>(267) In an internal email from SAG, dated July 12, 2007, responding to a chain discussing possible alliances of SAG with other companies in the context of a new tender for various services from the INSS, it is stated regarding a lot of Progexpress (Alfa-Carpa and Iris) that INDRA is the current awardee and it is suggested to "evaluate if we can ask INDRA for a %. Let's not forget that in the case of Atrium we gave them 25% because yes [...]" (folio 9969).</w:t>
      </w:r>
    </w:p>
    <w:p>
      <w:r>
        <w:t>(268) Regarding file 11/CP-10/2005, on December 4, 2008, SAG internally expressed via email its concern, after a meeting with representatives of the INSS, about the possibility that with the conclusion of the tender they were working on, the developments being carried out for ATRIUM would end and because the INSS was not in a hurry to issue the ATRIUM tender that would continue the one being developed104, since it could maintain the team at that time until December 2009, with additional hours (folio 10756). In light of this, SAG considers various scenarios, including that the INSS issues a tender for maintenance and development, indicating "we win it in UTE with INDRA". In the case of a possible tender from the Instituto Social de la Marina (ISM), it is noted "We win it? in UTE with INDRA?" (folio 10757).</w:t>
      </w:r>
    </w:p>
    <w:p>
      <w:r>
        <w:t>(269) On March 30, 2009, the maintenance tender for ATRIUM ended (folio 10788).</w:t>
      </w:r>
    </w:p>
    <w:p>
      <w:r>
        <w:t>(270) The tender that continues the ATRIUM Project of the INSS (60/VC-50/10) was delayed somewhat and the call did not occur until January 2010. However, the companies present at the INSS had prior information, as in an internal email from INDRA dated June 2, 2009, it is stated that two tenders are being called that are a continuation of those previously awarded, the first to the UTE SAG/INDRA (INSS ATRIUM Tender), and the second to the UTE SAG/ATOS/INDRA/CIBERNOS (ADABAS/NATURAL and Open Systems Tender), indicating that "for both tenders we are already in the process of reviewing alliances" (folio 7193).</w:t>
      </w:r>
    </w:p>
    <w:p>
      <w:r>
        <w:t>(271) The announcement of the tender for the INSS ATRIUM 60/VC-50/10, "IT services necessary for the maintenance and development tasks of the ATRIUM application", through an open procedure was published in the BOE on January 18, 2010. Three days earlier, on January 15, 2010, the announcement of the tender was published in the DOUE (folios 5646 to 5649). The planned duration of the services tendered was 24 months, with no possibility of extension. The base budget for the tender was 6,339,014.32 euros (including VAT).</w:t>
      </w:r>
    </w:p>
    <w:p>
      <w:r>
        <w:t>(272) On January 27, 2010, contacts occurred between INDRA and SAG to meet and prepare the offer for the ATRIUM Project (folio 5651). On February 12, 2010, SAG contacted INDRA via email to communicate that they maintain the pre-existing participation percentages of the UTE105, considering that most of the team is from SAG, other factors of technical and functional knowledge, or that "the specifications are 'marked' technologically thanks to our participation in the preparation of the profiles" (folios 5650 and 7195).</w:t>
      </w:r>
    </w:p>
    <w:p>
      <w:r>
        <w:t>(273) On February 17, 2010, SAG internally commented via email: "The tender is technologically marked, as we have influenced it to make experience in TAMINO, ADABAS, NATURAL, and ENTIRE-X mandatory in the resumes, in addition to a JAVA-J2EE profile" and "we have a verbal agreement with Indra to go in UTE to the tender with a distribution of 75% SAG and 25% Indra (the same as in the original tender)" (folios 10848 and 10850).</w:t>
      </w:r>
    </w:p>
    <w:p>
      <w:r>
        <w:t>(274) Three offers were submitted for the tender: that of the UTE SAG/INDRA, that of the UTE ATOS/ACCENTURE/THALES, and that of EVERIS, although the latter was excluded due to defects in the submitted questionnaires (folio 5652 and 4423).</w:t>
      </w:r>
    </w:p>
    <w:p>
      <w:r>
        <w:t>105 75% SAG, 25% INDRA</w:t>
      </w:r>
    </w:p>
    <w:p>
      <w:r>
        <w:t>(275) On April 29, 2010, INDRA internally commented via email that they were going to receive the award for this tender, although they did not yet have the official award. This was despite the fact that the UTE ACCENTURE/THALES/ATOS had submitted an offer with 10 percentage points more discount (folio 7198). In INDRA's commercial report of June 2, 2010 (folios 7199 and 7200), it is indicated that the offer has been provisionally awarded to them.</w:t>
      </w:r>
    </w:p>
    <w:p>
      <w:r>
        <w:t>(276) The definitive award of file 60/VC-50/10 occurred on June 21, 2010 (folio 4423) and was published in the BOE on June 30, 2010106. The awardee, as in the case of the previous tender for these services, was the UTE SAG/INDRA for an amount of 6,021,925.72 euros, including VAT, which represents a 5% discount compared to the total bid amount.</w:t>
      </w:r>
    </w:p>
    <w:p>
      <w:r>
        <w:t>(277) The tender that continued the ATRIUM services was 60/VC-73/12 "IT services for the maintenance and development tasks in the projects and applications of the INSS". The announcement of the call for this tender was published on February 28 in the DOUE107 and on March 1, 2012, in the BOE108.</w:t>
      </w:r>
    </w:p>
    <w:p>
      <w:r>
        <w:t>(278) This is an open procedure, in which the contract is divided into six lots, of which Lot 6 corresponded to "maintenance and new developments of the Atrium Project". The amount of this lot was 2,561,088.52 euros, including VAT.</w:t>
      </w:r>
    </w:p>
    <w:p>
      <w:r>
        <w:t>(279) The contract had a planned duration of 24 months and allowed for extension.</w:t>
      </w:r>
    </w:p>
    <w:p>
      <w:r>
        <w:t>(280) On June 5, 2012, the contract was awarded to SAG109 for an amount of 1,920,837.23 euros, including VAT, which represents a 25% discount compared to the budgeted amount for lot 6.</w:t>
      </w:r>
    </w:p>
    <w:p>
      <w:r>
        <w:t>(281) SAG thus had information about the content of the specifications before they were public (folio 10978).</w:t>
      </w:r>
    </w:p>
    <w:p>
      <w:r>
        <w:t>(282) As previously stated, the contracting of these services had fallen in previous tenders to the UTE INDRA/SAG. After the call for the tender, INDRA intended to maintain its percentage of participation. This is stated in an internal email dated March 9, 2012, in which it also indicates that if SAG does not want "then we understand it but we would present ourselves alone" (folio 7367).</w:t>
      </w:r>
    </w:p>
    <w:p>
      <w:r>
        <w:t>(283) On March 13, 2012, in an internal email from SAG, with the subject "Inss-information on the specifications", reference is made to the status of negotiations with INDRA, and to the "possible alternatives in the event of a refusal".</w:t>
      </w:r>
    </w:p>
    <w:p>
      <w:r>
        <w:rPr>
          <w:b/>
        </w:rPr>
        <w:t>[Pages 82–84]</w:t>
      </w:r>
    </w:p>
    <w:p>
      <w:r>
        <w:t>“on their part.” In that context, it is noted that the following day they have a “meeting with Oesia to discuss the specifications and seek an alliance that allows us to be more competitive.” It is also mentioned that they were encouraged by the INSS procurement department to present themselves “to be a second option in case Indra is awarded” (folio 10979).</w:t>
      </w:r>
    </w:p>
    <w:p>
      <w:r>
        <w:t>(284) The attempts to reach an agreement with OESIA were unsuccessful, and SAG ultimately submitted an offer for lots 2 and 3 in a UTE with BABEL, resulting in being awarded both lots (folio 4424).</w:t>
      </w:r>
    </w:p>
    <w:p>
      <w:r>
        <w:t>(285) No agreement was reached between INDRA and SAG, as both submitted separately. INDRA submitted a solo bid for lots 1, 2, 3, and 6, and was awarded lot 1 (folios 4424 and 4425). SAG submitted a solo bid for lot 6 (in addition to lots 2 and 3 with BABEL), of which it was awarded, as previously noted. Among the subcontracted companies by SAG for the “ATRIUM Project,” INDRA is not included (folio 4425).</w:t>
      </w:r>
    </w:p>
    <w:p>
      <w:r>
        <w:t>(286) On June 28, 2012, the contract for lot 6110 was formalized.</w:t>
      </w:r>
    </w:p>
    <w:p>
      <w:r>
        <w:t>(287) In INDRA's commercial report from June 24 to June 28, 2012, reference is made to this tender, indicating that SAG won lot 6 with a 25% discount (INDRA offered a 22.29% discount), whereas in the case of tender 60/VC-50/10 ATRIUM, which they won in 2010, the offer from INDRA and SAG as awardees represented a 5% discount on the total amount of the tender (folios 8772 and 4423).</w:t>
      </w:r>
    </w:p>
    <w:p>
      <w:r>
        <w:t>b) Tenders related to ADABAS/NATURAL</w:t>
      </w:r>
    </w:p>
    <w:p>
      <w:r>
        <w:t>(288) The announcement of the open procedure tender for file 392/CP-40/05, related to the contracting of IT services for maintenance and development tasks of the Natural-Adabas, Olap, and Electronic Services environment, was published on June 24, 2005, in BOE number 150.</w:t>
      </w:r>
    </w:p>
    <w:p>
      <w:r>
        <w:t>(289) The expected duration of the contract was 24 months and it was not divided into lots.</w:t>
      </w:r>
    </w:p>
    <w:p>
      <w:r>
        <w:t>(290) The tender budget was €10,168,510.40 and was awarded on November 28, 2005, to the UTE formed by the companies SAG/ATOS/INDRA/CIBERNOS for €8,643,224, that is, with a 15% discount on the tendered amount.</w:t>
      </w:r>
    </w:p>
    <w:p>
      <w:r>
        <w:t>(291) In relation to this tender, on July 11, 2005, ATOS sent INDRA and SAG the prior agreement for the establishment of a UTE for the INSS tender (folio 9819).</w:t>
      </w:r>
    </w:p>
    <w:p>
      <w:r>
        <w:t>(292) Likewise, on September 2, 2005, the collaboration agreement between SAG, CIBERNOS, ATOS, and INDRA was signed (folio 9871).</w:t>
      </w:r>
    </w:p>
    <w:p>
      <w:r>
        <w:t>(293) The statutes of the UTE are documented in an internal email from SAG dated November 23, 2005 (folio 9820). The participation percentages of the companies in the UTE were: SAG 51%, ATOS 19%, INDRA 15%, and CIBERNOS 15% (folios 9825 and 9830).</w:t>
      </w:r>
    </w:p>
    <w:p>
      <w:r>
        <w:t>(294) The award to the UTE formed by SAG, INDRA, CIBERNOS, and ATOS occurred on November 28, 2005, and was published in the BOE on December 19, 2005.</w:t>
      </w:r>
    </w:p>
    <w:p>
      <w:r>
        <w:t>(295) On December 12, 2005, the agreement for the establishment of the UTE was signed before a notary (folio 9873).</w:t>
      </w:r>
    </w:p>
    <w:p>
      <w:r>
        <w:t>(296) At the end of 2007, the theoretical duration of the contract 392/CP-40/05, which was 24 months, was concluding. However, the DC considers it established that a contract extension occurred (folio 7193).</w:t>
      </w:r>
    </w:p>
    <w:p>
      <w:r>
        <w:t>(297) The continuation of file 392/CP-40/05 was tender 60/VC-28/10 “IT services necessary for the maintenance and development tasks in the projects and applications of the Entity.” On August 13, 2009, the announcement of the tender was published in the BOE and in the DOUE.</w:t>
      </w:r>
    </w:p>
    <w:p>
      <w:r>
        <w:t>(298) The expected execution period was 24 months, extendable. The base tender budget was €11,781,143.56 (VAT included) and was awarded to the same UTE as the previous file (SAG/INDRA/ATOS/CIBERNOS) for €10,601,338.46, that is, with a 10% discount on the total tendered amount. The award was published on December 19, 2009.</w:t>
      </w:r>
    </w:p>
    <w:p>
      <w:r>
        <w:t>(299) The UTE SAG/INDRA/ATOS/CIBERNOS was the only one to submit an offer for tender 60/VC-28/10 (folio 4423).</w:t>
      </w:r>
    </w:p>
    <w:p>
      <w:r>
        <w:t>(300) In relation to this contract, on September 2, 2009, SAG summoned ATOS, CIBERNOS, and INDRA to a meeting on September 8, 2009, for the submission of the offer. As noted in the email, “the objective of the meeting is to set the discount to be applied by the UTE and thus finalize the collaboration agreement among the participating companies” (folios 5612 and 5613).</w:t>
      </w:r>
    </w:p>
    <w:p>
      <w:r>
        <w:t>(301) On September 3, 2009, in an internal email from INDRA, it is mentioned that in the case of the INSS tender “by express indication of the client, a continuity UTE with SAG, ATOS, INDRA, and CIBERNOS will be proposed. It has been decided not to dispense with ATOS as the client has suggested continuity very clearly. Therefore, our participation remains at 15% and the expected revenues will be around €1.2 million over two years. The margin is still an unknown as the price will be decisive based on how the tender has turned out. This Tuesday we will hold a meeting to set the price” (folio 9539).</w:t>
      </w:r>
    </w:p>
    <w:p>
      <w:r>
        <w:t>(302) The usual collaboration agreement among SAG, ATOS, INDRA, and CIBERNOS and the commitment to establish the UTE in case of award is documented (folios 5616 to 5629). The agreement includes the participation percentages that are maintained regarding the tender to which they are continuing (folios 6621 and 7194).</w:t>
      </w:r>
    </w:p>
    <w:p>
      <w:r>
        <w:t>(303) On September 14, 2009, INDRA communicated to SAG its agreement with the economic offer and considered that they should leave two complete signed sets, one with a 13% discount and another with a 10% discount, and decide when they had all the information (folio 10814). As previously indicated, the discount offered by the UTE was ultimately 10%.</w:t>
      </w:r>
    </w:p>
    <w:p>
      <w:r>
        <w:t>(304) Three days later, on September 17, 2009, INDRA wrote to the other UTE members, indicating that it had confirmed that ENTEL, EVERIS, and GESEIN were not submitting bids (folios 5643 and 5645) and that ACCENTURE had a prepared offer (folio 5644). ATOS confirmed in its response the information regarding ENTEL and mentioned that OESIA was also not submitting a bid (folio 5644).</w:t>
      </w:r>
    </w:p>
    <w:p>
      <w:r>
        <w:t>(305) In relation to this tender (ADABAS/NATURAL), in an internal email from INDRA dated September 18, 2009, it is reported that they maintain the UTE configuration with SAG, ATOS, and CIBERNOS “by express indication of the client” (folio 7194).</w:t>
      </w:r>
    </w:p>
    <w:p>
      <w:r>
        <w:t>(306) The agreement among SAG, ATOS, INDRA, and CIBERNOS for this tender involved the continuation of the four companies in the same procedure for 9 years, as indicated by SAG in an internal email dated February 9, 2011 (folio 5897). Additionally, the agreement stipulates that CIBERNOS will not invoice the UTE but SAG, with an average mark-up of 13%. This circumstance is emphasized in the email stating that “Both [personal data] and [personal data] consider that it is not legal for Cibernos not to invoice the UTE and consequently consider that the agreement is not valid.” It is proposed to resolve the issue by</w:t>
      </w:r>
    </w:p>
    <w:p>
      <w:r>
        <w:rPr>
          <w:b/>
        </w:rPr>
        <w:t>[Pages 85–87]</w:t>
      </w:r>
    </w:p>
    <w:p>
      <w:r>
        <w:t>mechanisms of subcontracting which "would allow us to maintain practically the current situation, invoicing a small amount directly from Cibernos to the UTE." (folios 5897 to 5899).</w:t>
      </w:r>
    </w:p>
    <w:p>
      <w:r>
        <w:t>(307) The contract was awarded to the UTE SAG/INDRA/ATOS/CIBERNOS, the only offer submitted, who subcontracted services to a wide number of companies (folio 4423).</w:t>
      </w:r>
    </w:p>
    <w:p>
      <w:r>
        <w:t>c) Other IT products and services for the INSS</w:t>
      </w:r>
    </w:p>
    <w:p>
      <w:r>
        <w:t>(308) As previously noted, both in the context of the ATRIUM Project and ADABAS/NATURAL, given the duration of the contracts and their successive extensions, there are no records of tender calls from 2005 to 2009.</w:t>
      </w:r>
    </w:p>
    <w:p>
      <w:r>
        <w:t>(309) However, in the interim period between the aforementioned tenders, there were contracts for other IT services and products by the INSS for which agreements between certain companies are also recorded.</w:t>
      </w:r>
    </w:p>
    <w:p>
      <w:r>
        <w:t>(310) In this context, on July 10, 2007, SAG became aware of the upcoming call for a tender for 5 lots of IT services for the INSS for a period of 24 months starting from May 1, 2008 (folio 9970). Regarding lot 3 (Progrespress), SAG comments that they would be happy "to make a joint offer" with ATOS.</w:t>
      </w:r>
    </w:p>
    <w:p>
      <w:r>
        <w:t>(311) If the award is "manageable," SAG also considers asking for a percentage from INDRA, then the awardee of those services, indicating "let's not forget that in the case of Atrium it was 25% just because, and in the case of the IT Tender we gave them 15% when since 1999 they have never had a presence in the INSS in anything other than Progespress. We should "ask them" for at least 15% so that they tell us no." Additionally, they consider asking for the INSS's opinion, to know if they want them to submit to any "or expressly wish that we are not bothersome competitors" (folios 9968 and 9969).</w:t>
      </w:r>
    </w:p>
    <w:p>
      <w:r>
        <w:t>(312) On July 13, 2007, SAG continued to analyze its strategy internally and considers a UTE with ATOS for lot 2 (Project Office), 80% ATOS / 20% SAG, a UTE with IECISA for lots 4 (Document Management and Registration) and 5 (Call Center and Telematics) and a UTE with INDRA for lot 3 (Progexpress), 85% INDRA / 15% SAG. The previous scenario proposed internally by SAG is on the assumption that INDRA "gives them a chance." In the event of a lack of agreement with INDRA, SAG considers a UTE with ATOS and THALES118 (50% SAG, 25% ATOS, and 25% THALES) for lot 3. Furthermore, SAG internally indicates its intention to start sounding out companies like IECISA and THALES (folios 9967 and 9968) (folio 9967).</w:t>
      </w:r>
    </w:p>
    <w:p>
      <w:r>
        <w:t>118 CONNECTIS.</w:t>
      </w:r>
    </w:p>
    <w:p>
      <w:r>
        <w:t>(313) In these internal discussions, SAG takes into account who the awardees are at that moment and the compensations of some lots for others. Thus, for example, in the case of lot 2, for which the awardee was ATOS, it is stated internally that SAG should "negotiate that if we submit an offer in other lots, we also participate in this one, even if it is a smaller percentage (e.g., 75/25)" since SAG considers it a lot with future projection in which ATOS would be the awardee "with a correct offer" (folios 9968 and 9969).</w:t>
      </w:r>
    </w:p>
    <w:p>
      <w:r>
        <w:t>(314) On September 18, 2007, a meeting took place between SAG, INDRA, ATOS, and THALES (CONNECTIS) (folio 9974). The following day, SAG contacted ATOS to, as discussed in the meeting the previous day, arrange to "attempt a possible joint strategy in the INSS tender," agreeing to meet on September 26, 2007 (folio 9977).</w:t>
      </w:r>
    </w:p>
    <w:p>
      <w:r>
        <w:t>(315) On January 16, 2008, tender number 60/CP-29/08 was announced in the BOE, the object of which was the contracting of IT services related to the maintenance and development of the projects and applications of the INSS.</w:t>
      </w:r>
    </w:p>
    <w:p>
      <w:r>
        <w:t>(316) The expected duration of the contract was 24 months, it was divided into five lots119, the bidding budget was 9,878,880 euros120 and offers could be submitted until February 15, 2008.</w:t>
      </w:r>
    </w:p>
    <w:p>
      <w:r>
        <w:t>(317) The award took place on April 14, 2008 (folio 4422).</w:t>
      </w:r>
    </w:p>
    <w:p>
      <w:r>
        <w:t>(318) SAG was awarded lot 2, with a 25% discount, although it ultimately did not submit in a UTE with ATOS, as indicated in its strategic proposal, but with NEORIS. However, ATOS appears as the only subcontracted company for that lot (folio 4422). ATOS had submitted an independent offer for an amount higher than that presented by SAG (other companies such as INDRA, GESEIN, CGI, or EVERIS also submitted offers).</w:t>
      </w:r>
    </w:p>
    <w:p>
      <w:r>
        <w:t>(319) In lot 3, they did not submit in a UTE with INDRA, who was awarded in a UTE with THALES (folio 4422).</w:t>
      </w:r>
    </w:p>
    <w:p>
      <w:r>
        <w:t>(320) As SAG anticipated in its predictions, IECISA was awarded lots 4 and 5, with a discount of 3.1% and 5% respectively121 (folio 4422).</w:t>
      </w:r>
    </w:p>
    <w:p>
      <w:r>
        <w:t>119 Lot I: EIS Applications; Lot II: Project Office; Lot III: Maintenance of PROGRESPRESS systems (Carpa E IRIS); Lot IV: Document Management and Registration; Lot V: Maintenance and new developments of the Call Center and Telematics.</w:t>
      </w:r>
    </w:p>
    <w:p>
      <w:r>
        <w:t>120 The budget was divided among the lots: Lot I: 500,614.40 euros; Lot II: 1,238,828.80 euros; Lot III: 4,637,036.80 euros; Lot IV: 2,056,454.40 euros; Lot V: 1,445,945.60 euros. The announcement in the BOE does not refer to whether these amounts include VAT or not, but since it refers to total amounts and not net amounts, it is interpreted that the previous amounts include VAT.</w:t>
      </w:r>
    </w:p>
    <w:p>
      <w:r>
        <w:t>121 Own calculations based on data from table folio 4422.</w:t>
      </w:r>
    </w:p>
    <w:p>
      <w:r>
        <w:t>6. INSTITUTO CERVANTES</w:t>
      </w:r>
    </w:p>
    <w:p>
      <w:r>
        <w:t>(321) In relation to the Instituto Cervantes, in November 2011, there is an internal email from INDRA indicating that "months ago INDRA raised an opportunity at the Instituto Cervantes (new client) with Oracle's Hyperion product." The project consisted of the supply of licenses and implementation of Oracle's Hyperion product in the aforementioned Public Body. According to INDRA, "although the price is not relevant (50,000 pvp licenses + approximately 125,000 development) it is relevant that for INDRA it is a new client and for Hyperion its first reference of this product in the Spanish public administration" (folio 7225).</w:t>
      </w:r>
    </w:p>
    <w:p>
      <w:r>
        <w:t>(322) The project referred to by INDRA corresponds to file G-2011/11-0011, "Supply of the Hyperion Planning Plus product for the preparation, modification, control, and monitoring of the budget of the Instituto Cervantes," which was contracted through a negotiated procedure without publicity (folio 977).</w:t>
      </w:r>
    </w:p>
    <w:p>
      <w:r>
        <w:t>(323) In its internal email, INDRA indicates that "when bidding for the first part, which is the supply of licenses, due to the type of procedure (negotiated), it was necessary to "invite" 2 other bidders in addition to INDRA, logically protecting INDRA's interests in the process" (folio 7225).</w:t>
      </w:r>
    </w:p>
    <w:p>
      <w:r>
        <w:t>(324) The deadline for submitting offers was three days later, on November 28, 2011 (folio 977) and according to INDRA the situation was that "Oracle has invited 2 other large suppliers (we do not know the name) competitors of INDRA, and decides not to "control" the process ensuring that INDRA's conditions are more favorable for them to win the offer. They have been asked to suggest to the other 2 not to submit an offer or that their final price exceeds that of INDRA. Oracle has refused to do so, allowing the opportunity to be won by the supplier who offers the best final price to the client (the weight of price in the bidding process is 80%)" (folio 7225).</w:t>
      </w:r>
    </w:p>
    <w:p>
      <w:r>
        <w:t>(325) INDRA is upset given that whoever "wins the supply acquires the best position to win the subsequent implementation offer" and considers that Oracle is leaving them in the hands of the competition (folio 7225). This stance of Oracle is described as disloyalty, as the "preference" for INDRA is not respected (folio 7229).</w:t>
      </w:r>
    </w:p>
    <w:p>
      <w:r>
        <w:t>(326) Given the proximity of the deadline for submitting the economic offer, INDRA sets a limit of Monday, November 28, 2011, at 9 in the morning for "Oracle to commit to 'manage' the other two competitors" (folio 7227).</w:t>
      </w:r>
    </w:p>
    <w:p>
      <w:r>
        <w:t>(327) The efforts by INDRA begin (folios 7231 to 7233) and in the early hours of November 27 to 28, 2011, INDRA wrote to Oracle indicating that on the 28th the offer for the Instituto Cervantes would be submitted and that "we do not know if you have finally been able to manage the other 2 partners you invited to the tender to avoid competition in an opportunity facilitated by INDRA to Oracle" (folio 7237).</w:t>
      </w:r>
    </w:p>
    <w:p>
      <w:r>
        <w:rPr>
          <w:b/>
        </w:rPr>
        <w:t>[Pages 88–90]</w:t>
      </w:r>
    </w:p>
    <w:p>
      <w:r>
        <w:t>response from Oracle "to make the appropriate decisions regarding the economic offer and INDRA's strategy in future opportunities" (folio 7237).</w:t>
      </w:r>
    </w:p>
    <w:p>
      <w:r>
        <w:t>(328) Despite the pressures, it seems that Oracle does not yield as it does not disclose the other two bidders and informed INDRA that "at least one of them will submit the offer at the price that suits them best" (folio 7237).</w:t>
      </w:r>
    </w:p>
    <w:p>
      <w:r>
        <w:t>(329) According to the information provided by the Instituto Cervantes, the contract was awarded to INDRA on November 29, 2011, for 56,000 euros (excluding VAT), which represents a 6.5% discount compared to the 59,900 euros (excluding VAT) tendered. The bidding procedure also included the GFI informática group and Novopraxis Sol Negocio S.L, although the latter ultimately did not submit an economic offer (folio 977).</w:t>
      </w:r>
    </w:p>
    <w:p>
      <w:r>
        <w:t>(330) The implementation project of this project was tendered through competition 25/2012 of file G-2012/04-0011 "Contracting of analysis, development, and implementation services of an integrated budget management system for the Instituto Cervantes," which was awarded to INDRA on April 20, 2012, with an offer of 111,658.85 euros (excluding VAT), for a maximum bidding budget of 120,000 euros (excluding VAT), which implies a discount of 6.95%. Of the four bidders that initially participated in the tender, the other three (GMV Soluciones Globales Internet, CAP Gemini España, and Help Info) ultimately did not submit an economic offer (folio 977).</w:t>
      </w:r>
    </w:p>
    <w:p>
      <w:r>
        <w:t>7. COVERAGE OFFERS AND OTHER AGREEMENTS BETWEEN COMPANIES IN VARIOUS PUBLIC ORGANISMS</w:t>
      </w:r>
    </w:p>
    <w:p>
      <w:r>
        <w:t>(331) On September 14, 2010, ATOS requested via email a coverage offer from SAG for the tender of contract 25/2002 for development services for the Ministry of the Interior. ATOS indicated that it had "confirmed with the client that they need you to submit an offer for the maximum bidding amount" and offered to complete the offer on behalf of SAG to minimize their effort (folios 5778 to 5791). SAG accepted ATOS's offer (folio 5792). The client, that is, the Ministry of the Interior, "needs the companies to submit the offer to avoid problems with the intervention" (folio 5792).</w:t>
      </w:r>
    </w:p>
    <w:p>
      <w:r>
        <w:t>(332) The information provided by the Ministry of the Interior confirms that in September 2010, offers were submitted for the contracts of "Adaptation of the content management application of the Ministry of the Interior" and "Adaptation and modification of the comprehensive management application for complaints and suggestions of the Ministry of the Interior." Both contracts were awarded to ATOS, with offers of 21,194.69 euros each122, and in both, IECISA and SAG submitted higher offers than ATOS (folio 4420), with a maximum bidding budget of 25,000 euros123 each.</w:t>
      </w:r>
    </w:p>
    <w:p>
      <w:r>
        <w:t>(333) In February 2011, ATOS requested via email a new coverage offer from SAG for the Ministry of the Interior. The mechanism was the same, SAG offered the maximum bidding price to ensure that it could not win the tender (folios 5895 and 5896). According to the information provided by the Ministry of the Interior, in February 2011, offers were submitted for contract M-11-015 "Adaptation of the document registration forms application of the secretariats of the Ministry of the Interior," a tender awarded to ATOS (with an offer of 133,574.94 euros124) and to which SAG and IECISA also submitted offers (folio 4442). The maximum bidding budget was 135,000 euros125.</w:t>
      </w:r>
    </w:p>
    <w:p>
      <w:r>
        <w:t>(334) In the same vein, and in relation to the provision of services to the Ministry of Health, on June 27, 2011, INDRA requested via email a support offer from CIBERNOS for the tender of the Ministry of Health, Social Policy, and Equality for the "Technical Assistance Services in the Development of Web Content for Equality." INDRA was responsible for drafting the technical and economic offer on behalf of CIBERNOS. As it is a negotiated procedure without publicity, a lot of company documentation is requested, so CIBERNOS suggests dismissing the submission and communicating it to the agency, but INDRA responds that the agency has indicated that it is necessary to submit them without the dismissal being sufficient. On July 1, 2011, CIBERNOS informed INDRA via email that they had already prepared the offer (folios 9686 to 9690).</w:t>
      </w:r>
    </w:p>
    <w:p>
      <w:r>
        <w:t>(335) On October 7, 2014, SAG requested via email a coverage offer from CIBERNOS for a minor contract in the Ministry of Education, Culture, and Sports (MECD), and CIBERNOS accepted on October 9, 2014. SAG drafted the offer to be submitted by CIBERNOS (folios 6535, 6539, and 6543 to 6549). The contract for "Technical assistance for the optimization of the centralization of TIC services of state museums of the MECD" (file 14/079EF) was awarded directly to SAG on October 21, 2014, with an offer of 17,500 euros (excluding VAT) (an amount that coincides with the bidding budget), with alternative offers from CIBERNOS and ATOS, with prices higher than SAG's (folio 4440). At the same time, CIBERNOS and SAG were managing the subcontracting</w:t>
      </w:r>
    </w:p>
    <w:p>
      <w:r>
        <w:t>(336) to SAG of 48.15% of a contract at the INE, of which CIBERNOS is the awardee in UTE (folio 6543).</w:t>
      </w:r>
    </w:p>
    <w:p>
      <w:r>
        <w:t>(337) On October 24, 2014, SAG requested via email a new coverage offer from CIBERNOS for a couple of minor contracts at the University of Barcelona, to which CIBERNOS agreed that same day (folios 6617 and 6618).</w:t>
      </w:r>
    </w:p>
    <w:p>
      <w:r>
        <w:t>(338) On March 2, 2015, SAG again requested via email a coverage favor from CIBERNOS for a couple of minor contracts from the Ministry of Finance and Public Administrations, attaching the already drafted offer to avoid them efforts (folios 6930 to 6935). In one case, it involves submitting an offer with a price higher than SAG's, and in the other, it has to communicate that it will not ultimately submit an offer (folio 6957).</w:t>
      </w:r>
    </w:p>
    <w:p>
      <w:r>
        <w:t>(339) In May 2015, SAG requested a new support offer from CIBERNOS for the MECD (folios 7044 to 7052). On May 13, 2015, SAG was awarded the contract for "Technical assistance for the optimization of the Oracle database infrastructure in high availability for the scholarship system of the MECD" (file 15/045EF), with an offer of 17,950 euros (excluding VAT) (coinciding with the bidding budget). The other two bidding companies were CIBERNOS and BABEL, who offered the same price (17,980 euros, excluding VAT), above that of SAG (folio 4440).</w:t>
      </w:r>
    </w:p>
    <w:p>
      <w:r>
        <w:t>(340) That same year, on October 21, 2015, SAG requested via email another support offer from CIBERNOS, this time for the Instituto Cervantes. SAG indicated to CIBERNOS that this entity was going to receive two other invitations from other companies for support, but that in this case it is for CIBERNOS to win file 15/078 of Migration Protozoo Instituto Cervantes, indicating the budget and the amount that CIBERNOS must allocate to be awarded (32,000 euros126) and which represents a decrease of 11.6% compared to the project budget (36,200 euros127) (folio 9737).</w:t>
      </w:r>
    </w:p>
    <w:p>
      <w:r>
        <w:t>(341) Apart from the aforementioned coverage offers, it has been evidenced in the reference file that certain companies do each other favors in cases of centralized procurement procedures, such as the use of the keys of Patrimonio and the name of other companies to submit offers for those cases in which they could not due to not having those keys. The company that officially submits the offer is not the one executing the contract, but rather the one that has borrowed the keys.</w:t>
      </w:r>
    </w:p>
    <w:p>
      <w:r>
        <w:rPr>
          <w:b/>
        </w:rPr>
        <w:t>[Pages 91–93]</w:t>
      </w:r>
    </w:p>
    <w:p>
      <w:r>
        <w:t>(341) It is important to clarify that the centralized acquisition of goods and services is carried out through the General Directorate of State Heritage via the Framework Agreements for each type of good or service. In the first phase of this procedure, companies offer their products or services, with those meeting the requirements established in the corresponding administrative clauses being accepted and incorporated into a catalog. Each awarded company receives keys (the so-called Heritage keys, which are of great value and interest to the companies) that facilitate their participation in the second phase of the procedure, which consists of a new bidding among the companies capable of providing the specific service requested by a certain body or agency. For certain development and maintenance services of applications, the procedure AM 26/11 was processed, hence the companies' references to the Heritage catalog 26.</w:t>
      </w:r>
    </w:p>
    <w:p>
      <w:r>
        <w:t>(342) With the documentation in the reference file, various behaviors have been evidenced that fit the practice of "borrowing" the Heritage keys from other companies.</w:t>
      </w:r>
    </w:p>
    <w:p>
      <w:r>
        <w:t>(343) Among them are the internal emails from SAG dated January 28 and 29, 2013, where a global agreement is discussed whereby SAG borrows (purchases) its Heritage keys from ATOS. For SAG, the best option is to "act as subcontractors of a project awarded to another," although they raise the issue that subcontracting is expressly excluded from the contracts by Heritage, although they indicate that this is precisely what they are going to do: "they will be the signatories but all or part of the service will be provided by us" (folios 6147 to 6149).</w:t>
      </w:r>
    </w:p>
    <w:p>
      <w:r>
        <w:t>(344) In an internal email from SAG dated February 11, 2013, a draft agreement is attached whereby ATOS will appear as the main contractor in the files that arise, subcontracting the work awarded to ATOS to SAG. The agreement includes an exclusivity clause lasting one year, extendable by agreement between the parties, and the commitment that they will not disclose to third parties the existence of this collaboration (folios 6150 to 6161).</w:t>
      </w:r>
    </w:p>
    <w:p>
      <w:r>
        <w:t>(345) On the other hand, in an internal email from SAG dated July 24, 2013, the topic of SAG's agreements with ATOS for Catalog 26 (AM 26/11 of Heritage) is addressed, noting that various document options have been considered to formalize the agreement and that the model changes have been proposed by ATOS. According to the internal email, SAG and ATOS met on March 20. SAG expressed annoyance because ATOS did not want to sign subsequent subcontracting contracts in case the collaboration agreement was signed, and for SAG, "the spirit of the document we were discussing is not to regulate the contracting but the basis of how, in case we are awarded, we would relate," indicating that signing a subsequent subcontracting contract is "what we have always done for public administration and with them" (folios 6246 and 6247).</w:t>
      </w:r>
    </w:p>
    <w:p>
      <w:r>
        <w:t>(346) In this context, it is striking that in practically all (except for one) contracts for the development and maintenance of information systems processed by the Subsecretariat of the MECD, contracted through centralized acquisition under the Framework Agreement 26/2011 of the General Directorate of State Heritage, which were awarded to ATOS since 2013, SAG was subcontracted for the provision of services (folios 4431 to 4438).</w:t>
      </w:r>
    </w:p>
    <w:p>
      <w:r>
        <w:t>(347) Occasionally, requests for favors of this type lead to conflicts between companies. This is the case of SAG with BABEL.</w:t>
      </w:r>
    </w:p>
    <w:p>
      <w:r>
        <w:t>(348) According to SAG in an internal email dated January 22, 2009, SAG sent the details of an opportunity at the Ministry of Environment and Rural and Marine Affairs at the beginning of 2009. "At the indication of the project manager," they send "the details of two other companies that should not submit an offer or that it should be more expensive." Among those companies is BABEL, with whom they discuss prices, agreements between the companies, etc. In the end, BABEL submitted a slightly lower offer than SAG's, thus becoming the awardee of the project (folio 10776), which had a budgeted amount of about 60,000 euros. This type of behavior from BABEL would not be new, but SAG itself clarifies that it is possible that the Ministry itself is behind BABEL submitting an offer 200 euros cheaper and that in that award BABEL "will maintain the prior agreement of one person from BABEL and another from SAG as before and that regarding the publication of a larger-scale tender they express their intention to attend forming a UTE" (folio 10775).</w:t>
      </w:r>
    </w:p>
    <w:p>
      <w:r>
        <w:t>(349) In the internal analysis that SAG makes of the situation, it is indicated that it is like what happens with other companies: "we find that everyone wants to grow at the expense of what exists and sometimes that which exists belongs to another, at least prima facie" (folio 10781).</w:t>
      </w:r>
    </w:p>
    <w:p>
      <w:r>
        <w:t>(350) SAG concludes that the issue should not lead to a break with BABEL, although "BABEL must take care of its relationship with SAG based mainly on measuring its loyalty and commercial aggressiveness" and they indicate that they will maintain a conversation with BABEL "urging them to review their methods, otherwise they will stop collaborating with us" (folio 10784).</w:t>
      </w:r>
    </w:p>
    <w:p>
      <w:r>
        <w:t>V. LEGAL GROUNDS</w:t>
      </w:r>
    </w:p>
    <w:p>
      <w:r>
        <w:t>FIRST. COMPETENCE TO RESOLVE</w:t>
      </w:r>
    </w:p>
    <w:p>
      <w:r>
        <w:t>According to Article 5.1.c) of Law 3/2013, of June 4, creating the National Commission of Markets and Competition (LCNMC), the CNMC is responsible for "applying the provisions of Law 15/2007, of July 3, regarding behaviors that imply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Competition Chamber of the Council must resolve in this file, based on the instruction carried out by the Competition Directorate as reflected in the report and resolution proposal, whether the investigated practices constitute an infringement of Article 1 of the LDC and Article 101 of the TFEU.</w:t>
      </w:r>
    </w:p>
    <w:p>
      <w:r>
        <w:t>Regarding the applicable national regulations, this file refers to a series of practices carried out during the validity of Law 16/1989 and the LDC.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price fixing or other commercial conditions and the allocation of the market or sources of supply.</w:t>
      </w:r>
    </w:p>
    <w:p>
      <w:r>
        <w:t>As noted on previous occasions, applying one legal provision or another could be considered indifferent given their practical identity, although, in accordance with the provisions of Article 128 of Law 30/1992, of November 26, on the Legal Regime of Public Administrations and Common Administrative Procedure (LRJPAC), the applicable regulations must be the one that is more beneficial for the infringer in the specific case, in accordance with the principles of non-retroactivity of the more unfavorable sanctioning norm and retroactivity of the more favorable one. Notwithstanding that the behavior regulated by the respective Article 1 of the aforementioned laws is identical, according to the current Article 26 of Law 40/2015, of October 1, on the Legal Regime of the Public Sector.</w:t>
      </w:r>
    </w:p>
    <w:p>
      <w:r>
        <w:rPr>
          <w:b/>
        </w:rPr>
        <w:t>[Pages 94–96]</w:t>
      </w:r>
    </w:p>
    <w:p>
      <w:r>
        <w:t>National Court132 and with the precedents of this CNMC133, in this case, the sanctioning regime designed by Law 15/2007 is, from a global perspective, more favorable to the offenders than that contemplated by Law 16/1989.</w:t>
      </w:r>
    </w:p>
    <w:p>
      <w:r>
        <w:t>This appreciation of Law 15/2007 as the more favorable law results, among other elements of judgment, from the non-existent system of grading infractions in the previous legislation, the establishment of maximum limits on the amount of some sanctions of a lower amount than the general one provided for by Article 10 of Law 16/1989, the reduction of the limitation periods for some of the classified behaviors, or the possibility, common to all those who have participated in a cartel, to request exemption from the payment of the fine or reduction of the amount of the fine under the leniency program, introduced precisely by Law 15/2007.</w:t>
      </w:r>
    </w:p>
    <w:p>
      <w:r>
        <w:t>In light of this, Law 15/2007 is, in general, the applicable norm to the present sanctioning procedure.</w:t>
      </w:r>
    </w:p>
    <w:p>
      <w:r>
        <w:t>On the other hand, this Chamber is also favorable to the application of Article 101 of the TFEU.</w:t>
      </w:r>
    </w:p>
    <w:p>
      <w:r>
        <w:t>As indicated in the definition of the affected markets, the market for information technology, also referred to as software development and maintenance, although traditionally defined in the precedents of the European Union as national in scope, shows a clear trend towards internationalization. Thus, the fact that most of the companies involved are multinationals and that they carry out their activities in various countries, participating in tenders and bids from other European states, affects their potential involvement in cross-border activities.</w:t>
      </w:r>
    </w:p>
    <w:p>
      <w:r>
        <w:t>Furthermore, the agreements and coordinated practices evidenced in this file may have impacted the ability of third operators, both national and European, to compete in the public tenders affected, which is why it is considered that the requirement of affecting trade within the European Union is met.</w:t>
      </w:r>
    </w:p>
    <w:p>
      <w:r>
        <w:t>On the other hand, regarding the requirement of appreciability134, this is also met, considering the number of companies involved in the agreements, the market share they collectively represent, the affected business volumes, and that the investigated behaviors affect all of Spain, which constitutes a significant part of the internal market.</w:t>
      </w:r>
    </w:p>
    <w:p>
      <w:r>
        <w:t>In short, the criteria for possible impact on trade between Member States developed in the European Commission's Communication on guidelines relating to the concept of effect on internal trade in the European Union are met, allowing for the application of Article 101 TFEU for the purposes of this file.</w:t>
      </w:r>
    </w:p>
    <w:p>
      <w:r>
        <w:t>THIRD. PROPOSAL FOR RESOLUTION OF THE INSTRUCTING BODY</w:t>
      </w:r>
    </w:p>
    <w:p>
      <w:r>
        <w:t>Once the sanctioning procedure has been instructed, the Directorate of Competition considers that several companies operating in the information technology market in Spain have reached agreements and coordinated practices for the allocation, price fixing, or other commercial conditions and the exchange of sensitive commercial information.</w:t>
      </w:r>
    </w:p>
    <w:p>
      <w:r>
        <w:t>Regarding the qualification of the behaviors, the Directorate of Competition considers that the agreements and coordinated practices constitute a single and continuous infringement classified under Article 1 of the LDC, as well as under Article 101 of the TFEU, to the extent that they obey a common strategy and purpose of market allocation, price fixing, or other commercial conditions and the exchange of sensitive commercial information, aimed at maintaining the pre-existing competitive situation in various public tenders for information technology services in Spain. The first accredited practices date back to 2005, and some contracts would still be in force.</w:t>
      </w:r>
    </w:p>
    <w:p>
      <w:r>
        <w:t>For the Directorate of Competition, these agreements and coordinated practices have had a restrictive object and effect, at least potentially, on competition, by artificially and unjustifiably reducing competition among companies in public tenders for the contracting of information technology services called by various public administrations in Spain, in order to maintain the pre-existing situation regardless of the evolution of the capabilities of the different companies, the needs of the administration, and the configuration of the affected public tenders.</w:t>
      </w:r>
    </w:p>
    <w:p>
      <w:r>
        <w:t>The Directorate of Competition holds the following companies responsible for the aforementioned behaviors: Accenture, S.L and Accenture Outsourcing Services, S.A. (jointly, ACCENTURE); Aldebarán Tecnologías de la Información, S.L. (ALDEBARAN); Atos Spain, S.A. (ATOS); Axpe Consulting, S.L. (AXPE); Babel Sistemas de Información, S.L (BABEL); Cibernos Consulting, S.A. (CIBERNOS); Connectis ICT Services, S.A. (CONNECTIS); Everis Spain, S.L. (EVERIS); Gesein, S.L. (GESEIN); International Business Machines, S.A. (IBM); Informática El Corte Inglés, S.A. (IECISA); Indra Sistemas, S.A. and Indra Software Labs, S.L. (jointly, INDRA); Next Computer Services, S.A. (NEXT); Software AG España, S.A. (SAG).</w:t>
      </w:r>
    </w:p>
    <w:p>
      <w:r>
        <w:t>Regarding the severity of the infringement, the Directorate of Competition proposes that the aforementioned companies be sanctioned for committing a very serious infringement, constitutive of a cartel, in accordance with the provisions of Article 62.4.a) of the LDC, as they are agreements and coordinated practices between competing companies that are contrary to Articles 1 LDC and 101 TFEU.</w:t>
      </w:r>
    </w:p>
    <w:p>
      <w:r>
        <w:t>FOURTH. ASSESSMENT OF THE COMPETITION CHAMBER</w:t>
      </w:r>
    </w:p>
    <w:p>
      <w:r>
        <w:t>4.1. Analysis of the behaviors subject to the file</w:t>
      </w:r>
    </w:p>
    <w:p>
      <w:r>
        <w:t>In this section, an analysis of the accredited facts is carried out to identify those aspects that this Chamber considers relevant for assessing the behaviors of the companies involved that the Directorate of Competition considers constitutive of an infringement.</w:t>
      </w:r>
    </w:p>
    <w:p>
      <w:r>
        <w:t>These aspects refer, first, to the identification of a common pattern of behavior consisting of the repetition of alliances among the group of involved companies. Secondly, this Chamber considers it appropriate to identify whether there is a generalized modus operandi among the companies in achieving the collaborative agreements and their impact on achieving the objectives pursued by them and to determine whether this way of acting is a common and widespread practice among the companies. On the other hand, the facts highlight the existence of another series of complementary behaviors that, for the Directorate of Competition, confirm the existence of relationships among a series of companies that cross the boundaries of legality, and these facts serve to reinforce the arguments regarding the existence of a global action plan aimed at market allocation among the companies.</w:t>
      </w:r>
    </w:p>
    <w:p>
      <w:r>
        <w:t>These facts are also identified in this section. Finally, regarding public tenders, and in order to assess the possible effects that the behaviors may have caused in the market, it is also of interest to make an assessment of the impact on the price of the contracts that may have been caused by the behaviors subject to this resolution.</w:t>
      </w:r>
    </w:p>
    <w:p>
      <w:r>
        <w:t>4.1.1. Analysis of the alliances among companies in the public tenders subject to this file</w:t>
      </w:r>
    </w:p>
    <w:p>
      <w:r>
        <w:t>The accredited facts in this file reveal an excessive repetition of alliances among several companies with the aim of jointly collaborating in the provision of services to various public bodies. These alliances have affected a considerable number of contracts and have extended to several public bodies over a long period of time.</w:t>
      </w:r>
    </w:p>
    <w:p>
      <w:r>
        <w:t>Next, the alliances among companies in each of the public bodies are examined to observe the existence of behavior patterns that, according to the Directorate of Competition, demonstrate, along with the rest of the evidence obtained, the existence of anti-competitive agreements.</w:t>
      </w:r>
    </w:p>
    <w:p>
      <w:r>
        <w:rPr>
          <w:b/>
        </w:rPr>
        <w:t>[Pages 97–99]</w:t>
      </w:r>
    </w:p>
    <w:p>
      <w:r>
        <w:t xml:space="preserve">i) Contracts of the AEAT  </w:t>
        <w:br/>
        <w:t xml:space="preserve">The following table shows the alliances between companies in relation to the contracts of the AEAT since 2006 (facts 1 to 73).  </w:t>
        <w:br/>
        <w:t xml:space="preserve">TENDER ALLIANCES BETWEEN COMPANIES  </w:t>
        <w:br/>
        <w:t xml:space="preserve">C 68/06 SAG-INDRA-CIBERNOS-GESEIN  </w:t>
        <w:br/>
        <w:t xml:space="preserve">AV 42/10 SAG-INDRA-CIBERNOS-GESEIN  </w:t>
        <w:br/>
        <w:t xml:space="preserve">PA 20/2014 SAG-INDRA-CIBERNOS-GESEIN  </w:t>
        <w:br/>
        <w:t xml:space="preserve">C 03/07 SAG-INDRA-CIBERNOS-IBM  </w:t>
        <w:br/>
        <w:t xml:space="preserve">AV 10/2011 SAG-INDRA-CIBERNOS-IBM  </w:t>
        <w:br/>
        <w:t>PA 2/2015 SAG-INDRA-CIBERNOS-IBM</w:t>
      </w:r>
    </w:p>
    <w:p>
      <w:r>
        <w:t>The table reflects a pattern of behavior that affects the contracts tendered by the AEAT since 2006 in relation to this market. It can be observed how the companies SAG, INDRA, and CIBERNOS maintain a permanent alliance that encompasses all the analyzed contracts. For their part, GESEIN and IBM each participate in three of the contracts, which occur sequentially.</w:t>
      </w:r>
    </w:p>
    <w:p>
      <w:r>
        <w:t>In relation to the UTEs formed by SAG, INDRA, CIBERNOS, and IBM, it is noteworthy that in 2015 there was a modification of the contract structure that was divided into two lots (the two preceding ones are of a single object). The reason for this separation into lots by the administration is, as stated in the accredited facts (fact 60), to promote competition in the tender. This fact, however, does not alter the participation percentages of the companies in the agreement that they have carried over since contract C03/07, as the four companies agree on a joint presentation strategy for the two lots. On one hand, CIBERNOS and SAG present for lot 1, and on the other hand, INDRA SISTEMAS and INDRA LABS present for lot 2, subcontracting to IBM. That is, despite presenting separately for the two lots, in reality, the four companies act as a decision-making unit and share the contract (facts 55 to 73).</w:t>
      </w:r>
    </w:p>
    <w:p>
      <w:r>
        <w:t xml:space="preserve">The commitments made by the four companies in relation to this contract clearly show the intention to preserve their position in the "business" regardless of the configuration of the contract in question (fact 63):  </w:t>
        <w:br/>
        <w:t xml:space="preserve">“1.- It is agreed to articulate in some way that the current business percentages are maintained or tend to be maintained even though we have separate UTEs.  </w:t>
        <w:br/>
        <w:t xml:space="preserve">2.- A proposal for a joint discount for both offers is agreed upon.  </w:t>
        <w:br/>
        <w:t xml:space="preserve">3.- It is agreed not to ask for or provide certifications of the resources that are currently not providing service to the AEAT.  </w:t>
        <w:br/>
        <w:t xml:space="preserve">4.- We agree to share the technical offers, so as not to present very different technical offers.  </w:t>
        <w:br/>
        <w:t xml:space="preserve">5.- Each of the UTEs is responsible for providing the resumes of the profiles they have in their lot and of the additional ones in their lot.  </w:t>
        <w:br/>
        <w:t xml:space="preserve">6.- Send a discount proposal around 1.05%.  </w:t>
        <w:br/>
        <w:t>7.- In the case of INDRA/IBM, if the model is finally Subcontracting, it must be explained to [personal data]/AEAT.”</w:t>
      </w:r>
    </w:p>
    <w:p>
      <w:r>
        <w:t>In relation to the contracts of the AEAT, there is no specific information available regarding the competitive participation of other companies in the tenders, as the AEAT does not have the aforementioned information (folio 4445). However, for contract PA20/2014, there is an internal document from INDRA indicating IECISA as a potential competitor in the tender (fact 24).</w:t>
      </w:r>
    </w:p>
    <w:p>
      <w:r>
        <w:t xml:space="preserve">ii) Contracts of the GISS  </w:t>
        <w:br/>
        <w:t xml:space="preserve">The analyzed contracts entered into by the GISS since 2006 show the following collaboration agreements (facts 74 to 180):  </w:t>
        <w:br/>
        <w:t xml:space="preserve">TENDER ALLIANCES BETWEEN COMPANIES  </w:t>
        <w:br/>
        <w:t xml:space="preserve">Lot 7. SAG-INDRA-BABEL  </w:t>
        <w:br/>
        <w:t xml:space="preserve">7202/06G Lot 10. SAG-INDRA-THALES (CONNECTIS)-ATOS  </w:t>
        <w:br/>
        <w:t xml:space="preserve">Lot 11. SAG-INDRA-THALES (CONNECTIS)-ATOS  </w:t>
        <w:br/>
        <w:t xml:space="preserve">Lot 12. SAG-INDRA-THALES (CONNECTIS)-ATOS  </w:t>
        <w:br/>
        <w:t xml:space="preserve">Lot 13. INDRA-GESEIN  </w:t>
        <w:br/>
        <w:t xml:space="preserve">Lot 14. SAG-THALES  </w:t>
        <w:br/>
        <w:t xml:space="preserve">Lot 6. SAG-INDRA-THALES (CONNECTIS)-ATOS-BABEL-EVERIS  </w:t>
        <w:br/>
        <w:t xml:space="preserve">Lot 8. SAG-INDRA-THALES (CONNECTIS)-ATOS  </w:t>
        <w:br/>
        <w:t xml:space="preserve">7201/10G Lot 9. SAG-INDRA-THALES (CONNECTIS)-ATOS  </w:t>
        <w:br/>
        <w:t xml:space="preserve">Lot 10. INDRA-GESEIN  </w:t>
        <w:br/>
        <w:t xml:space="preserve">Lot 11. SAG-THALES  </w:t>
        <w:br/>
        <w:t xml:space="preserve">SAG-INDRA-CONNECTIS (THALES)-ATOS-CIBERNOS-BABEL  </w:t>
        <w:br/>
        <w:t xml:space="preserve">7201/13G  </w:t>
        <w:br/>
        <w:t xml:space="preserve">BABEL-IBM  </w:t>
        <w:br/>
        <w:t xml:space="preserve">7201/14G Lot 1. SAG-INDRA-CONNECTIS (THALES)-ATOS  </w:t>
        <w:br/>
        <w:t xml:space="preserve">Lot 2. SAG-INDRA-CONNECTIS (THALES)-ATOS-GESEIN  </w:t>
        <w:br/>
        <w:t>Lot 3. SAG-INDRA-ALDEBARÁN-ATOS-CONNECTIS (THALES)-IECISA-BABEL</w:t>
      </w:r>
    </w:p>
    <w:p>
      <w:r>
        <w:t>There is a repeated coincidence of several companies in the different collaboration agreements: SAG, INDRA, THALES/CONNECTIS, ATOS, and BABEL. This group of companies appears in each contract, maintaining constant alliances. The first three companies mentioned also appear in several lots of the same contract.</w:t>
      </w:r>
    </w:p>
    <w:p>
      <w:r>
        <w:t>In the contracts of the GISS, in addition to the aforementioned SAG and INDRA, the companies GESEIN and, to a lesser extent, CIBERNOS also appear, companies that maintain alliances in the AEAT, as previously noted.</w:t>
      </w:r>
    </w:p>
    <w:p>
      <w:r>
        <w:t>In relation to contract 7202/06G, it is noteworthy that, although the awardee of lot 12 was formally the UTE composed of the companies INDRA, THALES, and ATOS, the facts reveal that SAG is also part of the private agreement with a 10% participation (fact 76).</w:t>
      </w:r>
    </w:p>
    <w:p>
      <w:r>
        <w:t>The file 7201/10G represents the continuation of the services tendered in file 7202/06G at the end of the extension of the same. The collaborating companies in the lots of this contract coincide with the collaborating companies of the equivalent lots of the 2006 contract (facts 93 and 94).</w:t>
      </w:r>
    </w:p>
    <w:p>
      <w:r>
        <w:t>In relation to the aforementioned contract, there is an internal comment from INDRA stating that they will continue subcontracting to EVERIS, which evidences that the relationship between them comes from previous contracts (fact 98).</w:t>
      </w:r>
    </w:p>
    <w:p>
      <w:r>
        <w:t>For lot 9, there is also an agreement and commitment of UTE between the companies INDRA, SAG, THALES (CONNECTIS), and ATOS (folios 5701 to 5709). Although the agreement includes the participation percentages of the four companies, the UTE commitment only refers to the companies INDRA, THALES (CONNECTIS), and ATOS (folio 5709), which shows that the agreement and internal distribution of the services of lot 9 do not coincide with what was officially communicated in the submission of offers for the tender. In the agreement, the four companies commit “to collaborate exclusively” (fact 103).</w:t>
      </w:r>
    </w:p>
    <w:p>
      <w:r>
        <w:t>For its part, contract 7201/13G, although awarded to the UTE formed by the companies SAG and INDRA, has accredited preferential subcontracting from the companies CIBERNOS, CONNECTIS, ATOS, and BABEL. With these subcontractings, the companies maintain their participation in the agreed alliances in exchange for not competing with the UTE (facts 107 to 137).</w:t>
      </w:r>
    </w:p>
    <w:p>
      <w:r>
        <w:t>IBM also appears again, having reached a preferential subcontracting agreement with BABEL in the event of being awarded the file 7201/13G (fact 118).</w:t>
      </w:r>
    </w:p>
    <w:p>
      <w:r>
        <w:rPr>
          <w:b/>
        </w:rPr>
        <w:t>[Pages 100–102]</w:t>
      </w:r>
    </w:p>
    <w:p>
      <w:r>
        <w:t>Finally, in relation to contract 7201/14G, the companies collaborate again in three of the lots, with INDRA and SAG being awarded lot 1 and INDRA, SAG, and CONNECTIS being awarded lot 2, although there are preferential subcontracting agreements with the companies ATOS, CONNECTIS, and GESEIN, thus maintaining the same alliances as in the predecessor contracts. In the case of lot 3, although the agreements include that SAG, INDRA, and ALDEBARÁN present themselves in a UTE and subcontract to ATOS, CONNECTIS, IECISA, and BABEL, the contract was ultimately awarded to INSA. A summary of all this can be seen in an internal email from SAG titled "Just for your information. This is how we are doing in the 3 development lots," which refers to the distribution of the three managed development lots, indicating the billing percentage corresponding to each company and the percentage in the UTE (fact 156).</w:t>
      </w:r>
    </w:p>
    <w:p>
      <w:r>
        <w:t>The percentages referred to would be:</w:t>
        <w:br/>
        <w:t>% BILLING % UTE</w:t>
        <w:br/>
        <w:t>INDRA 30 46</w:t>
        <w:br/>
        <w:t>SAG 31 45</w:t>
        <w:br/>
        <w:t>CONNECTIS 18 4</w:t>
        <w:br/>
        <w:t>ATOS 11 0</w:t>
        <w:br/>
        <w:t>ALDEBARÁN 6 6</w:t>
        <w:br/>
        <w:t>BABEL 2 0</w:t>
        <w:br/>
        <w:t>GESEIN 3 0</w:t>
      </w:r>
    </w:p>
    <w:p>
      <w:r>
        <w:t>Therefore, an agreement is reached among the same companies regarding the distribution of the three lots, determining the configuration of the UTE and the preferential subcontracting to maintain the positions of the companies in the agreements.</w:t>
      </w:r>
    </w:p>
    <w:p>
      <w:r>
        <w:t>In relation to these contracts, it should be noted that the GISS sent a document to the Competition Directorate containing information on the bidding procedures. The aforementioned information highlights that in all contracts there is competitive concurrence from at least one other UTE distinct from the awarded UTE, and there is even evidence of companies presenting individually, which shows the existence of alternatives in the configuration of alliances since there are other companies interested in the contract (folio 740).</w:t>
      </w:r>
    </w:p>
    <w:p>
      <w:r>
        <w:t>iii) Contracts of the SEPE</w:t>
        <w:br/>
        <w:t>The contracts tendered by this Agency since 2008 show the following alliances between companies (facts 181 to 246):</w:t>
        <w:br/>
        <w:t>TENDER ALLIANCES BETWEEN COMPANIES</w:t>
        <w:br/>
        <w:t>Lot 3. SAG-THALES (CONNECTIS)-ATOS-NEXT-EVERIS</w:t>
        <w:br/>
        <w:t>C. 10/08</w:t>
        <w:br/>
        <w:t>Lot 6. INDRA-GESEIN-ACCENTURE</w:t>
        <w:br/>
        <w:t>C. 11/08</w:t>
        <w:br/>
        <w:t>SAG-THALES (CONNECTIS)-ATOS-NEXT</w:t>
        <w:br/>
        <w:t>Lot 7. SAG-THALES (CONNECTIS)-ATOS-NEXT</w:t>
        <w:br/>
        <w:t>PA 11/12</w:t>
        <w:br/>
        <w:t>Lot 8. INDRA-GESEIN-ACCENTURE</w:t>
        <w:br/>
        <w:t>PA 7/14 Lot 2. SAG-NEXT-AXPE-ATOS</w:t>
        <w:br/>
        <w:t>INDRA-GESEIN-ACCENTURE</w:t>
      </w:r>
    </w:p>
    <w:p>
      <w:r>
        <w:t>As can be seen, in this succession of contracts, alliances involving the companies SAG, INDRA, GESEIN, ATOS, and THALES/CONNECTIS are repeated.</w:t>
      </w:r>
    </w:p>
    <w:p>
      <w:r>
        <w:t>For its part, ACCENTURE and NEXT appear in the collaboration agreements in almost all contracts of this agency. The other two companies implicated that appear in agreements in the SEPE are AXPE and EVERIS, although the latter would have already formed alliances in contract 7201/10G of the GISS.</w:t>
      </w:r>
    </w:p>
    <w:p>
      <w:r>
        <w:t>In relation to contracts C10/08 and C11/08, there is an agreement between the companies EVERIS, THALES, SAG, ATOS, and NEXT, to present offers for lots 3 and 6 of the aforementioned contracts. This agreement establishes that for lot 6 of tender C11/08, THALES (CONNECTIS), NEXT, SAG, and ATOS will present offers and will exclusively subcontract to EVERIS, while for lot 3 of tender C10/08, all five will present jointly (including EVERIS) (fact 188).</w:t>
      </w:r>
    </w:p>
    <w:p>
      <w:r>
        <w:t>On July 2, 2008, ATOS sent an email to THALES (CONNECTIS) forwarding the opinion of its legal counsel regarding the UTE agreements that were being negotiated for two lots called by the INEM. ATOS's own counsel expresses concern that the strategy followed by the companies could lead to a market division contrary to competition rules and that this would violate the rules of purpose justifying the establishment of the UTE (fact 190).</w:t>
      </w:r>
    </w:p>
    <w:p>
      <w:r>
        <w:t>In the case of lot 3 of file C10/08, there were three other economic offers at a lower price, yet it was awarded to the UTE ATOS/SAG/NEXT/THALES/EVERIS with a 2% discount. In the case of lot 6 of file C11/08, it was awarded to the UTE INDRA/ACCENTURE/CORITEL/GESEIN, which presented a higher discount than that of the UTE ATOS/SAG/NEXT/THALES, the other offer presented (10% versus 2%) (fact 192).</w:t>
      </w:r>
    </w:p>
    <w:p>
      <w:r>
        <w:t>For contract PA11/12, the same alliances among several companies are reproduced again. In relation to this contract, there is the following email from SAG addressed to NEXT and THALES that highlights the strategy of the companies (fact 209):</w:t>
        <w:br/>
        <w:t>"1st.- The companies Thales, Next, and SAGE will jointly submit an offer for lots 7 and 8 of the recently called SEPE tender.</w:t>
        <w:br/>
        <w:t>2nd.- The three companies agree that the discount base in these offers must be 'significant,' mentioning around 25% as a starting point for discussion.</w:t>
        <w:br/>
        <w:t>3rd.- The heads of the three companies have set a 'distribution' in percentages of these lots, in which they feel reasonably comfortable, which will be the basis for the final adjustment in % of resources and billing.</w:t>
        <w:br/>
        <w:t>4th.- Incorporate ATOS into the agreement."</w:t>
      </w:r>
    </w:p>
    <w:p>
      <w:r>
        <w:t>In the case of file PA 7/14 of the SEPE, ACCENTURE negotiated and held meetings with INDRA and GESEIN to maintain the distribution percentages they had previously, even before the publication of the specifications. In this tender, INDRA and ACCENTURE presented themselves in a UTE for lots 1 and 2 and agreed to subcontract GESEIN for the percentage it previously had to avoid other unions. However, on this occasion, the UTE was not awarded any of the two lots, so the agreements reached could not be implemented for tender PA 7/14. This lot was awarded to the UTE formed by the companies SAG, NEXT, and AXPE, which subcontracted ATOS, thus maintaining previous alliances.</w:t>
      </w:r>
    </w:p>
    <w:p>
      <w:r>
        <w:t>As in the case of the GISS, the SEPE also sent a document to the Competition Directorate containing information on the bidding procedures. As in the GISS, the aforementioned information highlights that in all contracts there is competitive concurrence, as several UTEs and even individual companies present, which shows the existence of alternatives in the configuration of alliances (folios 771 to 799).</w:t>
      </w:r>
    </w:p>
    <w:p>
      <w:r>
        <w:t>iv) Contracts of the INSS</w:t>
        <w:br/>
        <w:t>The contracts of the INSS analyzed since 2005 show the following alliances between companies (facts 263 to 320):</w:t>
      </w:r>
    </w:p>
    <w:p>
      <w:r>
        <w:rPr>
          <w:b/>
        </w:rPr>
        <w:t>[Pages 103–105]</w:t>
      </w:r>
    </w:p>
    <w:p>
      <w:r>
        <w:t xml:space="preserve">TENDER ALLIANCES BETWEEN COMPANIES  </w:t>
        <w:br/>
        <w:t xml:space="preserve">11/CP-10/2005  </w:t>
        <w:br/>
        <w:t xml:space="preserve">SAG-INDRA  </w:t>
        <w:br/>
        <w:t xml:space="preserve">(ATRIUM)  </w:t>
        <w:br/>
        <w:t xml:space="preserve">392/CP-40/05  </w:t>
        <w:br/>
        <w:t xml:space="preserve">(ADABAS/NAT SAG-INDRA-ATOS-CIBERNOS URAL)  </w:t>
        <w:br/>
        <w:t xml:space="preserve">60/VC-28/10  </w:t>
        <w:br/>
        <w:t xml:space="preserve">(ADABAS/NAT SAG-INDRA-ATOS-CIBERNOS URAL)  </w:t>
        <w:br/>
        <w:t xml:space="preserve">60/VC-50/10  </w:t>
        <w:br/>
        <w:t xml:space="preserve">SAG-INDRA  </w:t>
        <w:br/>
        <w:t xml:space="preserve">(ATRIUM)  </w:t>
        <w:br/>
        <w:t xml:space="preserve">60/CP-29/08  </w:t>
        <w:br/>
        <w:t xml:space="preserve">(Other SAG services)  </w:t>
        <w:br/>
        <w:t xml:space="preserve">60/VC-73/12  </w:t>
        <w:br/>
        <w:t>(ATRIUM Lot SAG-INDRA 6)</w:t>
      </w:r>
    </w:p>
    <w:p>
      <w:r>
        <w:t>This series of contracts once again highlights the extent of collaboration strategies with other public bodies. The companies SAG, INDRA, ATOS, and CIBERNOS reappear as allies, whose presence has already been observed in the previous public bodies analyzed.</w:t>
      </w:r>
    </w:p>
    <w:p>
      <w:r>
        <w:t>In relation to contract 60/VC-73/12, on March 13, 2012, in an internal email from SAG, with the subject "Inss-information on the specifications," reference is made to the status of negotiations with INDRA, and to the "possible alternatives in case of a negative response from them." In this context, it is noted that the following day they have a "meeting with Oesia to discuss the specifications and seek an alliance that allows us to be more competitive." It is also mentioned that from the INSS procurement, they would have been encouraged to present themselves "to be a second option in case Indra is awarded" (fact 283).</w:t>
      </w:r>
    </w:p>
    <w:p>
      <w:r>
        <w:t>No agreement was reached between INDRA and SAG, as both presented separately. INDRA submitted bids for lots 1, 2, 3, and 6, and was awarded lot 1. SAG submitted a bid for lot 6 (apart from lots 2 and 3 with BABEL), of which it was awarded, as previously noted. Among the companies subcontracted by SAG for the "ATRIUM Project," INDRA is not included (fact 285).</w:t>
      </w:r>
    </w:p>
    <w:p>
      <w:r>
        <w:t>As in previous cases, the information provided by the INSS indicates the existence of competitive bidding in some of the contracts (folios 4422 to 4425).</w:t>
      </w:r>
    </w:p>
    <w:p>
      <w:r>
        <w:t xml:space="preserve">v) SAP Environment  </w:t>
        <w:br/>
        <w:t>Finally, regarding the facts related to the SAP environment, the following alliances are observed (facts 247 to 262):</w:t>
      </w:r>
    </w:p>
    <w:p>
      <w:r>
        <w:t xml:space="preserve">ALLIANCES BETWEEN COMPANIES  </w:t>
        <w:br/>
        <w:t xml:space="preserve">SAG-INDRA  </w:t>
        <w:br/>
        <w:t>SAG-EVERIS</w:t>
      </w:r>
    </w:p>
    <w:p>
      <w:r>
        <w:t>SAG and INDRA reached a framework collaboration agreement to present themselves in a UTE for various SAP tax projects in the Spanish autonomous communities, as well as at the European level.</w:t>
      </w:r>
    </w:p>
    <w:p>
      <w:r>
        <w:t>For its part, EVERIS and SAG reached a framework collaboration agreement in July 2011 regarding the SAP environment, which is limited to Spanish regional and local administrations concerning taxes, anticipating the signing of specific collaboration agreements for each opportunity identified by both companies, although the effects of these agreements between EVERIS and SAG have not been substantiated.</w:t>
      </w:r>
    </w:p>
    <w:p>
      <w:r>
        <w:t>As can be observed, the alliances between SAG and INDRA are reproduced again, extending to almost all analyzed contracts, and additionally appearing in SAG and EVERIS agreements that would have already participated in various alliances in the GISS and in SEPE.</w:t>
      </w:r>
    </w:p>
    <w:p>
      <w:r>
        <w:t xml:space="preserve">4.1.2. Existence of a generalized modus operandi that allows companies to maintain alliances  </w:t>
        <w:br/>
        <w:t>The facts reveal a modus operandi among the companies that is repeated across the various contracts and extends to all the public bodies analyzed. This generalized modus operandi allows for the maintenance of the alliances observed in the previous section.</w:t>
      </w:r>
    </w:p>
    <w:p>
      <w:r>
        <w:t>The most relevant aspects of this modus operandi among the companies are analyzed below.</w:t>
      </w:r>
    </w:p>
    <w:p>
      <w:r>
        <w:t xml:space="preserve">i) Agreements between companies often occur prior to the announcement of the contract tender  </w:t>
        <w:br/>
        <w:t>In a large part of the analyzed procurement procedures, it can be observed how companies are aware of the upcoming tender prior to its publication. This is achieved thanks to the contacts that companies maintain within the contracting administration.</w:t>
      </w:r>
    </w:p>
    <w:p>
      <w:r>
        <w:t>In this regard, the facts demonstrate how SAG and INDRA are the companies that usually obtain this information firsthand and then relay it to the other companies that make up the collaboration agreement. In other instances, these agreements are made without even knowing the conditions of the new specifications (for example, facts 11, 25, 34, 56, 70, 96, 109, 182, 270).</w:t>
      </w:r>
    </w:p>
    <w:p>
      <w:r>
        <w:t>It can even be observed that in some tenders, the companies participating in the agreements have directly influenced the drafting of the specifications that will govern the contract for which they subsequently bid (for example, facts 28 and 272).</w:t>
      </w:r>
    </w:p>
    <w:p>
      <w:r>
        <w:t xml:space="preserve">ii) Formalization of collaboration agreements and commitments to establish UTE  </w:t>
        <w:br/>
        <w:t>Negotiations between companies usually result in the signing of a collaboration agreement that is not public and in which the actual scope of the agreements reached is reflected. Among other aspects, it usually refers to the actual distribution percentages (which do not always match those notified to the administration), whether the agreement involves presenting in a UTE or subcontracting a certain percentage of the expected billing, or the commitment not to participate in alternative offers that may generate competition in the tendered contract or to the exclusivity of the collaboration.</w:t>
      </w:r>
    </w:p>
    <w:p>
      <w:r>
        <w:t>Both exclusivity and subcontracting are aimed at avoiding competition, as the companies themselves indicate (for example, facts 3, 29, 50, 67, 113, 152, 175, 187, 194, 211, 230, 291, and 302).</w:t>
      </w:r>
    </w:p>
    <w:p>
      <w:r>
        <w:t>Collaboration agreements reflect the functioning of the UTE or subcontracting and establish how to distribute personnel incorporations that occur during the term of the contract or how to distribute the ordinary subcontracting necessary for the provision of the contracted services. Likewise, these agreements usually refer to the regularization formulas aimed at avoiding deviations from the agreed distribution percentages.</w:t>
      </w:r>
    </w:p>
    <w:p>
      <w:r>
        <w:t>In addition to the collaboration agreement, a UTE commitment, a UTE establishment agreement, and a UTE report are usually signed. The last two are public, notified to the administration, and may present different percentages from those agreed upon in the private pact, which takes precedence, so the contracting administration is not officially aware of the existence of agreements that alter the composition of the offers submitted by the bidding companies.</w:t>
      </w:r>
    </w:p>
    <w:p>
      <w:r>
        <w:t>It is important to highlight that the drafting of the documents just referred to is usually very similar and, in many cases, identical across the various public bodies of continuous reference. In fact, the use of documents related to previous agreements as templates or bases has been confirmed, even if they refer to other bodies and there are variations among the participating companies.</w:t>
      </w:r>
    </w:p>
    <w:p>
      <w:r>
        <w:t>It is also common for the formula used in the various reports to justify the UTE to literally coincide in the analyzed cases. The justification for the formation of the UTE would lie in the experience of the member companies and in the utility of the UTE to allow the provision of services to the full satisfaction of the contracting body. However, the reports of the investigated tenders included in the reference file do not contain technical or economic motivations that justify the formation of the various UTEs (for example, facts 7, 19, and 32).</w:t>
      </w:r>
    </w:p>
    <w:p>
      <w:r>
        <w:rPr>
          <w:b/>
        </w:rPr>
        <w:t>[Pages 106–108]</w:t>
      </w:r>
    </w:p>
    <w:p>
      <w:r>
        <w:t>The participation percentages of the different companies in the UTE are not primarily determined by the technical means available to each of them or by their economic capacity. While it is true that sometimes the need for specific profiles leads large companies to accept smaller companies in the UTE or guarantee them a percentage of billing137 in the form of preferential subcontracting, it has been demonstrated that companies negotiate the percentages trying to assume the largest possible proportion, at least regarding the nominal percentages. Furthermore, there have also been cases where a certain percentage is ceded to another company "just because" (see INDRA and SAG in the case of the INSS, (fact 267) or as compensation because others have a higher percentage in other contracts (among others, see the case of the agreement between INDRA and SAG regarding SAP, where increases and decreases in participation are set to balance the overall participation of both).</w:t>
      </w:r>
    </w:p>
    <w:p>
      <w:r>
        <w:t>iii) The system of adjustments</w:t>
        <w:br/>
        <w:t>As already noted, within the commitments made by the companies for the establishment of the UTE, there is the system of adjustments (for example, facts 6, 21, 29, 45, 80, 101, 153, 189, 199, 212). This system aims for each company to bill the initially agreed percentage through a compensation mechanism. When imbalances occur in the billing percentages because one of the companies in the agreement bills a percentage higher or lower than initially agreed, the compensation mechanism is activated, which implies that the companies that have billed above their agreed percentage must compensate the companies that have not reached the initial percentages138. Adjustments are set with some periodicity, and at the time of closing the UTE, balances between actual and theoretical billing are made. Compensation is intended to be made through the UTE, but sometimes it occurs directly between the companies.</w:t>
      </w:r>
    </w:p>
    <w:p>
      <w:r>
        <w:t>The established facts confirm that adjustments have been carried out, at least, in the tenders C 08/06, AV 42/10, PA 20/2014, C 03/07, AV 10/11 of the AEAT and PA 2/2015; 7201/13G of the GISS or PA 7/14 of the SEPE. In the case of the AEAT tenders, the continuity of the services provided in one tender or another allows us to see that INDRA and SAG systematically provide a lower percentage of services than they would be entitled to, without, however, varying the theoretical percentages over time.</w:t>
      </w:r>
    </w:p>
    <w:p>
      <w:r>
        <w:t>In the case of the tenders C 68/06; AV 42/10; PA 20/2014, all of which relate to the development and maintenance services of the systems and applications carried out at the AEAT, the data are as follows:</w:t>
      </w:r>
    </w:p>
    <w:p>
      <w:r>
        <w:t>% Participation</w:t>
        <w:br/>
        <w:t>Companies Theoretical in the three AV 42/10 % actual PA 20/2014 % actual</w:t>
        <w:br/>
        <w:t>tenders.</w:t>
        <w:br/>
        <w:t>SAG 42.04 41.09 37.40</w:t>
        <w:br/>
        <w:t>INDRA 35.18 28.37 32.71</w:t>
        <w:br/>
        <w:t>CIBERNOS 11.16 15.72 16.75</w:t>
        <w:br/>
        <w:t>GESEIN 11.62 14.82 13.14</w:t>
        <w:br/>
        <w:t>IECISA Subcontracted</w:t>
        <w:br/>
        <w:t>Own elaboration with data from folios: 5512, 5870, 5871, 6176, 6526, 6527, 6533, 7154, 7202, 7889.</w:t>
      </w:r>
    </w:p>
    <w:p>
      <w:r>
        <w:t>In the case of the GISS, the division of the tenders into lots and the different equivalences of one and the other make it difficult to carry out a systematic comparison showing the participation percentages of each company in the provision of the contracted services. However, there is evidence of the maintenance of the percentages of each company since, as demonstrated in the section dedicated to the GISS tenders, certain initiated companies refer to percentages of each lot in such a way that previous participations are maintained, such as BABEL, which intends to maintain 7% of lot 6 of the 2006 tender in its equivalent in 2010.</w:t>
      </w:r>
    </w:p>
    <w:p>
      <w:r>
        <w:t>In the case of the SEPE tenders, the issues when making a systematic comparison of the adjustments are similar, although their existence has been confirmed in lot 2 of the PA7/14139 file.</w:t>
      </w:r>
    </w:p>
    <w:p>
      <w:r>
        <w:t>In the case of the INSS tenders, there is no evidence of adjustments, but it is known that the companies maintain their participation both in ATRIUM and in ADABAS/NATURAL. In the case of ATRIUM (tenders 11CP-10/2005 and 60/VC-50/10), the percentages are: SAG 75% and INDRA 25% until they break their collaboration in the next tender. In the ADABAS/NATURAL tenders (392/CP-40/05 and 60/VC-28/10), the companies also maintain their participation percentages:</w:t>
      </w:r>
    </w:p>
    <w:p>
      <w:r>
        <w:t>Percentage of participation in 392/CP-40/05 and 60/VC-28/10</w:t>
        <w:br/>
        <w:t>COMPANIES</w:t>
        <w:br/>
        <w:t>SAG 51</w:t>
        <w:br/>
        <w:t>INDRA 15</w:t>
        <w:br/>
        <w:t>CIBERNOS 15</w:t>
        <w:br/>
        <w:t>ATOS 19</w:t>
        <w:br/>
        <w:t>Own elaboration with data from folios 9825, 9830.</w:t>
      </w:r>
    </w:p>
    <w:p>
      <w:r>
        <w:t>iv) The use of preferential subcontracting in collaboration agreements</w:t>
        <w:br/>
        <w:t>Another observed pattern of behavior in the facts refers to the habitual use by companies of the figure of preferential subcontracting. These preferential subcontractings have the particularity that they require exclusivity from the subcontractor, so that the latter cannot participate in the contract in competition with the UTE (for example, facts 67, 97, 124 to 137, 149, 162 to 180, 187, 229, 239).</w:t>
      </w:r>
    </w:p>
    <w:p>
      <w:r>
        <w:t>Credible examples of this are the subcontracting of IBM by the UTE INDRA/SAG/CIBERNOS in 2015 after IBM left the pre-existing UTE, to which it belonged in previous AEAT contracts. Or the subcontracting of SAG by the UTE INDRA/CONNECTIS/ATOS in lot 12 of the file 7202/06G of the GISS. Credible examples also include the subcontractings of ATOS, CONNECTIS, and CIBERNOS in the file 7201/13G of the GISS and of ATOS, CONNECTIS, and GESEIN in the file 7201/14G or the subcontractings to ATOS in different lots of the file PA 11/12 of the SEPE.</w:t>
      </w:r>
    </w:p>
    <w:p>
      <w:r>
        <w:t>In some cases, these subcontractings are instruments that allow the subcontracted companies to maintain their position in the agreements when, in a particular contract, the companies, for strategic reasons, decide to change the configuration of the collaboration. A paradigmatic example can be found in the succession of AEAT contracts, where it can be observed how, faced with the need to change the configuration of the collaboration strategy, the parties decide to resort to the contract in two UTEs and subcontract IBM, which thus manages to maintain its percentage of participation in the contract (facts 55 to 73). In other cases, it can be observed how subcontracting simply responds to the need to bring a company into the UTE so that it does not compete in the contract (for example, facts 114 and 146). The counterpart is the obligation of non-competition with the UTE that the subcontracted company assumes.</w:t>
      </w:r>
    </w:p>
    <w:p>
      <w:r>
        <w:t>v) The exchange of information between collaborating companies</w:t>
        <w:br/>
        <w:t>The permanent collaborative relationship between some companies is supported, to some extent, by the mutual trust that exists between them. A demonstration of this trust is the exchange of information between companies regarding the data.</w:t>
      </w:r>
    </w:p>
    <w:p>
      <w:r>
        <w:rPr>
          <w:b/>
        </w:rPr>
        <w:t>[Pages 109–111]</w:t>
      </w:r>
    </w:p>
    <w:p>
      <w:r>
        <w:t>personal data of workers and their professional category, the relevance of which is undeniable, considering that we are dealing with a sector of considerable technical specialty, where the personnel of the companies is one of the major assets that generates value for the companies and allows them to differentiate themselves from the rest140.</w:t>
      </w:r>
    </w:p>
    <w:p>
      <w:r>
        <w:t xml:space="preserve">4.1.3. Other types of collaborations between companies  </w:t>
        <w:br/>
        <w:t xml:space="preserve">The facts reveal another type of collaboration among some of the companies involved, such as the coverage offers to simulate competitive bidding in some contracts in which the companies SAG, ATOS, INDRA, CIBERNOS, IECISA, and BABEL would have participated, as well as the transfer of keys of the Heritage between the companies SAG and ATOS to be able to participate in the centralized contracting of the public administration (facts 331 to 350).  </w:t>
        <w:br/>
        <w:t xml:space="preserve">In order to facilitate and expedite the contracting of products and services with homogeneous characteristics for the different agencies and bodies of the administration, centralized contracting may be agreed upon, through the General Directorate of State Heritage.  </w:t>
        <w:br/>
        <w:t xml:space="preserve">Such is the case of certain development and maintenance services for applications that were contracted through the procedure known as AM 26/11. In the first phase of this procedure, companies offer their products or services, with those that meet the requirements established in the corresponding administrative clauses being accepted and incorporated into a catalog (hence the companies' references to the Heritage catalog 26). Each awarded company will receive keys (the so-called Heritage keys, which are of great value and interest to the companies) that will facilitate their participation in the second phase of the procedure.  </w:t>
        <w:br/>
        <w:t xml:space="preserve">In a second phase, a new tender is called among the companies capable of providing the specific service requested by a particular body or agency.  </w:t>
        <w:br/>
        <w:t xml:space="preserve">140 For example, in relation to AEAT: folio 9954 (non-confidential version folios 13257 and 13258); folio 9960 (non-confidential version folios 12386-12407); folio 7077 (non-confidential version 5502 to 5505); folio 7523 (non-confidential version folio 8645); folio 10813 (non-confidential version folios 12485 to 12511); folio 10840 (non-confidential version folios 12530 to 12558); folio 10853 (non-confidential version folios 12559 to 12604).  </w:t>
        <w:br/>
        <w:t xml:space="preserve">In relation to GISS: folios 9889 to 9891 (non-confidential version folios 12345 to 12349); folio 9941 (non-confidential version folios 12357 to 12377); folio 10019 (non-confidential version folio 12431); folios 10763 to 10770 (non-confidential version folios 12442 to 12451); folio 10867 (non-confidential version folios 12605 to 12622); folio 10868 (non-confidential version folios 12623 to 12638); folio 10869 (non-confidential version folios 12639 to 12654).  </w:t>
        <w:br/>
        <w:t>In relation to SEPE: folio 10026 (non-confidential version folios 12432 and 12433); folio 10742 (non-confidential version folios 12434 and 12435).</w:t>
      </w:r>
    </w:p>
    <w:p>
      <w:r>
        <w:t xml:space="preserve">4.1.4. The impact of collaboration agreements on the award price of contracts  </w:t>
        <w:br/>
        <w:t xml:space="preserve">In some contracts, it is evidenced how companies minimize discounts due to the certainty of knowing they are winners of the tender. Thus, for example, in the case of the six files analyzed in relation to AEAT, four of them are awarded without discount (C08/06, C 03/07, AV42/10, AV 10/2011).  </w:t>
        <w:br/>
        <w:t xml:space="preserve">In the case of file AV 42/10 of AEAT, it has been evidenced that in the conversations of the companies (SAG, INDRA, CIBERNOS, and GESEIN) a maximum discount of 2% is discussed, knowing that the tender was prepared ad hoc for them, although ultimately no discount is offered and the companies themselves state "they will have to award it to us despite our discount" (folio 5777).  </w:t>
        <w:br/>
        <w:t xml:space="preserve">In the conversations regarding file AV 10/2011 of AEAT (SAG, INDRA, CIBERNOS, and IBM), the companies also indicate the need to offer with a discount, although ultimately they did not offer any discount.  </w:t>
        <w:br/>
        <w:t xml:space="preserve">File PA 20/2014 of AEAT is awarded with a 2.9% discount, despite the fact that the rates in the specifications had increased by 10% compared to the previous tender, making the tender potentially more attractive for more offers to be submitted. This possibility was considered by the awarded UTE, having evidenced that its members (SAG, INDRA, CIBERNOS, and GESEIN) were considering discounts between 7% and 10% (folio 6516), anticipating a discount of 7.5% although they ultimately lowered it to 2.9%, being almost certain of winning the tender (folios 13253 and 13254).  </w:t>
        <w:br/>
        <w:t xml:space="preserve">File PA 2/2015 of AEAT, which was divided into two lots, was awarded with a discount of 1.05% in each lot, despite the fact that the involved companies (SAG, CIBERNOS, INDRA, IBM, and AXPE) considered presenting a discount of 3% (folio 9364).  </w:t>
        <w:br/>
        <w:t xml:space="preserve">In the case of the files tendered by GISS, it has been evidenced that the described behaviors also lead to discounts lower than those that would have existed in a competitive environment.  </w:t>
        <w:br/>
        <w:t xml:space="preserve">Thus, in file 7202/06 G of GISS, discounts range between 8% and 9.48% depending on the lots, although, as previously evidenced, the companies (SAG, INDRA, ATOS, GESEIN, THALES (CONNECTIS), and BABEL) discussed offering greater discounts than those ultimately applied.  </w:t>
        <w:br/>
        <w:t xml:space="preserve">In file 7201/10G of GISS, the companies SAG and INDRA proposed the possibility of offering discounts of 8.5% if there was competition and 7% if there was not. INDRA, THALES (CONNECTIS), and ATOS wanted to offer a lower discount. Of the 11 lots tendered, lots 6, 8, 9, and 11 were analyzed, which were awarded with discounts between 7% and 8.5% (folio 10890).  </w:t>
        <w:br/>
        <w:t xml:space="preserve">In file 7201/13G, the companies indicate that, given the market situation, the discount should be around 35% (between 30% and 38% discount) and ultimately a 30% discount on unit prices is presented, the minimum of the range considered.  </w:t>
        <w:br/>
        <w:t xml:space="preserve">The tender for file 7201/14G is divided into four lots and although there are agreements between companies, there is also greater competition among blocks of companies, resulting in discounts between 30.30% and 44%. However, as previously indicated, in these tenders from GISS, the base budget coincides with the awarded amount, so the offered discount does not result in a cost reduction for the bidding administration.  </w:t>
        <w:br/>
        <w:t xml:space="preserve">Regarding the files tendered by SEPE, lot 3 of file 10/08 was awarded with a discount of 2%, the same discount offered by the participating companies (SAG, NEXT, CONNECTIS, ATOS, and EVERIS) in the agreement for lot 6 of file 11/08, as the agreements encompassed both lots (the latter was won by INDRA with a 10% discount).  </w:t>
        <w:br/>
        <w:t xml:space="preserve">In the case of file PA 11/12, the companies discuss the need for a significant discount, starting with a figure of 25%. The discounts at which the awards of the lots occur are between 27% and 28.14%, showing much more significant discounts than in the previous cases, as two blocks of companies competed, one led by SAG and the other by INDRA.  </w:t>
        <w:br/>
        <w:t xml:space="preserve">Regarding the files tendered by INSS related to ATRIUM, file 11CP-10/2005 was awarded with a 15% discount. Its continuation, file 60/VC-50/10, was a "technologically marked tender," according to the companies (INDRA and SAG). Therefore, initially, INDRA and SAG set a cap of 10% discount, and ultimately they are awarded having submitted an offer with a 5% discount. The continuation of the services of this contract was tendered with tender 60VC-73/12, divided into lots. In this case, the agreement between INDRA and SAG is broken and they compete against each other. Ultimately, the lot related to ATRIUM (lot 6) was awarded with a 25% discount to SAG, while INDRA offered a 22.9% discount. Both discounts are much higher than those offered when both presented together.  </w:t>
        <w:br/>
        <w:t xml:space="preserve">As for the files related to ADABAS/NATURAL of INSS, file 392/CP-40/05 was awarded with a 15% discount. Its continuation, file 60/VC-28/10, was awarded to the same UTE, the only offer presented, with a 10% discount. The member companies of the UTE (SAG, INDRA, ATOS, and CIBERNOS) had considered a 13% discount in this case, although they ultimately offered a lower percentage.  </w:t>
        <w:br/>
        <w:t>The files of INSS related to other IT products are divided into lots and, as seen, there was a greater degree of competition in the tenders. This resulted in higher discounts, such as the award of lot 2 of file 60/CP-29/08 to SAG with a 25% discount. However, lots 4 and 5 were awarded to IECISA with discounts of 3.1% and 5% respectively.</w:t>
      </w:r>
    </w:p>
    <w:p>
      <w:r>
        <w:rPr>
          <w:b/>
        </w:rPr>
        <w:t>[Pages 112–114]</w:t>
      </w:r>
    </w:p>
    <w:p>
      <w:r>
        <w:t>On the other hand, it should be noted that the behaviors recorded in the established facts allow companies141 such as INDRA and SAG to maintain profit margins and even increase them during an economic crisis and in a context of public spending restraint.</w:t>
      </w:r>
    </w:p>
    <w:p>
      <w:r>
        <w:t>Thus, for example, in the case of the AEAT, regarding the extension of file AV 42/10, INDRA speaks of maintaining the project's margin (which was 11%) despite the 5% reduction in rates and the waiver to apply the CPI proposed by the AEAT, indicating that they will have to propose changes to the client “or the actions we see” to ensure it is at least as it was (folios 7524 and 7526). Subsequently, in an internal email from INDRA dated August 27, 2014, it is mentioned that they are considering increasing their margin from 9% to 13% (folios 9268 and 8394).</w:t>
      </w:r>
    </w:p>
    <w:p>
      <w:r>
        <w:t>The 13% would be the target margin set by INDRA for the period from 2014 to 2016, during which the direct margin remains between 13.2% and 13.13% (folios 9285 and 9289). Specifically, in file AV 2/2015 of the AEAT, INDRA estimates that with the agreed discount (1.05%), the margin is 12.86% (folio 9364).</w:t>
      </w:r>
    </w:p>
    <w:p>
      <w:r>
        <w:t>In the case of SEPE, in the contracts of 2011 and 2012, despite the decrease in selling prices, INDRA's profit margins increased from 18.4% to 24.5% (in 2011) and to 21.9% (in 2012) (folio 9550). In July 2012, INDRA commented that regarding the SEPE offers, they are considering strategies that would allow them to maintain a margin between 10% and 15% (folio 7490).</w:t>
      </w:r>
    </w:p>
    <w:p>
      <w:r>
        <w:t>In the case of GISS, INDRA's margin has been increasing from 8% in 2012, to 10% in 2013, 11% in 2014, 13% in 2015, and 15% in 2016 (folio 9676). Regarding INSS, in tender 60/VC-50/10, SAG comments that in the worst-case scenario, the expected margin is 4.54% (folios 10848 to 10850) at a time when the discount being considered was 10%, although the offered discount was later lower.</w:t>
      </w:r>
    </w:p>
    <w:p>
      <w:r>
        <w:t>In those cases where companies find it difficult to maintain margins, among the actions proposed is the resort to a reduction in labor costs to mitigate possible declines. This is despite the fact that the human resources provided by each company to the projects are essential for the achievement and maintenance of contracts and that the qualification of workers represents the main asset of the companies, which must present resumes in their offers and adapt the personnel of each project to very specific technical requirements in order to achieve the award of various tenders.</w:t>
      </w:r>
    </w:p>
    <w:p>
      <w:r>
        <w:t>In this context, in December 2012, internal requests were made at INDRA for data on the evolution of unit prices from different clients, as well as unit labor costs, in order to attempt to “justify a more widespread salary reduction to recover margins” (folio 9551).</w:t>
      </w:r>
    </w:p>
    <w:p>
      <w:r>
        <w:t>In relation to the agencies whose tenders have been analyzed in this file, it is shown that the average unit hourly cost has been decreasing between 2010 and 2013 from about 29 euros per hour in GISS or INSS and from 31 euros per hour in SEPE, to about 28.3 euros in GISS or INSS and 27.1 euros in SEPE. Despite this, the potential margin would also have been reduced, from 17.1% in INSS or GISS and 18.4% in SEPE, to 8.7% in GISS or INSS and 11.7% in SEPE. The cause of this margin reduction would be the evolution in application maintenance projects, from large evolutions in pre-existing applications to corrective, adaptive maintenance, or small evolutions or adaptations to legislative changes, which entails less voluminous personnel requests. Additionally, the margin would have been affected by the reduction of client budgets, reduction of teams, and conditioning of profiles by clients, who would have retained medium-high profiles without allowing for improved rates. Other aspects impacting margins would have been the reductions in working hours to 7 hours imposed by clients, economic penalties, and the provision of services by other companies in the UTE, in case pending resources are not covered in time (folios 9550 and 9551).</w:t>
      </w:r>
    </w:p>
    <w:p>
      <w:r>
        <w:t>4.2. Illegality of the behaviors</w:t>
      </w:r>
    </w:p>
    <w:p>
      <w:r>
        <w:t>The Competition Directorate has proposed to this Chamber that it sanction the implicated companies for committing a very serious infringement of Articles 1 of the LDC and 101 of the TFEU consisting of a cartel in which several behaviors are observed such as market sharing, price fixing and other commercial conditions, and the exchange of sensitive commercial information.</w:t>
      </w:r>
    </w:p>
    <w:p>
      <w:r>
        <w:t>The aforementioned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among others, in the direct or indirect fixing of prices or other commercial conditions and in the sharing of the market or sources of supply.</w:t>
      </w:r>
    </w:p>
    <w:p>
      <w:r>
        <w:t>It should be noted here, as it has been a constant allegation of the companies in this file, that in infringements of Article 1 of the LDC or 101 of the TFEU, such as those analyzed in this resolution, the fact that the behavior, manifested in a contact or agreement, in any of its forms, between competitors has the object of restricting competition is sufficient to consider its illegality, without the need to demonstrate the existence of effects, nor even that such an agreement has been successfully materialized.</w:t>
      </w:r>
    </w:p>
    <w:p>
      <w:r>
        <w:t>As European courts have pointed out, even “the contact that materializes in the attempt to reach an agreement on prices constitutes a concerted practice prohibited by Article 101 TFEU”142.</w:t>
      </w:r>
    </w:p>
    <w:p>
      <w:r>
        <w:t>On the other hand, and given that the Competition Directorate considers that the behaviors fall into the category of cartel, it is also appropriate to refer to the fourth additional provision of the LDC, in its version prior to the reform introduced on May 25, 2017143, which defines cartel behavior as any “secret agreement between two or more competitors whose object is the fixing of prices, production or sales quotas, market sharing, including fraudulent bidding, or the restriction of imports or exports.”</w:t>
      </w:r>
    </w:p>
    <w:p>
      <w:r>
        <w:t>Without prejudice to the analysis of the illegality of the behaviors carried out in this section, this Chamber already indicates that it agrees with the legal assessment of the facts made by the Competition Directorate in its resolution proposal, so this section is limited to corroborating what the Competition Directorate has already anticipated, namely, that we are facing a series of behaviors that constitute an infringement of the aforementioned articles that has primarily aimed at the distribution of a large number of public contracts of great economic, technical, and functional relevance.</w:t>
      </w:r>
    </w:p>
    <w:p>
      <w:r>
        <w:t>The analysis of the established facts in this resolution, which are fully detailed in folios 24564 to 24678 of the resolution proposal, reveals an unusual and inexplicable coincidence of alliance groups that are maintained in a large number of contracts and in some cases extend to several public agencies, this stability being a clear indication of the existence of covert agreements between the companies to eliminate competitive rivalry in the procurement procedures in which they have participated.</w:t>
      </w:r>
    </w:p>
    <w:p>
      <w:r>
        <w:t>In any case, while this excessive repetition of alliances may already be a very decisive element when considering that we are facing an infringement of competition rules, the truth is that there are many additional elements of proof that help to understand that these alliances do not stem from a necessary collaboration imposed by the administration, as some companies claim, but are the result of a strategy aimed at the distribution of contracts in order to maintain an unaltered position in the market.</w:t>
      </w:r>
    </w:p>
    <w:p>
      <w:r>
        <w:t>142 CJEU judgment of January 26, 2017, case C-609/13P, paragraph 73 and CJEU judgment of December 5, 2013, case C-455/11 P, paragraph 40.</w:t>
      </w:r>
    </w:p>
    <w:p>
      <w:r>
        <w:t>143 The current definition of cartel introduced by Royal Decree-Law 9/2017, of May 26, is as follows: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sharing of markets and customers, including collusions in bidding, restrictions on imports or exports, or measures against other competitors contrary to competition.”</w:t>
      </w:r>
    </w:p>
    <w:p>
      <w:r>
        <w:rPr>
          <w:b/>
        </w:rPr>
        <w:t>[Pages 115–117]</w:t>
      </w:r>
    </w:p>
    <w:p>
      <w:r>
        <w:t>A total of 22 contracts affecting various public bodies have been analyzed. As can be seen in the proven facts of this file, these are large-scale contracts in terms of value and duration, with considerable solvency requirements for the participating companies, which is why these tenders are usually attended by companies with significant economic, technical, and professional capacity. Nevertheless, in part of the contracts, it is necessary to collaborate due to the requirements of the specifications. This issue has not been controversial throughout the instruction of this procedure, except in specific cases where it seems that there is no need to form a UTE, yet alliances are maintained.</w:t>
      </w:r>
    </w:p>
    <w:p>
      <w:r>
        <w:t>This need for collaboration among companies to bid for these contracts does not justify, in the opinion of this Chamber, the unusual and widespread pattern of behavior consisting of systematically and jointly collaborating in a large number of public tenders. This behavior extends to a significant number of contracts and various public bodies, so we are not dealing with isolated conduct among companies that could respond to a specific need for collaboration, but rather with a pattern of behavior entrenched over time that has allowed companies to share a large number of public contracts instead of competing for them, with the advantage that this would have meant for competition, for the administration, and for society.</w:t>
      </w:r>
    </w:p>
    <w:p>
      <w:r>
        <w:t>Collaboration among companies has materialized, mainly, through their participation in UTEs in the various contracts tendered, with an unusual and excessive coincidence of companies collaborating in this way, whether in contracts from the same body or in several of them. It is also observed how companies make interested and illicit use of the figure of subcontracting, with conditions that include non-competition agreements between the subcontracted company and the subcontracting UTE, thus ensuring the subcontracted company a percentage of billing and more advantageous conditions compared to other subcontracted companies in exchange for not participating in alternative offers that could compete for the award of the tendered services, that is, the agreements contain non-competition pacts.</w:t>
      </w:r>
    </w:p>
    <w:p>
      <w:r>
        <w:t>We are, therefore, before the interested and forced instrumentalization of a series of legal figures, such as UTEs and subcontracting, which serve as an excuse for companies to simulate a situation of competitive normality in public tendering procedures and thus mask a series of agreements to share contracts with the purpose of maintaining unchanged and permanent their alliances over a considerable period of time. Legal instruments widely accepted in public and private contractual practice are used to achieve illicit ends such as the sharing of contracts. Therefore, in this case, the means used, although they may have been necessary at times to participate in tenders, cannot be justified if they are aimed at anti-competitive purposes.</w:t>
      </w:r>
    </w:p>
    <w:p>
      <w:r>
        <w:t>The justification for the formation of UTEs thus responds to strategic considerations of the companies that, to a large extent, are oriented towards maintaining a status quo, since those companies that had been providing a service to a certain body ensure, when the agreement achieves its objective, to perpetuate their position in successive contracts. It is true, as pointed out by the Directorate of Competition, that sometimes the specifications may have had some impact on the maintenance of UTEs, but as analyzed in the section corresponding to the application of the principle of legitimate expectation, this does not exclude the responsibility of the companies.</w:t>
      </w:r>
    </w:p>
    <w:p>
      <w:r>
        <w:t>In this sense, it should be noted that the analysis of the tenders shows that the option to seek alternative alliances existed in a large part of the tenders, among other reasons, because in the documentation sent by the GISS, the SEPE, and the INSS during the instruction of the procedure regarding the affected tenders, the competitive presence of several UTEs in a considerable number of tenders can be observed, which is clear evidence that the interested perpetuation of alliances did not always respond to an objective need derived from the specifications themselves but rather to business strategies with clear illicit private interests.</w:t>
      </w:r>
    </w:p>
    <w:p>
      <w:r>
        <w:t>In other cases, the facts demonstrate that it was not even necessary to go in a UTE or through large alliances, and yet this circumstance has not prevented companies from maintaining collaborations. An example of this is INDRA's statements regarding AEAT tenders, in which it indicates that "We have to think about whether we play the possibility of a single offer or if we consider the existence of several. Obviously, the outcome of the strategy is totally different." (fact 27), or "Mª Jesús, we must decide whether we bid alone for this tender with IBM as a subcontractor or whether we propose to go in a UTE. I will tell you the economic scenarios and the advantages and disadvantages..." (fact 59).</w:t>
      </w:r>
    </w:p>
    <w:p>
      <w:r>
        <w:t>In the GISS contracts, SAG also states regarding collaboration with INDRA that "We will fight, compete, you will lose, and then you will want to share it" (fact 147). In INSS contracts, it also states that "then we understand it but we would present ourselves alone" (fact 282), or when SAG indicates regarding INSS contracts that "Let’s not forget that in the case of Atrium we gave a 25% because yes..." (facts 267 and 311).</w:t>
      </w:r>
    </w:p>
    <w:p>
      <w:r>
        <w:t>In the case of SEPE contracts, SAG comments on INDRA's intention: "If we do not go together, we do not see the idea of 'not harming each other' and respecting a lot for each one" (fact 227). Through these types of statements, companies merely demonstrate that they had sufficient capacity to participate, at least in certain tenders, individually or in smaller alliances.</w:t>
      </w:r>
    </w:p>
    <w:p>
      <w:r>
        <w:t>Aside from these statements from the companies, there are objective data showing that, in some contracts, despite agreements of collaboration among several companies—some of which certainly involve a large number of companies—the final award fell to a single company, in competition with the UTE, or to a smaller UTE in terms of the number of companies, which demonstrates the unnecessary collaboration of such a number of companies in certain contracts. This is the case, for example, of contract 7201/14G of the GISS, where there is evidence of an agreement among the companies INDRA, SAG, ALDEBARAN to present themselves in UTE for lot 3 and subcontract CONNECTIS, ATOS, and BABEL, and yet the lot was awarded to a single company, INSA (fact 141). In this same contract, lot 2 was awarded to the UTE formed by the companies SAG, INDRA, and CONNECTIS, which agreed to subcontract ATOS and GESEIN. However, offers from EVERIS and INSA are recorded in the tender procedure, which again evidences alternatives to the formation of large UTEs and constant alliances. Another example can be found in tender PA 7/14 of the SEPE, where CONNECTIS did not reach an agreement with NEXT and SAG, despite initial contacts between these three companies, and CONNECTIS presented itself alone, resulting in the award of lot 1 of this file, which, among other aspects, demonstrates that the presentation in UTE in previous tenders was probably not necessary, but rather the result of agreements and concerted practices reached to restrict competition (facts 222 to 246).</w:t>
      </w:r>
    </w:p>
    <w:p>
      <w:r>
        <w:t>It should also be noted that the fact that there was competition from other companies and UTEs in a large part of the contracts reasonably suggests that the specifications did not always have that deterministic character that some companies claim, as it would then lack all logic for the presence of other interested parties in the tender procedure knowing the impossibility of being winners of the tender.</w:t>
      </w:r>
    </w:p>
    <w:p>
      <w:r>
        <w:t>In light of these circumstances, for this Chamber, the objective of the agreements among the companies is clear: to preserve at all costs and by any means the positions in the contracts in which they participate, regardless of the necessity or not of participating in a UTE or carrying out subcontracting.</w:t>
      </w:r>
    </w:p>
    <w:p>
      <w:r>
        <w:t>There are several examples in the proven facts that demonstrate that, for the companies, the fact that the administration introduced certain mechanisms to promote competitive participation, such as dividing the object of the contract into different lots, did not pose any obstacle to achieving their objectives, as they manage to adapt the agreements to the new circumstances by seeking ways to overcome those vicissitudes. The most frequent examples refer to agreements for joint presentation to the different lots simulating competition, when in reality the companies act as a unit of action.</w:t>
      </w:r>
    </w:p>
    <w:p>
      <w:r>
        <w:t>In the case of tender PA 2/2015 of the AEAT, despite the aforementioned body separating the contract into lots, with the manifest intention of "promoting competition" (fact 60), the four companies that had previously provided those services together meet and divide the lots based on their deterministic design, but they jointly manage both lots.</w:t>
      </w:r>
    </w:p>
    <w:p>
      <w:r>
        <w:rPr>
          <w:b/>
        </w:rPr>
        <w:t>[Pages 118–120]</w:t>
      </w:r>
    </w:p>
    <w:p>
      <w:r>
        <w:t>that are presumed to be independent, also providing mechanisms to balance the required profiles in both lots so that the percentage distribution from the previous tender, in which there was a single lot, is maintained, and reaching agreements also regarding the discounts to be offered. In the agreements between the companies, the objective is stated, “to somehow articulate that the current business percentages are maintained or tend to be maintained even though we have separate UTES” (fact 63).</w:t>
      </w:r>
    </w:p>
    <w:p>
      <w:r>
        <w:t>Another example can be found in the case of the SEPE, where the separation of the tendered services into lots leads the companies to design systems to maintain their participation, mentioning the strategy of presenting in different UTES and crossing subcontracting, even before the tender was called (facts 188 and 202): “there are again changes, the maintenance lots have been separated again, anyway I think we should continue to maintain an alliance among the 5 key players, even if it is with a strategy of presenting in two different UTES and then crossing subcontracting. In any case, although SAG plays an important role, it is Thales that we need to ‘loyalize’” (fact 202).</w:t>
      </w:r>
    </w:p>
    <w:p>
      <w:r>
        <w:t>These practices cannot be considered lawful, and therefore the Legal Advisory of ATOS warned the company that the agreements ATOS was reaching with SAG and THALES could be infringing competition defense and public procurement regulations. ATOS conveyed these warnings to the other companies involved in these agreements, SAG and THALES (facts 190 and 191): “What is now proposed in this agreement to be signed by all members of the two UTES (which are not the same in both UTES) determines how the participation percentage of each member will be divided and the agreements between the parties in case of being awarded one or the other lot or both.</w:t>
      </w:r>
    </w:p>
    <w:p>
      <w:r>
        <w:t>The problem we see is that this implies a market division, as it subordinates the participation of the members of the UTES in the different Lots to the award of one or the other lot, in which case a part of the project will be subcontracted to the companies that have not been awarded. This is contrary to Competition Defense Legislation.” It also states that “This also violates the rules of the purpose that justifies the establishment of a UTE, as it can be considered that they are being formed so that the companies signing this agreement execute part of the project, either directly as a member of the UTE or through subcontracting, depending on the award decided by the Administration.”</w:t>
      </w:r>
    </w:p>
    <w:p>
      <w:r>
        <w:t>Not only were these warnings ignored by the companies, but emails were exchanged stating that “legal issues should not be mixed when agreeing on the content of a legal document, with the business we are involved in, a business in which all five companies are absolutely involved and in agreement” (fact 193).</w:t>
      </w:r>
    </w:p>
    <w:p>
      <w:r>
        <w:t>As already noted, another of the legal-contractual instruments that have been strategically used in almost all agencies is the subcontracting of companies, which is accompanied by non-competition agreements (the companies refer to preferential subcontracting). With these subcontracting arrangements, seemingly lawful alternatives are sought to continue maintaining alliances between companies for anti-competitive purposes.</w:t>
      </w:r>
    </w:p>
    <w:p>
      <w:r>
        <w:t>In the negotiations for a collaboration agreement between EVERIS, THALES, SAG, ATOS, and NEXT for the SEPE, subcontracting is defined in preferential terms considering such preference “not only in offering competitive conditions but also in considering the other parties as the only option to participate in the tenders and subcontract in them, in the case of Everis Spain, S.L. for lot 6 […]”. Furthermore, “all parties commit not to participate individually or jointly with other companies that are not part of this Agreement in these lots” (fact 187).</w:t>
      </w:r>
    </w:p>
    <w:p>
      <w:r>
        <w:t>It is revealing in the case of subcontracting that it allows for the maintenance of the percentages that companies carry over from alliances in previous contracts. As already noted, it is another instrument that allows these alliances. What is truly important is the end, in this case, the maintenance of the position in the contract, regardless of the means used to achieve it.</w:t>
      </w:r>
    </w:p>
    <w:p>
      <w:r>
        <w:t>It should be noted that the creation of a UTE and the use of subcontracting are not only used as mechanisms to preserve the position of companies in the agreements but are also configured as defensive instruments to prevent the formation of alternative offers that could be led by non-main members of the UTE. This avoids, for example, “our partners forming a common front by talking among themselves” (fact 131), that those same partners “collaborate with CVS and knowledge with the competition” (facts 114 and 117), or to gather “more blocks and limit competition” (fact 146), or to “avoid other unions” (fact 232). In fact, companies show awareness of the effects of their conduct when they make statements like “I am surprised by the little competition…hahaha. Of course, everyone is with us hahaha!!!!!” (fact 159).</w:t>
      </w:r>
    </w:p>
    <w:p>
      <w:r>
        <w:t>As stated in the facts and in the previous sections, the success of the endurance of alliances among such a large number of companies largely resides in the implementation of a generalized process that is observed in the vast majority of contracts and public agencies. This standardization of the process for achieving agreements has allowed companies to streamline and secure their alliances over such a long time and in relation to such a diversity of contracts.</w:t>
      </w:r>
    </w:p>
    <w:p>
      <w:r>
        <w:t>The prior relationship with contracting administrations is a factor to highlight, as it allows companies to configure their offers with sufficient advance notice, even without knowing the conditions of the new contract. Companies even go so far as to condition the content of the tenders according to their particular interests in the bidding. For example: “we have developed the profiles together with the client and in the specifications, they have put exactly the models that we sent them” (fact 28); “there is a working group formed by INDRA and SAG that has collaborated with the GISS in drafting the report and subsequent specifications” (fact 115); “the specifications are ‘marked’ technologically thanks to our participation in the development of the profiles” (fact 272).</w:t>
      </w:r>
    </w:p>
    <w:p>
      <w:r>
        <w:t>Knowledge of the upcoming tender initiates a round of contacts among the companies to ascertain that the pre-existing alliances between them are maintained or to contact those companies they consider better positioned, either in the specific service subject to the tender or in the contracting agency of the tender.</w:t>
      </w:r>
    </w:p>
    <w:p>
      <w:r>
        <w:t>Negotiations usually lead to the signing of a collaboration agreement that is not public and in which the real scope of the agreements is reflected. These formal agreements practically coincide in the majority of contracts and public agencies, regardless of the companies participating in them. The habitual use of these documents among the different alliances is such that even model documents are sent to companies that include other companies that do not participate in the collaboration in question (for example, facts 194, 196).</w:t>
      </w:r>
    </w:p>
    <w:p>
      <w:r>
        <w:t>Among these common elements observed throughout the facts, special attention should be paid to the system of adjustments between companies, which contributes to maintaining the status quo of the alliances. The systematic use of this adjustment mechanism, almost always benefiting the same companies (in many cases, INDRA and SAG), evidences that it guarantees that the companies with greater negotiating power receive higher revenues than they would correspond based on the services actually provided and allows them to maintain those percentages, despite any problems these companies may have in providing sufficient qualified personnel for all the services being provided simultaneously.</w:t>
      </w:r>
    </w:p>
    <w:p>
      <w:r>
        <w:t>The continued use of these mechanisms has allowed leading companies, such as INDRA and SAG, to receive billing percentages that do not correspond to the services provided and that, therefore, artificially maintain their market shares and increase their billing at the expense of smaller companies, with less negotiating power that, in exchange for securing a certain share and the continuation of their participation in the distributions, are willing to give up a percentage of what is billed based on their actual service provision.</w:t>
      </w:r>
    </w:p>
    <w:p>
      <w:r>
        <w:t>In short, as some companies have pointed out throughout the proceedings, “it is possible that certain actions reflected in the file exceed the line of honesty of the rules for joint presentation in conjunction with business resources, conditioning such presentation through compensations in different awards by seemingly legitimate methods (such as subcontracting or adjustments)” (folio 25144).</w:t>
      </w:r>
    </w:p>
    <w:p>
      <w:r>
        <w:rPr>
          <w:b/>
        </w:rPr>
        <w:t>[Pages 121–123]</w:t>
      </w:r>
    </w:p>
    <w:p>
      <w:r>
        <w:t>All these cited elements allow us to conclude the existence of a widespread pattern of behavior among a group of companies that has affected a large number of public contracts and has spread to various public bodies of the State.</w:t>
      </w:r>
    </w:p>
    <w:p>
      <w:r>
        <w:t>It should be specified, in any case, that while the behaviors analyzed so far are the main core of the infringement, among other reasons because there is a greater number of proven facts regarding them, there is another type of behavior aimed, likewise, at distorting competition in public tenders. An example of this can be considered the transfer of keys related to Assets between companies and the request for coverage offers in certain public tenders (facts 331 to 350).</w:t>
      </w:r>
    </w:p>
    <w:p>
      <w:r>
        <w:t>The transfer of Asset keys and coverage offers are other market-sharing behaviors that allow companies to distort competition in public tenders through the agreed simulation of a non-existent competition in the tender.</w:t>
      </w:r>
    </w:p>
    <w:p>
      <w:r>
        <w:t>Regardless of the means and methods used to distort competition, it is true that in all the analyzed behaviors there is a common pattern of behavior that consists of creating an appearance of competitive normality in public tenders—either through the use of legally accepted instruments, through the simulation of offers, or through the use of borrowed keys—that pursues a single objective: to alter the competitive context in the tenders to the benefit of the companies that are part of the agreement.</w:t>
      </w:r>
    </w:p>
    <w:p>
      <w:r>
        <w:t>These are agreements that may bear some similarity, in terms of their purpose, to those sanctioned by the Competition Defense Tribunal in the year 2000 in the Travel Agencies case (476/99). In relation to this case, the Supreme Court, in its ruling of February 14, 2006 (cassation appeal 4628/2003), confirmed the resolution by understanding that “What has been sanctioned as contrary to Article 1 of the Competition Defense Law is a collaboration between competing companies consisting of a network of agreements aimed at turning a public tender for obtaining a concession into a fictitious and irrelevant procedure,” and made some considerations of interest that also serve for the cases analyzed here.</w:t>
      </w:r>
    </w:p>
    <w:p>
      <w:r>
        <w:t>The High Court points out in the cited ruling a first issue that in this case is of great importance and refers to the fact that in cases where there may be a lack of capacity to participate in contracts, companies must seek alternatives with subsequent agreements with other companies that do not pose any problem from the point of view of competition. Therefore, and despite having already pointed out that in part of the contracts it may be necessary to collaborate, the configuration of alliances does not aim to guarantee solvency to compete under better conditions, but rather to alter the free play of competition by establishing prior market divisions. A relevant aspect, in the opinion of this Chamber, is that it is proven that, upon warning from the Legal Advisory of one of the companies about the existence of a possible anti-competitive agreement, the parties decide to maintain their strategy. The same happens in cases where the possibility of competing alone has been proven but the UTEs are maintained with the same objective.</w:t>
      </w:r>
    </w:p>
    <w:p>
      <w:r>
        <w:t>In that case analyzed by the Supreme Court, the companies used an Economic Interest Grouping (AIE) as an instrument to share contracts. Although they presented themselves alone in the tenders, the private agreements established that the contracts would be executed in a concerted manner through the AIE, so the High Court points out that “in this way, the outcome of the tender was indifferent regarding the part to be executed by each of the companies; that is, the tender became a fictitious formality replaced by the agreement between the competing companies within the framework of a grouping of companies constituted by them: competition in the public tender was replaced by the private agreement within a private business grouping.” In this case, these described traits are again observed, as the companies simulate competitive normality when in reality there is a hidden concertation to share the contracts. The clearest example is seen in those contracts where there is division into lots and it is proven that the companies also decide to act as a decision-making unit and share the lots in the way that best suits them, usually dividing into two UTEs and crossing subcontracting, to simulate competitive concurrency among themselves.</w:t>
      </w:r>
    </w:p>
    <w:p>
      <w:r>
        <w:t>The third aspect that is relevant in that ruling refers to the non-competition agreements between the companies, such as those analyzed in this case, regarding which the High Court points out that “therefore, when assessing the justification alleged for the supposed impossibility of isolated execution of the program, it is also necessary to consider that along with the collaboration agreements for its joint execution regardless of the outcome of the tender, agreements were concluded aimed at preventing possible competition for the same by other competitors (…)”.</w:t>
      </w:r>
    </w:p>
    <w:p>
      <w:r>
        <w:t>And finally, a consequence that the Supreme Court already warns in that ruling, and that can be observed in this case, refers to the difficulties of access to contracts faced by those companies that are not part of the agreements:</w:t>
      </w:r>
    </w:p>
    <w:p>
      <w:r>
        <w:t>“The T.D.C. is right to point out that if the access of new operators is only possible at the time of the tender, if the only four companies that present themselves do not actually compete with each other, but rather agree in advance on the distribution of the total tender, if a substantial preference is granted to the previous awardee and if, in the period between tenders, the already established companies have opportunities, which they frequently materialize, to extend the granted services without the need to tender, it is evident that collusive agreements constitute an additional barrier. The market is reduced and potential entrants thus see their access opportunities diminished.”</w:t>
      </w:r>
    </w:p>
    <w:p>
      <w:r>
        <w:t>The interest of third companies to participate in a large number of the analyzed contracts allows us to observe a clear effect of the collusive agreements, such as the limitation of market access to other competitors, in this case, to a large number of public contracts. The distribution of contracts among the group of implicated companies has led to other companies interested in the award of the same being prevented from competing on equal terms and, ultimately, from having real options to win the tenders, and this is a serious effect derived from these behaviors.</w:t>
      </w:r>
    </w:p>
    <w:p>
      <w:r>
        <w:t>The similarity of characteristics that these agreements have with those analyzed by jurisprudence reinforces the idea that we are facing genuine anti-competitive agreements that deserve to be sanctioned.</w:t>
      </w:r>
    </w:p>
    <w:p>
      <w:r>
        <w:t>Finally, this Chamber does not want to fail to note that the success of all these behaviors has also relied on mutual trust among the companies, which is why it is not surprising that there have been constant exchanges of certainly sensitive information such as personal data of employees of the companies, considering that in a market as specialized as that of IT tenders, employees are an essential asset within the companies' strategy. However, they have not hesitated to exchange this type of data (for example, facts 16, 70, 185).</w:t>
      </w:r>
    </w:p>
    <w:p>
      <w:r>
        <w:t>In conclusion, and after evaluating the proven facts, this Chamber considers that the existence of an infringement of Articles 1 of the LDC and 101 of the TFEU has been proven, which has aimed at the distribution by several companies of a large number of public contracts tendered in various public bodies.</w:t>
      </w:r>
    </w:p>
    <w:p>
      <w:r>
        <w:t>Likewise, and although some companies have alleged that the requirements to qualify the behaviors as a cartel are not met, the proven facts reveal that we are facing agreements among competitors, mainly aimed at the distribution of contracts, and in which there is a manifest intention to conceal part of those agreements from the contracting administration and the market in general, these requirements being provided for in the fourth additional provision of the LDC, which, in its version prior to the reform introduced on May 25, 2017, defines cartel behavior as any “secret agreement between two or more competitors whose object is the fixing of prices, production or sales quotas, market sharing, including fraudulent bids, or the restriction of imports or exports.”</w:t>
      </w:r>
    </w:p>
    <w:p>
      <w:r>
        <w:t>As already pointed out, negotiations between companies often lead to the signing of a collaboration agreement that is not public and reflects the real scope of the agreements and that does not always coincide with the formal offer submitted in the tender procedure.</w:t>
      </w:r>
    </w:p>
    <w:p>
      <w:r>
        <w:t>This discrepancy between the real and theoretical agreements is evident in the following email between THALES, SAG, EVERIS, ATOS, and NEXT (fact 195):</w:t>
      </w:r>
    </w:p>
    <w:p>
      <w:r>
        <w:rPr>
          <w:b/>
        </w:rPr>
        <w:t>[Pages 124–126]</w:t>
      </w:r>
    </w:p>
    <w:p>
      <w:r>
        <w:t>“3.- Regarding what we discussed yesterday about the Percentages, we should use the percentages from the commitment presented with the offer in lot 3 for the Statutes, that is to say:</w:t>
        <w:br/>
        <w:t>Commitment of UTE (theoretical percentages for the establishment of UTE):</w:t>
        <w:br/>
        <w:t>Everis: 34.00; Thales: 25.00; Next: 19.00; SAG: 12.00; Atos: 10.00.</w:t>
        <w:br/>
        <w:t>And reflect the actual percentages for billing and operation of the UTE, in the private collaboration Agreement, that is to say:</w:t>
        <w:br/>
        <w:t>Award scenario (actual operating percentages):</w:t>
        <w:br/>
        <w:t>Everis: 16.94; Thales: 33.53; Next: 23.01; SAG: 17.52; Atos: 9.00.”</w:t>
        <w:br/>
        <w:t>Another example of this can be found in the alliances of the GISS, where it is shown that, although the awardee of lot 12 was formally the UTE composed of the companies INDRA/THALES/ATOS, in fact, there is an Excel sheet prepared by SAG regarding this lot in which, in addition to the aforementioned companies, SAG also appears in parentheses with a percentage of 10% (fact 76). This hypothetical distribution in which SAG appears coincides with that established in the collaboration agreement signed between the four companies on August 28, 2006 (folio 5850).</w:t>
        <w:br/>
        <w:t>On the other hand, the secret nature of the agreements is also evident in the coverage agreements and the transfer of keys of Heritage. These agreements, by their very nature, aim to simulate competition in public contracting and are therefore made without the knowledge of the contracting administration, the market itself, or, as is the case with contract 25/2002 for the development services of the Ministry of the Interior, without the knowledge of the intervention bodies of the public administration (fact 331).</w:t>
        <w:br/>
        <w:t>We are, consequently, faced with behaviors that deserve the qualification of cartel, and the allegations of the parties to the contrary cannot be accepted.</w:t>
        <w:br/>
        <w:t>4.3. Single and Continuous Violation</w:t>
        <w:br/>
        <w:t>There is abundant jurisprudence, both national and from the European Union, indicating that the attribution of a single and continuous violation must be preceded by the concurrence of the following requirements144: i) that the conduct is due to the existence of a plurality of acts carried out by the same responsible subjects, close in time, and that obey a homogeneous practice in the modus operandi through the use of similar measures, instruments, or techniques of action; ii) that the actions of the responsible parties occur in execution of a previously conceived plan; iii) that there is unity of the legal provision violated so that the legal good harmed is coincident, of the same or similar nature. Regarding the continuity of the conduct, the jurisprudence only requires that there are no significant time gaps of inactivity or lack of evidence of the maintenance of the anticompetitive agreements145.</w:t>
        <w:br/>
        <w:t>In this case, regarding the duration of the conduct, from a general point of view, the violation begins in January 2005, at which point the first agreements and coordinated practices between SAG and INDRA aimed at limiting competition in the submission of bids in a tender called by the INSS related to Tender 11/CP-10/2005, Atrium project (facts 263 et seq.) are documented. On the other hand, from October 27, 2015, coinciding with the start of inspections carried out by the Directorate of Competition at the premises of INDRA, CIBERNOS, and SAG, no new agreements have been documented for the purposes of this file. However, it should be emphasized that the effects of the conduct persist today, considering that some of the affected contracts are still in force. Thus, the continuity of the conduct is evident if we take into account that practically every year, from 2005 to 2015, there are documented agreements between the companies whose validity, moreover, extends without interruption during the duration of the contracts, with the particularity that in each agency there are sequences of contracts that succeed and overlap in time, facilitating the objective of preserving the status quo of the companies.</w:t>
        <w:br/>
        <w:t>Regarding the analysis of the requirements to consider the existence of a single violation, the facts reveal that we are faced with a violation committed by several companies that clearly consists of several behaviors that jointly and independently violate Article 1 of the LDC and Article 101 of the TFEU. There is identity of object and subjects in the different manifestations of the violation.</w:t>
        <w:br/>
        <w:t>The common objective of the agreements is the distortion of competition in public tenders. With these agreements, the companies have pursued an illicit benefit consisting of securing the award of contracts by simulating a non-existent intention to compete for them.</w:t>
        <w:br/>
        <w:t>The core of the violation has consisted of the distribution of public contracts through the instrumentalization of contractual figures such as UTE and subcontracting, but other types of practices that pursue similar objectives have also been documented, such as coverage offers or the transfer of keys of Heritage, in which there is participation overlap of some companies.</w:t>
        <w:br/>
        <w:t>145 Among others, Judgment of the General Court of the European Union (Eighth Chamber), of May 19, 2010 (case T-18/05); Judgment of the CJEU of January 7, 2004 (joined cases C-204/00 P, C-211/00 P, C-213/00 P, C-217/00 P, and C-219/00 P), Judgments of the National Court of February 21, 2013, and June 19, 2013.</w:t>
        <w:br/>
        <w:t>The success of the objective pursued by these agreements has largely relied on the implementation of a modus operandi whose main characteristic is that it is repeated in different contracts and public agencies. It is a modus operandi, moreover, that contains a series of certainly particular traits, as noted in this resolution, so its extension to several public agencies and its application by a large number of companies evidences that we are facing a global market-sharing plan, led, as already noted, by the companies SAG and INDRA, whose presence in practically all contracts and public agencies allows us to conclude that these two companies represent the core of the agreement to which the rest of the companies are integrating to a greater or lesser extent.</w:t>
        <w:br/>
        <w:t>The following table shows the presence of companies in the agreements in the different public agencies:</w:t>
        <w:br/>
        <w:t>PARTICIPATION OF THE COMPANIES</w:t>
        <w:br/>
        <w:t>AEAT GISS SEPE INSS ENVIRONMENT OTHERS</w:t>
        <w:br/>
        <w:t>SAP</w:t>
        <w:br/>
        <w:t>SAG X X X X X X</w:t>
        <w:br/>
        <w:t>INDRA X X X X X X</w:t>
        <w:br/>
        <w:t>CIBERNOS X X X X</w:t>
        <w:br/>
        <w:t>GESEIN X X X</w:t>
        <w:br/>
        <w:t>EVERIS X X X</w:t>
        <w:br/>
        <w:t>ATOS X X X X</w:t>
        <w:br/>
        <w:t>ACCENTURE X</w:t>
        <w:br/>
        <w:t>AXPE X</w:t>
        <w:br/>
        <w:t>CONNECTIS X X</w:t>
        <w:br/>
        <w:t>IBM X X</w:t>
        <w:br/>
        <w:t>BABEL X X</w:t>
        <w:br/>
        <w:t>NEXT X</w:t>
        <w:br/>
        <w:t>IECISA X X</w:t>
        <w:br/>
        <w:t>ALDEBARAN X</w:t>
        <w:br/>
        <w:t>As can be seen in the above table, the participation of most companies in agreements through this modus operandi has not been limited to a single public agency, and in the few cases where it can be</w:t>
      </w:r>
    </w:p>
    <w:p>
      <w:r>
        <w:rPr>
          <w:b/>
        </w:rPr>
        <w:t>[Pages 127–129]</w:t>
      </w:r>
    </w:p>
    <w:p>
      <w:r>
        <w:t>observe a company's participation limited to a single public body, the agreements have extended to several contracts (in relation to the companies ALDEBARAN, AXPE, IECISA, and INDRA SOFTWARE LABS, as will be explained later, it is considered that their conduct cannot be sanctioned in this resolution).</w:t>
      </w:r>
    </w:p>
    <w:p>
      <w:r>
        <w:t>The different degrees of participation of the companies do not prevent this Chamber from considering their participation in a single and continuous infringement. As the Audiencia Nacional pointed out in its judgment dated March 17, 2017 (appeal 191/2013), the fact that a company's intervention does not affect all the tenders subject to the agreements does not exclude its participation in the infringement from the outset.</w:t>
      </w:r>
    </w:p>
    <w:p>
      <w:r>
        <w:t>Most companies, particularly those whose participation does not extend to several public bodies, have argued throughout the proceedings that it is not possible to attribute to them a single and continuous infringement since the jurisprudential requirements are not met, particularly the one relating to the knowledge of a preconceived global plan among the companies, as they consider that having participated in agreements in one public body does not presuppose knowledge of other conduct in the rest of the affected bodies.</w:t>
      </w:r>
    </w:p>
    <w:p>
      <w:r>
        <w:t>European jurisprudence has indicated that in the different degrees of attribution of responsibility to the companies participating in a single and continuous infringement, it is necessary to take into account mainly two circumstances: the degree of participation of the company in the conduct and the knowledge by this company of other behaviors carried out by the other participants to achieve the same objectives.</w:t>
      </w:r>
    </w:p>
    <w:p>
      <w:r>
        <w:t>In the judgment of the General Court of the European Union dated March 14, 2013 (case T-587/08), the aforementioned Court confirmed the decision of the European Commission of October 15, 2008 (Case COMP/39.188-Bananas) in which it attributed a single and continuous infringement to all the companies participating in the conduct, regardless of their degree of contribution to it, but attributed responsibility to the companies only for the part of the infringement in which they had participated.</w:t>
      </w:r>
    </w:p>
    <w:p>
      <w:r>
        <w:t>In the cited judgment, the General Court states the following:</w:t>
        <w:br/>
        <w:t>“643 The Commission indicated that, while Chiquita was aware of the collusive agreements between Dole and Weichert or at least anticipated them, it was willing to take the risk and had knowledge or could reasonably have foreseen the behavior related to the collusive practice in its entirety and common objective; however, it did not have sufficient elements to conclude that Weichert was aware of the communications prior to the price-fixing between Chiquita and Dole or to demonstrate that Weichert could reasonably have foreseen their existence (recitals 253 to 255 of the contested Decision).</w:t>
      </w:r>
    </w:p>
    <w:p>
      <w:r>
        <w:t>644 At the end of its analysis, the Commission concluded the following (recital 258 of the contested Decision):</w:t>
        <w:br/>
        <w:t>“[L]the Commission considers that all the collusive agreements described in Chapter 4 of this Decision constitute a single and continuous infringement whose object was to restrict competition in the Community within the meaning of Article 81 EC. Chiquita and Dole will be considered responsible for the single and continuous infringement in its entirety, while Weichert, given the elements available to the Commission, will only be considered responsible for the part of the infringement in which it participated, that is, for the part of the infringement concerning the agreements with Dole.”</w:t>
      </w:r>
    </w:p>
    <w:p>
      <w:r>
        <w:t>(…)</w:t>
      </w:r>
    </w:p>
    <w:p>
      <w:r>
        <w:t>646 Given the explicit terms of recital 258 of the contested Decision, the contested Decision must be interpreted, as the Commission indicated at the hearing, in the sense that it does not attribute to Weichert responsibility for the infringement as a whole, unlike what occurs with Dole and Chiquita.</w:t>
      </w:r>
    </w:p>
    <w:p>
      <w:r>
        <w:t>647 In these circumstances, contrary to what the claimant and the intervenor assert, the Commission did not make an erroneous application of the concept of a single infringement, as interpreted by the jurisprudence.</w:t>
      </w:r>
    </w:p>
    <w:p>
      <w:r>
        <w:t>648 In this regard, it should also be noted that the fact that a company did not participate, as is the case with the company formed by Weichert and Del Monte in the present case, in all the constitutive elements of a collusive practice or that it played a minor role in the aspects in which it participated is not relevant when attributing an infringement. This aspect should only be taken into consideration when assessing the seriousness of the infringement and, where appropriate, when determining the fine (judgment Aalborg Portland and others/Commission, cited in paragraph 371 above, paragraphs 86 and 292).</w:t>
      </w:r>
    </w:p>
    <w:p>
      <w:r>
        <w:t>649 It should be noted that the Commission granted Weichert, as a mitigating circumstance, a 10% reduction applied to the base amount of the fine due to the fact that this company was not aware of the communications prior to the price-fixing between Chiquita and Dole or could not reasonably foresee them (recital 476 of the contested Decision).</w:t>
      </w:r>
    </w:p>
    <w:p>
      <w:r>
        <w:t>650 From the above, it follows that the allegation referred to in paragraph 586 above must be dismissed.</w:t>
      </w:r>
    </w:p>
    <w:p>
      <w:r>
        <w:t>651 In these circumstances, it is appropriate to conclude that the Commission cannot be reproached for any infringement of Article 81 EC or Article 253 EC” (the emphasis is ours).</w:t>
      </w:r>
    </w:p>
    <w:p>
      <w:r>
        <w:t>In the subsequent Judgment of the Court of Justice of the European Union dated June 4, 2015 (joined cases C-293/13P and C-294/13P), the aforementioned Court confirmed the previous considerations by stating that:</w:t>
        <w:br/>
        <w:t>“157 A company that has participated in such a single and complex infringement through its own behaviors, subsumable under the concepts of agreement or concerted practice with an object contrary to competition within the meaning of Article 81 EC, paragraph 1, and that intended to contribute to the execution of the infringement as a whole, may also be responsible for the behaviors adopted by other companies within the same infringement throughout the period of its participation in that infringement. This occurs when it is established that the said company attempted to contribute with its own behavior to the achievement of the common objectives pursued by all participants and that it was aware of the infringing behaviors anticipated or executed by other companies to achieve the same objectives or could reasonably have foreseen them and was willing to assume the risk (judgment Commission/Verhuizingen Coppens, C-441/11 P, EU:C:2012:778, paragraph 42 and cited jurisprudence).</w:t>
      </w:r>
    </w:p>
    <w:p>
      <w:r>
        <w:t>158 Consequently, a company may have directly participated in all the behaviors contrary to competition that constitute the single and continuous infringement, in which case the Commission may lawfully attribute to it the responsibility for all those behaviors and, therefore, for that infringement in its entirety. Likewise, a company may have directly participated only in part of the behaviors contrary to competition that constitute the single and continuous infringement, but have had knowledge of all the other infringing behaviors anticipated or executed by the other participants in the cartel to achieve the same objectives or have been able to reasonably foresee them and have been willing to assume the risk. In such a case, the Commission may also lawfully attribute to that company the responsibility for all the behaviors contrary to competition that constitute such an infringement and, consequently, for it in its entirety (judgment Commission/Verhuizingen Coppens, C-441/11P, EU:C:2012:778, paragraph 43).</w:t>
      </w:r>
    </w:p>
    <w:p>
      <w:r>
        <w:t>159 On the contrary, if a company has directly participated in one or several behaviors contrary to competition that constitute a single and continuous infringement, but it has not been established that, through its own behavior, it attempted to contribute to the entirety of the common objectives pursued by the other participants in the cartel and that it was aware of all the other infringing behaviors anticipated or executed by those participants to achieve the same objectives or could reasonably have foreseen them and was willing to assume the risk, the Commission can only attribute to it the responsibility for the behaviors in which it directly participated.</w:t>
      </w:r>
    </w:p>
    <w:p>
      <w:r>
        <w:rPr>
          <w:b/>
        </w:rPr>
        <w:t>[Pages 130–132]</w:t>
      </w:r>
    </w:p>
    <w:p>
      <w:r>
        <w:t>and the behaviors anticipated or executed by the other participants to achieve the same objectives that it pursued and of which it is proven that it had knowledge or could have reasonably foreseen and was willing to assume the risk (judgment Commission/Verhuizingen Coppens, C-441/11P, EU:C:2012:778, paragraph 44).</w:t>
      </w:r>
    </w:p>
    <w:p>
      <w:r>
        <w:t>160 Consequently, in the case at hand, the General Court did not commit any legal error in declaring that the circumstance that Weichert was unaware of the exchange of information between Dole and Chiquita and should not have been aware of such exchange did not deprive the established infringement of its unique and continuous nature, which, however, could not be attributed to that company in its entirety.</w:t>
      </w:r>
    </w:p>
    <w:p>
      <w:r>
        <w:t>As is evident from the repeated case law of the Court of Justice of the European Union, within the category of unique and complex infringements, there are three possible situations:</w:t>
        <w:br/>
        <w:t>(i) That the company has directly participated in all the restrictive competition behaviors that constitute the infringement, for which it can be attributed the responsibility for all behaviors;</w:t>
        <w:br/>
        <w:t>(ii) That the company has directly participated only in part of the restrictive competition behaviors that constitute the infringement, but has had knowledge of the behaviors anticipated or executed by the other participants in the cartel, or that it could have reasonably foreseen such behaviors and has assumed the risk, in which case it can also be attributed the responsibility for those behaviors; and</w:t>
        <w:br/>
        <w:t>(iii) That the company has directly participated only in part of the restrictive competition behaviors that constitute the infringement, and it has not been proven that it contributed to the rest of the behaviors nor that it had knowledge of all the other infringing behaviors nor could it have known them. In this case, only the responsibility for the facts in which it has participated can be attributed to the company.</w:t>
      </w:r>
    </w:p>
    <w:p>
      <w:r>
        <w:t>In this file, we are faced with agreements between companies, many of them repeated in several contracts and extended to various public bodies, which presumes that they necessarily must have been aware that these agreements transcended their own particular interests and were encompassed in a common and organized strategy by a group of companies. There is also evidence that corroborates such assertion, being significant, for example, the use of the same models in different bodies and by different companies, or the fact that the established practices sometimes involve the crossing of agreements reached between several companies initiated in different areas, leading to alliances that endure over time (see, facts 1010 to 1020 of the resolution proposal).</w:t>
      </w:r>
    </w:p>
    <w:p>
      <w:r>
        <w:t>Therefore, this Chamber considers that all companies have contributed, to a greater or lesser extent, to the achievement of the agreements constituting the unique infringement analyzed here.</w:t>
      </w:r>
    </w:p>
    <w:p>
      <w:r>
        <w:t>However, the above does not imply that each and every one of the companies necessarily had to be aware of the existence of similar agreements in each and every one of the affected public bodies. The particularity of the behaviors analyzed here—there is a diversity of alliances affecting a large number of contracts tendered by a heterogeneous set of public bodies—and the lack of evidence that allows considering that the companies knew or could know each and every one of the agreements of the other companies—except for SAG and INDRA—leads this Chamber to conclude that, although through their behavior the companies have contributed to the market-sharing plan that goes beyond their specific agreements, only the responsibility for the behaviors in which they have directly participated, or have known or could reasonably have known, can be attributed to the companies, and not for those agreements in which they have not participated, nor have had, nor could have had, knowledge.</w:t>
      </w:r>
    </w:p>
    <w:p>
      <w:r>
        <w:t>Thus, in the present resolution, as will be outlined in the following section, it is possible to identify several levels of responsibility of the companies, depending on the degree of participation of each in the agreements, taking into account, on one hand, the number of contracts affected by their behaviors and, on the other hand, the extension of the agreements to various public bodies. Therefore, two groups of responsible companies are identified: the first, composed of SAG and INDRA, which, due to the role they play in the behaviors, can be considered the center of the market-sharing and the instigators of the practice; the second composed of a group of companies that do not participate in the entirety of the behavior and there is no evidence that they knew it, so their responsibility is limited.</w:t>
      </w:r>
    </w:p>
    <w:p>
      <w:r>
        <w:t>In order to respect the maximum guarantee of the principle of presumption of innocence, there is a group of companies that the Chamber has decided not to consider participants in the unique and continuous infringement since, although they may have engaged in some behaviors not in accordance with the law, these are isolated and it is not considered that there is sufficient evidence of their participation in the defined infringement.</w:t>
      </w:r>
    </w:p>
    <w:p>
      <w:r>
        <w:t>By virtue of all the above, this Chamber is inclined to consider that the infringement declared in this resolution should be regarded as a unique and continuous infringement, without prejudice to the specific responsibility that can be attributed to each company in light of the degree of participation in it, a matter that will be delineated in the following section.</w:t>
      </w:r>
    </w:p>
    <w:p>
      <w:r>
        <w:t>4.4. Authorship and Responsibility</w:t>
      </w:r>
    </w:p>
    <w:p>
      <w:r>
        <w:t>Without prejudice to the individual responsibility of each company that is analyzed below, it is appropriate to advance that ACCENTURE, ATOS, BABEL, CIBERNOS, CONNECTIS, EVERIS, GESEIN, IBM, INDRA, NEXT, and SAG appear in alliances in multiple contracts either in one or several public bodies. It is noteworthy, however, the presence of SAG and INDRA in practically all contracts and public bodies, so the role played by these two companies in the collaboration agreements is of great relevance as we will see in subsequent sections of this resolution. These two companies form the core of the agreements that extend to various public bodies. In the case of EVERIS, although it appears in several public bodies, its presence is limited to one contract in the GISS and another in the SEPE, as well as the agreement with SAG in the SAP environment. Finally, regarding the companies ALDEBARAN, AXPE, IECISA, and INDRA SOFTWARE LABS, it should be noted that these companies should not be considered responsible for the behaviors subject to this resolution.</w:t>
      </w:r>
    </w:p>
    <w:p>
      <w:r>
        <w:t>Next, the individual participation of each company and its responsibility in the behaviors is analyzed.</w:t>
      </w:r>
    </w:p>
    <w:p>
      <w:r>
        <w:t>4.4.1. ACCENTURE</w:t>
      </w:r>
    </w:p>
    <w:p>
      <w:r>
        <w:t>The companies ACCENTURE, S.L. (lot 2 of contract PA7/14 of the SEPE) and its subsidiary ACCENTURE OUTSOURCING SERVICES, S.A. (lot 6 of contract C11/08 and lot 8 of contract PA11/12 of the SEPE) have participated as authors of the behaviors.</w:t>
      </w:r>
    </w:p>
    <w:p>
      <w:r>
        <w:t>Since these are companies that are part of the same corporate group, it is appropriate to attribute joint responsibility to them.</w:t>
      </w:r>
    </w:p>
    <w:p>
      <w:r>
        <w:t>The LDC establishes in its fourth additional provision that "For the purposes provided for in this Law, any person or entity that engages in an economic activity, regardless of the legal status of that entity and its mode of financing, is understood to be a company."</w:t>
      </w:r>
    </w:p>
    <w:p>
      <w:r>
        <w:t>The definition of the concept of company in such broad terms has a consequence in the practical application of the sanctioning law in competition matters, as it allows considering that the company, as an infringing subject of the competition rules, can refer to an economic unit and this empowers the competition authorities to hold the group or the parent company responsible for the anticompetitive behaviors in which any of the companies in the group has incurred, considering that they constitute the same company.</w:t>
      </w:r>
    </w:p>
    <w:p>
      <w:r>
        <w:t>There is abundant case law from the European Union that supports the criterion of economic unity in attributing behaviors contrary to competition law and, therefore, considers it perfectly compliant with the laws to attribute responsibility to the economic unit, understood as the companies that are part of the same corporate group.</w:t>
      </w:r>
    </w:p>
    <w:p>
      <w:r>
        <w:t>An example of this can be found in the judgment of April 30, 2009, where the Court of First Instance (T12/03) expressly states the following: "to attribute to a parent company the acts committed by its subsidiary, it is not at all necessary for the parent to have participated directly in the</w:t>
      </w:r>
    </w:p>
    <w:p>
      <w:r>
        <w:rPr>
          <w:b/>
        </w:rPr>
        <w:t>[Pages 133–135]</w:t>
      </w:r>
    </w:p>
    <w:p>
      <w:r>
        <w:t>attributed behaviors of its subsidiary or had knowledge of them. The circumstance that allows the Commission to consider the parent company of a group of companies as the recipient of the decision imposing fines is not the fact that the parent company urged its subsidiary to participate in the infringement nor, a fortiori, the participation of the parent company itself in said infringement, but the fact that both constitute a single entity for the purposes of Article 81 EC. In the present case, the claimant merely asserts that it was unaware of the activities of Itochu Hellas and denies having actively supported them, but does not provide the slightest evidence of not having exercised decisive influence over the behavior of Itochu Hellas nor evidence of the latter's autonomy.</w:t>
      </w:r>
    </w:p>
    <w:p>
      <w:r>
        <w:t>The Judgment of the General Court of the European Union (TGUE) of September 16, 2013, in case T-496/07, Repsol Lubricants and Specialties and others against the European Commission, shares the Commission's reasoning. Similarly, in the Judgment of the TGUE of December 12, 2014 (case T-562/08), the Court analyzes the compatibility of the attribution criterion to the economic unit with the principle of individualization of sanctions, concluding that the particularities of the concept of company in competition law are fully compatible with the principle of individualization of sanctions, making it perfectly valid to attribute the conduct of the subsidiary to the parent company and to derive the responsibility for the infringement to the latter without infringing the aforementioned principle.</w:t>
      </w:r>
    </w:p>
    <w:p>
      <w:r>
        <w:t>The Spanish jurisprudence issued in this regard does not deviate from the considerations we have already highlighted and maintains the same thesis as the courts of the European Union.</w:t>
      </w:r>
    </w:p>
    <w:p>
      <w:r>
        <w:t>For the purposes of simplifying the understanding of the following paragraphs, and without prejudice to what has been stated, this Chamber has deemed it appropriate to identify both companies interchangeably as ACCENTURE. ACCENTURE reached agreements with INDRA and GESEIN regarding the tenders issued by the SEPE referred to in the established facts.</w:t>
      </w:r>
    </w:p>
    <w:p>
      <w:r>
        <w:t>These agreements date back to tender C11/08, lot 6, which was awarded to the UTE INDRA/ACCENTURE/GESEIN/CORITEL. In the tender for PA 11/12, INDRA, ACCENTURE, and GESEIN presented themselves in UTE for lots 7 and 8, resulting in the award of lot 8. Additionally, ACCENTURE was awarded lots 9 and 10 on its own, having submitted a higher offer than INDRA.</w:t>
      </w:r>
    </w:p>
    <w:p>
      <w:r>
        <w:t>These facts, along with references to negotiations between ACCENTURE and INDRA regarding the continuation of these software application development services in tender PA 7/14, in which the data from lots 8, 9, and 10 of tender PA 11/12 are used as the basis for the distribution of shares among INDRA, ACCENTURE, and GESEIN, lead this Chamber to conclude that these agreements and negotiations of ACCENTURE with these companies in the PA 7/14 file are a continuation of pre-existing agreements and concerted practices that affected tenders C11/08 and PA 11/12.</w:t>
      </w:r>
    </w:p>
    <w:p>
      <w:r>
        <w:t>In the case of the PA 7/14 file from SEPE, ACCENTURE negotiated and held meetings with INDRA and GESEIN to maintain the distribution percentages they previously had, even before the publication of the specifications. In this tender, INDRA and ACCENTURE presented themselves in UTE for lots 1 and 2 and agreed to subcontract GESEIN for the percentage it previously had to avoid other unions. However, on this occasion, the UTE was not awarded either of the two lots, so the agreements reached could not be executed for tender PA 7/14.</w:t>
      </w:r>
    </w:p>
    <w:p>
      <w:r>
        <w:t>4.4.2. ALDEBARAN</w:t>
      </w:r>
    </w:p>
    <w:p>
      <w:r>
        <w:t>The Competition Directorate considers that ALDEBARAN reached agreements with INDRA and SAG to present a joint offer for lot 3 of file 7201/14G of the GISS and that these agreements were aimed at maintaining the pre-existing status quo, since lot 3 of said file corresponded to the services of lots 6 and 7 of tender 7201/10G of the GISS, and ALDEBARAN had been awarded lot 7 in 2010.</w:t>
      </w:r>
    </w:p>
    <w:p>
      <w:r>
        <w:t>Lot 6 in 2010 would correspond to the UTE SAG/INDRA/THALES/BABEL, and the company ATOS also appears. Lot 7 of 2010 corresponded to the UTE ALDEBARAN/NEXT/NESPRO, from which the Competition Directorate deduces that the 2014 agreement allows the companies to maintain their positions with respect to 2010.</w:t>
      </w:r>
    </w:p>
    <w:p>
      <w:r>
        <w:t>However, this Chamber does not perceive anticompetitive behavior from ALDEBARAN in these agreements, since the aforementioned company had formed a UTE in the 2010 contract with companies other than SAG and INDRA, and consequently, it is not possible to appreciate in ALDEBARAN that extended pattern of behavior that is observed in the other companies.</w:t>
      </w:r>
    </w:p>
    <w:p>
      <w:r>
        <w:t>Consequently, this Chamber considers that the infringement of ALDEBARAN proposed by the Competition Directorate in its resolution proposal should be declared unproven, without prejudice to the fact that in subsequent investigations regarding these markets and this company, it may be observed that this conduct responds to a pattern that extends beyond the aforementioned specific agreement and that, if applicable, should be analyzed within the framework of a different procedure than the one resolved here.</w:t>
      </w:r>
    </w:p>
    <w:p>
      <w:r>
        <w:t>4.4.3. ATOS</w:t>
      </w:r>
    </w:p>
    <w:p>
      <w:r>
        <w:t>ATOS participated in the agreed distributions regarding all the files of services and software applications of the GISS.</w:t>
      </w:r>
    </w:p>
    <w:p>
      <w:r>
        <w:t>In the case of tenders 7202/06G, 7201/10G, and 7201/14G, in which, despite the variation in the number of lots and the grouping and separation of certain services depending on the year, ATOS actively participated in the negotiations that allowed it to maintain its percentage of participation in the provision of certain services, either as a participant in a UTE or by ensuring the preferential subcontracting of certain services to ATOS.</w:t>
      </w:r>
    </w:p>
    <w:p>
      <w:r>
        <w:t>Thus, in tender 7202/06G, ATOS exchanged sensitive commercial information, distributed profiles, and reached collaboration agreements with the companies INDRA, SAG, and CONNECTIS, which led to its presence in the UTEs awarded lots 11 and 12 and as the preferred subcontractor of lot 10 by the aforementioned companies.</w:t>
      </w:r>
    </w:p>
    <w:p>
      <w:r>
        <w:t>In tender 7201/10G, ATOS participated in the distribution of lots 6, 8, and 9 (which continue lots 10, 11, and 12 of 2006) with the companies INDRA, SAG, and CONNECTIS, even before the announcement of the tender.</w:t>
      </w:r>
    </w:p>
    <w:p>
      <w:r>
        <w:t>In tender 7201/14G, which continues the services of tender 7201/10G, ATOS negotiated its participation in lots 1, 2, and 3 as a preferred subcontractor, as a way to maintain its share of participation in the services it had previously been assigned, since these three lots are equivalent to the sum of several lots from the 2010 tender, among which ATOS was listed as the awardee.</w:t>
      </w:r>
    </w:p>
    <w:p>
      <w:r>
        <w:t>In tender 7201/13G, ATOS negotiated with the winning UTE INDRA/SAG an agreement that guaranteed it a percentage of participation as a preferred subcontractor. Its objective was to maintain 10% of the total contracts in the field of information technology that GISS had at that time. This preferential subcontracting was granted in exchange for not presenting itself with other offers that could compete with the aforementioned UTE and was a way to maintain the status quo, since tender 7201/13G renewed a previous tender in which INDRA/SAG/ATOS/CONNECTIS were in UTE.</w:t>
      </w:r>
    </w:p>
    <w:p>
      <w:r>
        <w:t>On the other hand, ATOS participated and reached agreements regarding the SEPE tenders. Specifically, in relation to files C10/08 and C11/08, ATOS held meetings, reached commitments, exchanged sensitive commercial information, distributed profiles and shares in lots 3 of C10/08 and 6 of C11/08 with the companies SAG, NEXT, CONNECTIS, and EVERIS. The agreements reached contemplated different scenarios regarding both lots.</w:t>
      </w:r>
    </w:p>
    <w:p>
      <w:r>
        <w:rPr>
          <w:b/>
        </w:rPr>
        <w:t>[Pages 136–138]</w:t>
      </w:r>
    </w:p>
    <w:p>
      <w:r>
        <w:t>jointly, even though they belonged to different tenders. ATOS submitted a bid in a UTE with SAG, NEXT, CONNECTIS, and EVERIS for lot 3 of tender C10/08, resulting in an award. In the case of lot 6 of C11/08, ATOS submitted a bid in UTE with SAG, NEXT, and CONNECTIS, and committed to preferentially subcontract EVERIS to guarantee it a percentage of participation, although it ultimately was not awarded these services. ATOS's own legal counsel had warned during the negotiations that the agreements being reached constituted a market allocation that contravened competition law (facts 181 to 199).</w:t>
      </w:r>
    </w:p>
    <w:p>
      <w:r>
        <w:t>Regarding file PA11/12, which continues the services from files C10/08 and C11/08, ATOS reached an agreement with SAG, NEXT, and CONNECTIS for its submission to lots 7 and 8, resulting in an award for lot 7 (facts 200 to 221).</w:t>
      </w:r>
    </w:p>
    <w:p>
      <w:r>
        <w:t>In the tender for the continuation of these services at SEPE (PA 7/14), ATOS agreed to its preferential subcontracting by the UTE formed by SAG, NEXT, and AXPE (in this case, AXPE replaced CONNECTIS, as SAG and NEXT were unable to reach an agreement with it) for lots 1 and 2, although since the UTE was awarded only lot 2, the agreement only had effects in relation to it (facts 222 to 246).</w:t>
      </w:r>
    </w:p>
    <w:p>
      <w:r>
        <w:t>ATOS also reached agreements to maintain its participation in the IT services of ADABAS/NATURAL of INSS, being part of a UTE with SAG, INDRA, and CIBERNOS, which was awarded, at least, the tenders 392/CP-40/05 and 60/VC-28/10, in which it was the only offer submitted. Despite this, the UTE later needed to resort to numerous subcontracting arrangements for the provision of the services awarded to it. As a result of their agreement, the four companies maintained their percentages of participation in the UTE, thus contributing to the maintenance of the existing status quo in the agency. Furthermore, there are indications that the agreements between the four companies date back at least nine years (facts 288 to 307).</w:t>
      </w:r>
    </w:p>
    <w:p>
      <w:r>
        <w:t>Finally, ATOS has participated in other practices aimed at falsifying and limiting competition in the analyzed market, such as the submission of coverage offer requests to SAG in contracts from the Ministry of the Interior, which are recorded in the established facts (facts 331 to 333), or the global agreement signed by ATOS with SAG, whereby the former grants it its keys to Heritage, so that SAG can submit bids for certain tenders and the subsequent fictitious subcontracting of SAG by ATOS, so that the latter effectively provides the services for which it has used ATOS's identity, something particularly striking in relation to the contracts for the development and maintenance of IT systems and applications of the Subsecretariat of MECD (facts 343 and following). Additionally, there are indications that ATOS may have submitted a coverage offer in favor of SAG in October 2014 regarding a contract from MECD (fact 335).</w:t>
      </w:r>
    </w:p>
    <w:p>
      <w:r>
        <w:t xml:space="preserve">4.4.4. AXPE  </w:t>
        <w:br/>
        <w:t>AXPE reached agreements regarding file PA 7/14 of SEPE, in which it negotiated its participation in the UTE SAG/NEXT/AXPE, which submitted bids for lots 1 and 2 of this tender. AXPE came to replace the absence of CONNECTIS with its participation in this UTE, a company that SAG and NEXT had relied on for previous tenders for these services. The agreements reached by AXPE prior to the tender call included the preferential subcontracting of ATOS for both lots, in order to guarantee it the participation quota it had been maintaining. Although the agreements covered both lots, the UTE between SAG, NEXT, and AXPE was awarded only lot 2, in relation to which the agreement reached had effects.</w:t>
      </w:r>
    </w:p>
    <w:p>
      <w:r>
        <w:t>In the case of AXPE, it is not possible to substantiate in its conduct that intention that underlies throughout the entire file to preserve a pre-existing position in the contracts, as its action is limited to a single contract in a single agency and although it participated in a UTE, the truth is that, since its presence in the UTE arises from a substitution, it does not seem that this company could have decision-making capacity in the prior agreements of the companies that constituted the UTE. Therefore, this Chamber considers that it is not appropriate to attribute to AXPE the conduct subject to this file, without prejudice to the fact that in subsequent investigations related to these markets and this company it may be observed that this conduct responds to a pattern that extends beyond the aforementioned specific agreement and that, if applicable, should be analyzed within the framework of another procedure distinct from the one resolved here.</w:t>
      </w:r>
    </w:p>
    <w:p>
      <w:r>
        <w:t xml:space="preserve">4.4.5. BABEL  </w:t>
        <w:br/>
        <w:t>BABEL reached agreements regarding the contracting of IT services by GISS in files 7202/06G, 7201/10G, and 7201/14G. These agreements were aimed at maintaining BABEL's share of the provision of certain services.</w:t>
      </w:r>
    </w:p>
    <w:p>
      <w:r>
        <w:t>In tender 7202/06G, BABEL reached agreements with INDRA and SAG and was awarded lot 7 in UTE with both (facts 74 to 90). The services of this lot 7 from file 7202/06G continued in lot 6 of file 7201/10G, which in turn encompassed other lots and in which BABEL reached agreements to maintain its percentage of participation regarding the previous tender. Additionally, BABEL pressured in the negotiations to ensure the subcontracting of other services that had previously been awarded to other companies (facts 91 to 106).</w:t>
      </w:r>
    </w:p>
    <w:p>
      <w:r>
        <w:t>The services contracted to BABEL in lot 6 of file 7201/10G continued in the tender of file 7201/14G, specifically in lot 3, in which BABEL managed to maintain its participation through an agreement for its preferential subcontracting by the UTE INDRA/SAG/ALDEBARÁN in the event of being awarded the contract, in exchange for not participating in other competing offers. Finally, this UTE did not succeed in being awarded this contract, as its offer was surpassed by that of the company INSA (facts 138 to 180).</w:t>
      </w:r>
    </w:p>
    <w:p>
      <w:r>
        <w:t>In the case of tender 7201/13G of GISS, BABEL indicated that it had reached a preferential subcontracting agreement with IBM in the event that IBM was awarded the contract, although the awardee was the UTE INDRA/SAG. This UTE subcontracted services to BABEL from March 12, 2015, in tender 7201/13G, replacing the commitment reached concerning lot 1 of tender 7201/14G, of which it was also the awardee. Given that, as seen, the agreement reached by BABEL concerning tender 7201/14G initially affected lot 3, which was not awarded to INDRA/SAG/ALDEBARÁN, it can be considered that this subcontracting of BABEL in tender 7201/13G is a compensation to BABEL for this lack of final participation, through its subcontracting, regarding lots 1 and 3 of file 7201/14G (facts 107 to 137).</w:t>
      </w:r>
    </w:p>
    <w:p>
      <w:r>
        <w:t>Finally, BABEL participated in other practices aimed at falsifying and limiting competition, such as the submission of coverage offers for SAG. Regarding this aspect, there are indications related to a contract from MECD in May 2015 and evidence that BABEL reached an agreement with SAG for the submission of a coverage offer in 2009 regarding a contract from the Ministry of the Environment and Rural and Marine Affairs, although BABEL did not respect the agreement and ultimately submitted a lower offer, achieving the award of the contract and generating discontent in SAG, which considered ceasing collaboration with BABEL in the future and decided to warn it that it should take care of its relationship with SAG (facts 347 to 350).</w:t>
      </w:r>
    </w:p>
    <w:p>
      <w:r>
        <w:t xml:space="preserve">4.4.6. CIBERNOS  </w:t>
        <w:br/>
        <w:t>CIBERNOS participated in the agreements reached regarding all the tenders for IT development and maintenance mentioned in relation to AEAT (C 68/06, C 03/07, AV 42/10, AV 10/2011, PA 20/2014, and PA 2/2015). CIBERNOS has played an active role as a participant in the various agreements for the establishment of the UTEs that have been awarded these tenders, in the negotiations and exchange of sensitive commercial information among the participating companies, and in decision-making regarding the various aspects related to the agreements adopted to maintain the pre-existing competitive situation (facts 1 to 73).</w:t>
      </w:r>
    </w:p>
    <w:p>
      <w:r>
        <w:t>In the context of the IT services contracts tendered by GISS, there is evidence of the preferential subcontracting of CIBERNOS by the UTE INDRA/SAG in file 7201/13G. This preferential subcontracting was agreed with CIBERNOS in exchange for not participating in other competing offers and, moreover, it has been substantiated that this subcontracting was done to maintain the pre-existing status quo in the tendered services, as this tender renewed a previous one that had been awarded to the UTE INDRA/SAG/ATOS/CIBERNOS in UTE (facts 114, 117, 124).</w:t>
      </w:r>
    </w:p>
    <w:p>
      <w:r>
        <w:rPr>
          <w:b/>
        </w:rPr>
        <w:t>[Pages 139–141]</w:t>
      </w:r>
    </w:p>
    <w:p>
      <w:r>
        <w:t>CIBERNOS also reached agreements regarding the maintenance of its participation in the IT services of ADABAS/NATURAL of the INSS, being part of a UTE with SAG, INDRA, and ATOS that was awarded, at least, the tenders 392/CP-40/05 and 60/VC-28/10, in which it was the only offer submitted. Despite this, the UTE later needed to resort to numerous subcontracting arrangements for the provision of the services awarded to it. As a result of their agreement, the four companies maintained their participation percentages in the UTE, thus contributing to the maintenance of the existing status quo in the organization. Furthermore, there are indications that the agreements between the four companies date back at least nine years (facts 288 to 307).</w:t>
      </w:r>
    </w:p>
    <w:p>
      <w:r>
        <w:t>CIBERNOS, as has been demonstrated, has engaged in other practices aimed at distorting and limiting competition, such as submitting a cover offer in favor of INDRA at the Ministry of Health in June 2011, or submitting various cover offers in favor of SAG at the Instituto Cervantes in October 2010, at the MECD in October 2014 and May 2015, at the University of Barcelona in October 2014, and at the MINHAP in March 2015 (facts 334 to 339).</w:t>
      </w:r>
    </w:p>
    <w:p>
      <w:r>
        <w:t>4.4.7. CONNECTIS</w:t>
      </w:r>
    </w:p>
    <w:p>
      <w:r>
        <w:t>THALES and CONNECTIS appear in the facts as authors of the conduct, the former until 2012 and the latter from that date onwards. This is so because THALES ceased to exist in 2012 after merging into CONNECTIS.</w:t>
      </w:r>
    </w:p>
    <w:p>
      <w:r>
        <w:t>It is fully accepted by EU jurisprudence149, Spanish law, and the precedents of the CNMC150, that an infringement of competition rules can be attributed to the economic successor of the legal entity that committed it, in order to ensure that the effective application of these rules is not compromised due to changes made in the corporate structures of companies. The Audiencia Nacional has stated that when there is no legal entity to which responsibility for the infringement involving the transferred assets can be attributed because the former owner has ceased to exist legally, the principles of effectiveness and efficiency of Articles 101 and 102 of the TFEU entail the application of the principle of economic continuity, and responsibility for the infringement is transferred to the successor company151.</w:t>
      </w:r>
    </w:p>
    <w:p>
      <w:r>
        <w:t>149 Cases C-40/73, Suiker Unie; C-49/92P ANIC, C-29/83, Compagnie Royale Asturienne des Mines, SA, C-204/00 and others P Alborg Portland; Cases T-6/89 Enichem, T-134/1994 NMH Stahlwerke, T-348/08, Aragonesas Industrias y Energía, SAU v Commission, and T-349/08, Uralita SA v Commission.</w:t>
      </w:r>
    </w:p>
    <w:p>
      <w:r>
        <w:t>150 Among others, CNMC Resolution of May 26, 2016 (Expte. S/0504/14 AIO) and Resolution of December 3, 2015 (expte. s/0481/13 modular constructions).</w:t>
      </w:r>
    </w:p>
    <w:p>
      <w:r>
        <w:t>151 Judgment of the Audiencia Nacional of February 11, 2013 (appeal 48/2012) in the context of Expte. S/0251/10 Horticultural Packaging.</w:t>
      </w:r>
    </w:p>
    <w:p>
      <w:r>
        <w:t>This doctrine has been confirmed by the Supreme Court (Judgment of December 16, 2015, appeal 1973/2014) stating the following: “(...) the criterion that must prevail when determining economic responsibilities in the succession of companies is that of the permanence of an economic and business entity or, in other words, the substantial identity between successive companies. The modulation of the principles of culpability and responsibility will depend on whether a partial break in economic and business continuity between the successive companies is established, but not necessarily by the mere fact that there has been a reorganization, a change of name, or the acquisition of the company by another, that is, by a change of ownership. Otherwise, as rightly argued by the State Attorney, it would lead to the discretionary evasion of responsibilities by a commercial company proceeding with any of the aforementioned modifications.”</w:t>
      </w:r>
    </w:p>
    <w:p>
      <w:r>
        <w:t>Therefore, to the extent that THALES merged into the new company called CONNECTIS, it is appropriate to attribute to the latter the responsibility for the actions of THALES and, from the year 2012 onwards, its own actions.</w:t>
      </w:r>
    </w:p>
    <w:p>
      <w:r>
        <w:t>For the purpose of simplifying the understanding of the following paragraphs, and without prejudice to what has been stated, this Chamber has deemed it appropriate to identify both companies interchangeably as CONNECTIS.</w:t>
      </w:r>
    </w:p>
    <w:p>
      <w:r>
        <w:t>CONNECTIS participated in various ways in the agreements reached regarding all the tenders of the GISS.</w:t>
      </w:r>
    </w:p>
    <w:p>
      <w:r>
        <w:t>In the case of tender 7202/06G, the active participation of CONNECTIS in the distribution of profiles, exchange of sensitive commercial information, and modification of the wording of the PCAP has been demonstrated. CONNECTIS signed a collaboration agreement with ATOS, SAG, and INDRA for lots 10 and 12 of this tender. Additionally, CONNECTIS submitted bids and was awarded lots 10, 11, 12, and 14 of the same in various combinations of UTE with these companies (in some cases, the other companies do not appear as members of the UTE, but were subcontracted by it) (facts 74 to 90).</w:t>
      </w:r>
    </w:p>
    <w:p>
      <w:r>
        <w:t>CONNECTIS also participated in the distribution of the continuation of these services through tender 7201/10G, reaching agreements for the distribution of lots 6, 8, and 9, even prior to the announcement of the tender. These lots were awarded to it in various combinations of UTE with the companies awarded the services tendered in those lots in the previous tender. Furthermore, CONNECTIS maintained its collaboration in UTE with SAG for lot 11 of this tender, which continued the services of lot 14 of tender 7202/06G and which had already been awarded to it in the past, being awarded again (facts 91 to 106).</w:t>
      </w:r>
    </w:p>
    <w:p>
      <w:r>
        <w:t>Likewise, CONNECTIS reached agreements regarding file 7201/14G, which continued the services tendered in file 7201/10G. The agreements involved the preferential subcontracting of CONNECTIS in lots 1 and 3 and its participation as a member of the UTE INDRA/SAG/CONNECTIS in lot 2, so that it maintained the services it had assigned in the previous tender. In the case of lot 3, the agreement had no effect, as that lot was awarded to another participating offer, but in lots 1 and 2, the agreement reached was indeed implemented (facts 138 to 180).</w:t>
      </w:r>
    </w:p>
    <w:p>
      <w:r>
        <w:t>Additionally, CONNECTIS reached a preferential subcontracting agreement with the UTE INDRA/SAG in file 7201/13G in exchange for not participating in competing offers. This UTE was the awardee of the aforementioned tender (facts 107 to 137).</w:t>
      </w:r>
    </w:p>
    <w:p>
      <w:r>
        <w:t>On the other hand, CONNECTIS also participated in the negotiations and agreements reached with various companies regarding the SEPE tenders. CONNECTIS played a prominent role in these agreements since, although its relative importance in other areas may be less than that of other companies involved, in the case of SEPE, CONNECTIS is one of the five key companies along with SAG, NEXT, GESEIN, and INDRA.</w:t>
      </w:r>
    </w:p>
    <w:p>
      <w:r>
        <w:t>Specifically, CONNECTIS, which had already been awarded tender C11/04 of SEPE in UTE with NEXT, expanded its range of partners and reached agreements with NEXT, SAG, ATOS, and EVERIS regarding lots 3 of C10/08 and 6 of C11/08. In this case, the negotiations covered both lots, despite belonging to different tenders. These negotiations were conducted before the information about the tender became public and involved the sharing of sensitive commercial information and the distribution of profiles, participation percentages, prices to be offered, etc. As a result of these negotiations, CONNECTIS submitted a UTE with NEXT, SAG, ATOS, and EVERIS for lot 3 of file C10/08, resulting in being awarded. Likewise, CONNECTIS submitted a UTE with NEXT, SAG, and ATOS for lot 6 of C11/08, committing to subcontract EVERIS on preferential terms, although as they were not awarded that lot, the agreement reached had no effect regarding this lot (facts 181 to 199).</w:t>
      </w:r>
    </w:p>
    <w:p>
      <w:r>
        <w:t>In the continuation of the tender for these SEPE services with file PA 11/12, CONNECTIS maintains its pact with SAG, NEXT, and ATOS for the submission of a joint offer for lots 7 and 8, resulting in being awarded lot 7 (facts 200 to 221).</w:t>
      </w:r>
    </w:p>
    <w:p>
      <w:r>
        <w:t>However, in tender PA 7/14, which continues certain services tendered in PA 11/12, CONNECTIS did not reach an agreement with NEXT and SAG, despite initial contacts between these three companies. NEXT and SAG included AXPE in their UTE in place of CONNECTIS, and CONNECTIS submitted a solo bid, resulting in being awarded lot 1 of this file, which, among other aspects, demonstrates that the submission in UTE in previous tenders was likely not necessary, but rather a result of agreements and concerted practices aimed at restricting competition.</w:t>
      </w:r>
    </w:p>
    <w:p>
      <w:r>
        <w:t>4.4.8. EVERIS</w:t>
      </w:r>
    </w:p>
    <w:p>
      <w:r>
        <w:t>In relation to the tenders of the GISS, EVERIS would have maintained the subcontracting of several of its resources by the awardees of the</w:t>
      </w:r>
    </w:p>
    <w:p>
      <w:r>
        <w:rPr>
          <w:b/>
        </w:rPr>
        <w:t>[Pages 142–144]</w:t>
      </w:r>
    </w:p>
    <w:p>
      <w:r>
        <w:t>in tenders 7202/06G and 7201/10G due to the request of GISS itself (facts 97 and 98).</w:t>
      </w:r>
    </w:p>
    <w:p>
      <w:r>
        <w:t>EVERIS reached agreements regarding the simultaneous distribution of lots 3 of file C10/08 and 6 of file C11/08 of SEPE with the companies CONNECTIS, NEXT, SAG, and ATOS. In the case of lot 3, EVERIS formed a UTE with these companies, which was awarded the lot. In the case of lot 6, EVERIS agreed to act as a preferred subcontractor to guarantee a certain percentage of participation in the services tendered in both lots (facts 181 to 199).</w:t>
      </w:r>
    </w:p>
    <w:p>
      <w:r>
        <w:t>The agreement reached contemplated different scenarios depending on the lots for which they were awarded, varying the percentages in each case, so that EVERIS's total participation percentage was maintained. However, the weight of EVERIS in the agreement reached is relatively minor compared to that of other companies, considering that there are no indications or evidence that EVERIS's participation with this group of companies was maintained in the subsequent SEPE tenders that continued the services tendered in the two aforementioned lots.</w:t>
      </w:r>
    </w:p>
    <w:p>
      <w:r>
        <w:t>Additionally, EVERIS reached a framework collaboration agreement with SAG in July 2011 regarding the SAP environment, which is limited to Spanish regional and local administrations in tax matters, anticipating the signing of specific collaboration agreements for each opportunity identified by both companies, without any evidence of the effects of these agreements between EVERIS and SAG (facts 256 to 259).</w:t>
      </w:r>
    </w:p>
    <w:p>
      <w:r>
        <w:t>4.4.9. GESEIN</w:t>
      </w:r>
    </w:p>
    <w:p>
      <w:r>
        <w:t>GESEIN has participated in the agreements reached in the AEAT tenders related to the development and maintenance of the systems and applications carried out in the Tax Information Technology Department of AEAT (C 68/06, AV 42/10, and PA 20/2014). GESEIN has played an active role as a participant in the various UTEs that have been awarded these tenders, in negotiations and the exchange of sensitive commercial information among the participating companies, and in decision-making regarding various aspects related to the adoption and implementation of the agreements reached to maintain the pre-existing competitive situation (facts 1 to 32).</w:t>
      </w:r>
    </w:p>
    <w:p>
      <w:r>
        <w:t>GESEIN was also part of the agreements reached concerning the IT service files tendered by GISS (7202/06G, 7201/10G, and 7201/14G). Although there is no direct evidence of its participation in the negotiations of the agreements for files 7202/06G (facts 74 to 90) and 7201/10G (facts 91 to 106), the fact that it was awarded lot 13 of file 7202/06G in a UTE with INDRA and lot 10 of file 7201/10G, which continued the previous lot 13 (along with lot 4) in a UTE with INDRA and UNISYS, as well as the existence of evidence of its agreement with the UTE INDRA/SAG/CONNECTIS to be subcontracted under preferential conditions in lot 2 of tender 7201/14G that continued those services (with the aim of preventing it from participating in other offers and maintaining its participation share) (facts 138 to 180), leads this Chamber to conclude that GESEIN was an active part in the agreements reached regarding the distribution of the aforementioned GISS tenders, with the aim of maintaining the pre-existing status quo.</w:t>
      </w:r>
    </w:p>
    <w:p>
      <w:r>
        <w:t>Regarding the files tendered by SEPE, similar to the case of ACCENTURE, the agreements would date back to tender C11/08, lot 6, which was awarded to the UTE INDRA/ACCENTURE/GESEIN/CORITEL (facts 181 to 199).</w:t>
      </w:r>
    </w:p>
    <w:p>
      <w:r>
        <w:t>Although there is no direct evidence regarding this tender in relation to GESEIN, in subsequent tenders that continued these services, such as PA11/12, INDRA, among the strategic alliances it considers, maintains the possibility of jointly bidding with GESEIN, and it is considered one of the five most relevant companies regarding the provision of IT services in SEPE (facts 200 to 221).</w:t>
      </w:r>
    </w:p>
    <w:p>
      <w:r>
        <w:t>In the tender for PA 11/12, INDRA, ACCENTURE, and GESEIN presented themselves in a UTE for lots 7 and 8, resulting in the award of lot 8, and although ACCENTURE was awarded lots 9 and 10 alone, in the references of negotiations between INDRA, ACCENTURE, and GESEIN regarding the continuation of these IT application development services in tender PA 7/14, the data from lots 8, 9, and 10 of tender PA 11/12 were used as the basis for the distribution of shares among INDRA, ACCENTURE, and GESEIN (facts 222 to 246).</w:t>
      </w:r>
    </w:p>
    <w:p>
      <w:r>
        <w:t>For all the above reasons, this Chamber considers that the agreements and negotiations between GESEIN and these companies would also have developed in the tenders C11/08 and PA 11/12.</w:t>
      </w:r>
    </w:p>
    <w:p>
      <w:r>
        <w:t>In file PA 11/12, GESEIN also presented itself in a UTE with INDRA for lot 4, although there is no evidence regarding the agreement reached between both companies.</w:t>
      </w:r>
    </w:p>
    <w:p>
      <w:r>
        <w:t>In the case of file PA 7/14 of SEPE, GESEIN negotiated and held meetings with INDRA and ACCENTURE to maintain the distribution percentages they had previously, even before the publication of the specifications. In this tender, INDRA and ACCENTURE presented themselves in a UTE for lots 1 and 2 and agreed to subcontract GESEIN for the percentage it previously had to prevent it from allying with other companies. However, on this occasion, the UTE was not awarded either of the two lots, so the agreements reached could not be implemented.</w:t>
      </w:r>
    </w:p>
    <w:p>
      <w:r>
        <w:t>4.4.10. IBM</w:t>
      </w:r>
    </w:p>
    <w:p>
      <w:r>
        <w:t>IBM has actively participated in the agreements reached regarding the AEAT tenders related to the development of IT applications of the Tax Information Technology Department of AEAT (C03/07, AV 10/2011, and PA 2/2015). IBM has played an active role as a participant in the various UTEs that have been awarded these tenders, thus maintaining its percentage of participation in the services tendered therein (facts 33 to 73).</w:t>
      </w:r>
    </w:p>
    <w:p>
      <w:r>
        <w:t>In the case of tender PA 2/2015, IBM did not officially present itself as a member of the UTE awarded one of the two lots, but the agreement was implemented through the subcontracting to IBM of the percentage that corresponded to it based on the agreement reached between INDRA, SAG, CIBERNOS, and IBM, which involved maintaining the percentages of the four companies, despite the fact that the tendered services were divided into two lots (facts 55 to 73).</w:t>
      </w:r>
    </w:p>
    <w:p>
      <w:r>
        <w:t>IBM has actively participated in the negotiations and exchange of sensitive commercial information among the four participating companies, in decision-making regarding various aspects related to the agreements adopted, and in the management of the UTE in the implementation of these agreements.</w:t>
      </w:r>
    </w:p>
    <w:p>
      <w:r>
        <w:t>4.4.11. IECISA</w:t>
      </w:r>
    </w:p>
    <w:p>
      <w:r>
        <w:t>As stated by the DC in its proposal for resolution, IECISA reached an agreement with INDRA and SAG within the framework of file 7201/14G of GISS whereby it achieved the integration of part of its team into the services of lot 3, in exchange for not presenting offers for any of the lots in which INDRA and SAG intended to submit bids (lots 1, 2, and 3). The established facts have evidenced that IECISA did not submit an offer for any of those three lots.</w:t>
      </w:r>
    </w:p>
    <w:p>
      <w:r>
        <w:t>There are also indications of IECISA's participation in the submission of cover offers in favor of ATOS in several tenders from the Ministry of the Interior in September 2010 and February 2011.</w:t>
      </w:r>
    </w:p>
    <w:p>
      <w:r>
        <w:t>However, this Chamber considers that IECISA's intention to preserve a pre-existing position in the contracts, which underlies throughout the entire file, has not been sufficiently evidenced in its conduct, as its actions are limited to a single contract in a single agency. Therefore, given the impact of this company in this specific agreement, this Chamber considers that it is not possible to attribute the conduct to IECISA, without prejudice to the fact that in subsequent investigations regarding these markets and this company, it may be observed that this conduct responds to a pattern that extends beyond the aforementioned specific agreement and that, if applicable, should be analyzed within the framework of another procedure distinct from the one resolved here.</w:t>
      </w:r>
    </w:p>
    <w:p>
      <w:r>
        <w:t>On the other hand, the fact that IECISA participated in those tenders and submitted a bid higher than that of ATOS, without further evidence, is not sufficient probative element to consider that behind this conduct lies participation in the cartel. Consequently, it is also not possible to attribute responsibility to IECISA for these facts.</w:t>
      </w:r>
    </w:p>
    <w:p>
      <w:r>
        <w:rPr>
          <w:b/>
        </w:rPr>
        <w:t>[Pages 145–147]</w:t>
      </w:r>
    </w:p>
    <w:p>
      <w:r>
        <w:t xml:space="preserve">4.4.12. INDRA  </w:t>
        <w:br/>
        <w:t xml:space="preserve">According to the Competition Directorate, the companies INDRA SISTEMAS, S.A. and INDRA SOFTWARE LABS, S.L. (the latter in a UTE with INDRA SISTEMAS in the AEAT contract PA 2/15) would have participated as authors in the conduct.  </w:t>
        <w:br/>
        <w:t xml:space="preserve">However, given the involvement of INDRA SOFTWARE LABS in the agreements, this Chamber considers that it is not possible to attribute responsibility to the aforementioned company in this case, without prejudice to the fact that in subsequent investigations related to these markets and this company it may be observed that this conduct follows a pattern that extends beyond the aforementioned specific agreement and that, if applicable, should be analyzed within the framework of another procedure distinct from the one resolved here.  </w:t>
        <w:br/>
        <w:t xml:space="preserve">INDRA has participated in the agreements reached in relation to all the tenders for software development and maintenance mentioned in relation to the AEAT (C 68/06, C 03/07, AV 42/10, AV 10/2011, PA 20/2014, and PA 2/2015).  </w:t>
        <w:br/>
        <w:t xml:space="preserve">INDRA has played an active role as a participant in the various UTEs that have been awarded these tenders, in the negotiations and exchange of sensitive commercial information among the participating companies, and in decision-making regarding the various aspects related to the agreements adopted to maintain the pre-existing competitive situation (facts 1 to 73).  </w:t>
        <w:br/>
        <w:t xml:space="preserve">Furthermore, INDRA has actively participated in the agreements reached in relation to all the tenders of the GISS that have been documented. INDRA's participation in these tenders includes the distribution of profiles, exchange of sensitive commercial information, drafting of bidding documents, variation in its own interest in the drafting of the same, signing of collaboration agreements with the companies that had previously provided the services, decision-making capacity regarding the companies with which to preferentially subcontract or jointly participate in the UTE, and decisions regarding the modality in which to present bids (jointly in UTE, separately, with subcontracting, etc.).  </w:t>
        <w:br/>
        <w:t xml:space="preserve">As a result of this negotiating activity, INDRA was awarded lots 7, 10, 11, 12, and 13 of the tender 7202/06G as a participant in various UTEs (facts 74 to 90), as well as lots 6, 8, 9, and 10 of the tender 7201/10G, which continued the services of the tender 7202/06G (facts 91 to 106).  </w:t>
        <w:br/>
        <w:t xml:space="preserve">It was also awarded lots 1 and 2 of the tender 7201/14G, which continued those services, and although it negotiated to reduce competition regarding lot 3 of this last tender and presented itself in UTE for it, it ultimately was not awarded that lot (facts 138 to 180). INDRA reached agreements regarding the tender 7201/13G, of which it was awarded in UTE with SAG and for which it reached preferential subcontracting agreements with ATOS, CIBERNOS, and CONNECTIS, in exchange for them not participating in other competing offers (facts 107 to 137).  </w:t>
        <w:br/>
        <w:t xml:space="preserve">All of the above led to the maintenance of INDRA's participation in the IT services tendered by the GISS at least since 2006.  </w:t>
        <w:br/>
        <w:t xml:space="preserve">INDRA also reached anticompetitive agreements regarding the tenders issued by the SEPE. These agreements would date back to the tender C11/08, which was awarded to the UTE INDRA/ACCENTURE/GESEIN/CORITEL (lot 6) (facts 181 to 199). Although there is no direct evidence regarding this tender concerning INDRA, the interpretation of this data along with the statements made by INDRA in the framework of the PA 11/12 case (which continues the services of C11/08) in which it considered it necessary to maintain alliances and contemplated the usefulness of reaching agreements with the companies that it, along with itself, considered the five key players in the SEPE (SAG, CONNECTIS, NEXT, and GESEIN) are indicative of the existence of these alliances prior to the tender PA 11/12 (facts 200 to 221).  </w:t>
        <w:br/>
        <w:t xml:space="preserve">In the tender of the PA 11/12 case, INDRA attempted to reach an agreement with SAG, as SAG along with CONNECTIS, NEXT, ATOS, and EVERIS had been providing services for the lots that, along with those provided by INDRA with ACCENTURE and GESEIN, were considered the most relevant of those to be tendered. However, SAG rejected the possibility of an agreement with INDRA and maintained its alliance with the companies in its UTE. Therefore, in the PA 11/12 tender, INDRA submitted a joint offer with ACCENTURE and GESEIN for lots 7 and 8, resulting in the award of lot 8. Likewise, INDRA presented itself in UTE with GESEIN for lot 4. Additionally, regarding this tender, although ACCENTURE was awarded lots 9 and 10 on its own, in the references of negotiations between INDRA, ACCENTURE, and GESEIN regarding the continuation of these IT application development services in the PA 7/14 tender, the data from lots 8, 9, and 10 of the PA 11/12 tender were taken as the basis for the distribution of shares among INDRA, ACCENTURE, and GESEIN. Therefore, this Chamber considers that the agreements and negotiations between INDRA, ACCENTURE, and GESEIN would have also developed in the tenders C11/08 and PA 11/12, in the case of the latter concerning lots 7, 8, 9, and 10, and in them, INDRA's role was fundamental in seeking and achieving alliances that from a strategic point of view allowed it to improve its position for submitting bids in these tenders and limit the competition it had to face.  </w:t>
        <w:br/>
        <w:t xml:space="preserve">In the case of the PA 7/14 case of the SEPE, it has been established that INDRA negotiated and held meetings with ACCENTURE and GESEIN to maintain the distribution percentages they had previously, even before the publication of the bidding documents. In this tender, INDRA and ACCENTURE presented themselves in UTE for lots 1 and 2 and agreed to subcontract GESEIN for the percentage it had previously to avoid other unions. However, on this occasion, the UTE was not awarded either of the two lots, so the agreements reached could not be implemented (facts 222 to 246).  </w:t>
        <w:br/>
        <w:t xml:space="preserve">It has also been established that INDRA reached a framework collaboration agreement with SAG at the end of 2010 to present itself in UTE for the various tax-SAP projects (SAP environment) in the Spanish Autonomous Communities, as well as at the European level. This agreement provides for distribution percentages for future opportunities not yet identified and the compensation of national and international lines, as well as the signing of a specific collaboration agreement for each opportunity under which the companies would operate together and on an exclusive basis. However, it has not been possible to establish that this strategic agreement with a marked anticompetitive object has been put into practice (facts 247 to 262).  </w:t>
        <w:br/>
        <w:t xml:space="preserve">On the other hand, regarding the IT services and products tendered by the INSS, the agreements reached by INDRA with SAG led the latter to grant it a percentage of participation in the tenders of ATRIUM 11/CP-10/2005 and 60/VC-50/10 (continuation of the previous one), without any objective justification for it (facts 263 to 276). In these tenders, only the UTE SAG/INDRA was presented, which participated in the drafting of the bidding documents and technologically marked them to reserve these services for themselves. The presentation in UTE of both companies was unnecessary, responding to purely strategic considerations and not to technical or economic motivations. One indication of this is that in the continuation of the tender 60/VC-50/10, lot 6 of the file 60/VC-73/12, SAG decided to break the alliance with INDRA and both companies presented themselves separately, resulting in SAG being awarded. The effects of the agreement in the previous tenders would be significant as separating the companies went from discount percentages of 5% to 25% discount in 2012.  </w:t>
        <w:br/>
        <w:t xml:space="preserve">INDRA also actively participated in the agreements reached regarding the ADABAS/NATURAL tenders of the INSS (392/CP-40/05 and 60/VC-28/10), in which it presented itself in UTE with SAG, ATOS, and CIBERNOS. The four companies maintained their percentages of participation in the UTE and contributed with these agreements to the maintenance of the existing status quo in the agency. In fact, there are indications that the agreements between the four companies date back at least nine years (facts 288 to 307).  </w:t>
        <w:br/>
        <w:t xml:space="preserve">INDRA has also participated in other practices aimed at limiting and distorting competition, such as the agreement with CIBERNOS for it to submit a supporting offer to the Ministry of Health in June 2011 to secure the contract (fact 334).  </w:t>
        <w:br/>
        <w:t>Finally, regarding the conduct at the Instituto Cervantes consisting, according to the DC, of pressure by INDRA on ORACLE to ensure that the latter contributed to the submission of two less advantageous offers than INDRA's and thus secure the award of the tendered services, this Chamber considers that these facts are not related to the conduct analyzed throughout the case, particularly regarding the identity of the intervening subjects - ORACLE and the other participating companies in these facts have not been initiated - so they cannot be considered evidence against INDRA in this case for the purposes of sanctioning. It should also be noted that, in any case, ORACLE did not accept the</w:t>
      </w:r>
    </w:p>
    <w:p>
      <w:r>
        <w:rPr>
          <w:b/>
        </w:rPr>
        <w:t>[Pages 148–150]</w:t>
      </w:r>
    </w:p>
    <w:p>
      <w:r>
        <w:t>pressures from INDRA as reflected in the very facts established (facts 321 to 330).</w:t>
      </w:r>
    </w:p>
    <w:p>
      <w:r>
        <w:t xml:space="preserve">4.4.13. NEXT  </w:t>
        <w:br/>
        <w:t xml:space="preserve">NEXT participated in the negotiations and agreements reached with various companies regarding the SEPE tenders. NEXT played a prominent role in these agreements since, although the relative importance of this company in other areas may be less than that of other companies involved, in the case of SEPE, NEXT was one of the five key companies along with SAG, CONNECTIS, GESEIN, and INDRA.  </w:t>
        <w:br/>
        <w:t xml:space="preserve">NEXT had already been awarded the tender C11/04 from SEPE in a UTE with CONNECTIS and in 2008 expanded its range of partners and reached agreements with CONNECTIS, SAG, ATOS, and EVERIS regarding lots 3 of file C10/08 and 6 of file C11/08 (facts 181 to 199).  </w:t>
        <w:br/>
        <w:t xml:space="preserve">These agreements refer jointly to both lots, despite their belonging to different tenders. The negotiations regarding this took place before the information about the tender became public and involved the sharing of sensitive commercial information, the distribution of profiles, the setting of participation percentages, prices to be offered, etc. As a result of these actions, NEXT submitted a proposal in UTE with CONNECTIS, SAG, ATOS, and EVERIS for lot 3 of file C10/08, resulting in being awarded. Likewise, NEXT submitted a proposal in UTE with CONNECTIS, SAG, and ATOS for lot 6 of C11/08, committing to subcontract EVERIS under preferential conditions, although, as they were not awarded that lot, the agreement reached had no effect regarding this lot.  </w:t>
        <w:br/>
        <w:t xml:space="preserve">In file PA 11/12, which represents the continuation of previous IT services, NEXT maintained its pact with SAG, CONNECTIS, and ATOS for the submission of a joint offer for lots 7 and 8, resulting in being awarded lot 7 (facts 200 to 221).  </w:t>
        <w:br/>
        <w:t xml:space="preserve">Additionally, in the tender PA 7/14, which continues certain services tendered in PA 11/12, NEXT participated in negotiations with SAG and CONNECTIS to maintain their alliance, although they did not manage to reach an agreement with CONNECTIS. Therefore, NEXT reached an agreement with SAG, AXPE, and ATOS to submit proposals for lots 1 and 2 of tender PA 7/14 with the UTE SAG/NEXT/AXPE, committing to subcontract ATOS under preferential conditions (facts 222 to 246).  </w:t>
        <w:br/>
        <w:t>Although the UTE submitted proposals for both lots, it was only awarded lot 2, without the agreement having any effect regarding lot 1.</w:t>
      </w:r>
    </w:p>
    <w:p>
      <w:r>
        <w:t xml:space="preserve">4.4.14. SAG  </w:t>
        <w:br/>
        <w:t xml:space="preserve">SAG has participated in the agreements reached concerning all the tenders for IT development and maintenance mentioned in relation to the AEAT (C 68/06, C 03/07, AV 42/10, AV 10/2011, PA 20/2014, and PA 2/2015). SAG has played an active role as a participant in the various UTEs that have been awarded these tenders, in the negotiations and exchanges of sensitive commercial information among the participating companies, and in decision-making regarding the various aspects related to the agreements adopted to maintain the pre-existing competitive situation (facts 1 to 73).  </w:t>
        <w:br/>
        <w:t xml:space="preserve">SAG has also actively participated in the agreements reached concerning all the tenders from the GISS cited in the established facts. The agreements reached by SAG involve the distribution of profiles, the exchange of sensitive commercial information, the drafting of bidding documents or the variation of their wording, the signing of collaboration agreements with companies that had previously provided the services, etc. Furthermore, SAG has demonstrated decision-making capacity regarding the companies with which to preferentially subcontract or jointly participate in UTEs, decision-making regarding the modality in which to present proposals for the tenders (jointly in UTE, separately, with subcontracting, etc.).  </w:t>
        <w:br/>
        <w:t>As a result of these agreements, SAG was awarded lots 7, 10, 11, and 14 of tender 7202/06G as a participant in various UTEs (facts 74 to 90). The existing agreement with the companies INDRA, ATOS, and CONNECTIS also included the distribution of lot 12 of this tender, where SAG was the preferred subcontractor, with the aim of maintaining a 10% share of the services tendered in that lot. SAG was also awarded lots 6, 8, and 11 of tender 7201/10G, although it reached an agreement with INDRA, CONNECTIS, and ATOS, whereby in addition to appearing as a participant in the UTE for lots 6 and 8, SAG would be the preferred subcontractor for the services of lot 9, maintaining its 12% share of participation (facts 91 to 106). This tender, as seen, continued the services from tender 7202/06G. SAG was also awarded lots 1 and 2 of tender 7201/14G, which continued those services, and although it conducted negotiations to reduce competition regarding lot 3 of this last tender and submitted a proposal in UTE for it, it ultimately was not awarded that lot (facts 138 to 180). SAG also reached agreements regarding tender 7201/13G, of which it was awarded in UTE with INDRA and for which it agreed to the preferential subcontracting of ATOS, CIBERNOS, and CONNECTIS, in exchange for them not participating in other competing offers. All of the above led to the maintenance of SAG's participation in the IT services tendered by the GISS at least since 2006, although there are indications that both SAG's participation and the described agreements date back even further (facts 107 to 137).</w:t>
      </w:r>
    </w:p>
    <w:p>
      <w:r>
        <w:t xml:space="preserve">Additionally, SAG participated in the negotiations and agreements reached with various companies regarding the SEPE tenders. It should be noted that, in the SEPE context, SAG is one of the five key companies along with NEXT, CONNECTIS, GESEIN, and INDRA.  </w:t>
        <w:br/>
        <w:t xml:space="preserve">It has been established that SAG reached agreements with CONNECTIS, NEXT, ATOS, and EVERIS regarding lots 3 of file C10/08 and 6 of file C11/08 (facts 181 to 199). These agreements refer jointly to both lots, despite their belonging to different tenders. The negotiations regarding this took place before the information about the tender became public and involved the sharing of sensitive commercial information, the distribution of profiles, the setting of participation percentages, prices to be offered, etc. As a result of these actions, SAG submitted a proposal in UTE with CONNECTIS, NEXT, ATOS, and EVERIS for lot 3 of file C10/08, resulting in being awarded. Likewise, SAG submitted a proposal in UTE with CONNECTIS, NEXT, and ATOS for lot 6 of C11/08, committing to subcontract EVERIS under preferential conditions, although as they were not awarded that lot, the agreement reached had no effect regarding this lot.  </w:t>
        <w:br/>
        <w:t xml:space="preserve">In file PA 11/12, which represents the continuation of previous IT services, SAG maintained its pact with NEXT, CONNECTIS, and ATOS for the submission of a joint offer for lots 7 and 8, resulting in being awarded lot 7 (facts 200 to 221).  </w:t>
        <w:br/>
        <w:t xml:space="preserve">Additionally, in the tender PA 7/14, which continues certain services tendered in PA 11/12, SAG participated in negotiations with NEXT and CONNECTIS to maintain their alliance, although they did not manage to reach an agreement with CONNECTIS. Therefore, SAG agreed with NEXT, AXPE, and ATOS to submit proposals for lots 1 and 2 of tender PA 7/14 with the UTE SAG/NEXT/AXPE, committing to subcontract ATOS under preferential conditions (facts 222 to 246).  </w:t>
        <w:br/>
        <w:t xml:space="preserve">Although the UTE submitted proposals for both lots, it was only awarded lot 2, without the agreement having any effect regarding lot 1.  </w:t>
        <w:br/>
        <w:t>On the other hand, SAG led the contacts with INDRA and EVERIS for the establishment of a strategic alliance regarding the SAP environment. In relation to INDRA, SAG signed a framework collaboration agreement at the end of 2010 to submit proposals in UTE for the various tax-SAP projects in the Spanish Autonomous Communities, as well as at the European level (facts 247 to 262). This agreement provides for percentages for the distribution of future opportunities not yet identified and the compensation of national and international lines, as well as the signing of a specific collaboration agreement for each opportunity under which the companies would operate together and exclusively. However, it has not been possible to establish that this strategic agreement, which has a marked anti-competitive object, has been implemented. Regarding EVERIS, SAG signed a framework collaboration agreement in July 2011.</w:t>
      </w:r>
    </w:p>
    <w:p>
      <w:r>
        <w:rPr>
          <w:b/>
        </w:rPr>
        <w:t>[Pages 151–153]</w:t>
      </w:r>
    </w:p>
    <w:p>
      <w:r>
        <w:t>in relation to the SAP environment, which is limited to Spanish regional and local administrations regarding taxes, anticipating the signing of specific collaboration agreements for each opportunity detected by both companies, without being able to substantiate the effects of these agreements between EVERIS and SAG.</w:t>
      </w:r>
    </w:p>
    <w:p>
      <w:r>
        <w:t>The role played by SAG in all the tenders referenced in the established facts concerning the IT services and products tendered by the INSS is also relevant. In the case of the INSS, SAG has a significant presence and "ceded" a percentage of participation to INDRA in the tender 11/CP-10/2005 and its continuation, the tender 60/VC-50/10, both related to ATRIUM, without any justification for this, as stated by SAG itself. In these tenders, only the UTE SAG/INDRA was presented, participating in the drafting of the specifications and marking them technologically to reserve these services for the aforementioned companies. The joint presentation of both companies in a UTE was unnecessary, responding to purely strategic considerations and not to technical or economic motivations, as can be seen in the continuation of the tender 60/VC-50/10, lot 6 of file 60/VC-73/12, in which SAG decided to break the alliance with INDRA and both companies presented separately, resulting in SAG being awarded (facts 263 to 287).</w:t>
      </w:r>
    </w:p>
    <w:p>
      <w:r>
        <w:t>SAG also actively participated and led the agreements related to the ADABAS/NATURAL tenders of the INSS (392/CP-40/05 and 60/VC-28/10), in which it presented a UTE with ATOS, INDRA, and CIBERNOS, maintaining at all times the percentages of participation in the UTE of the four companies and contributing to the preservation of the existing status quo in the agency. In fact, references to the last of the aforementioned tenders indicate that it represents the continuation of the same companies for nine years in the provision of these services, suggesting that the agreements between the four companies date back further in time (facts 288 to 307).</w:t>
      </w:r>
    </w:p>
    <w:p>
      <w:r>
        <w:t>Within the INSS, SAG has also demonstrated to have strategic approaches regarding other IT services and products, in which it proposed various alliances with the companies awarded certain services even before their official tender was made public. In fact, SAG considered asking companies like INDRA for a certain percentage of participation in compensation for the quota ceded within the ATRIUM framework and organized meetings with companies like INDRA, CONNECTIS, or ATOS to attempt to reach agreements (facts 308 to 320).</w:t>
      </w:r>
    </w:p>
    <w:p>
      <w:r>
        <w:t>Finally, SAG has developed other types of behaviors aimed at limiting and distorting competition. Specifically, SAG simulated offers to support ATOS so that the latter would be awarded certain contracts in negotiated procedures, especially in relation to the Ministry of the Interior, at the request of ATOS (facts 331 to 350). SAG has also used ATOS's asset keys to present itself in certain tenders, in which SAG subsequently provided services formally as a subcontractor of ATOS, which was nominally supposed to provide the services, and for this purpose, they have signed a global agreement that has been applied especially concerning the contracts for the development and maintenance of IT applications in the Subsecretariat of the MECD.</w:t>
      </w:r>
    </w:p>
    <w:p>
      <w:r>
        <w:t>SAG has also requested coverage favors from CIBERNOS in various agencies such as the Cervantes Institute, MECD, University of Barcelona, or MINHAP. There are also indications that it may have requested them from ATOS and BABEL concerning the MECD (May 2015) and evidence that it requested BABEL to submit a coverage offer in 2009 for a contract from the Ministry of the Environment and Rural and Marine Affairs, although when BABEL ultimately submitted a lower offer, despite the agreement reached, SAG considered ceasing collaboration with BABEL in the future and decided to warn them that they should take care of their relationship with SAG. Specifically, it is stated that BABEL should "measure its loyalty and commercial aggressiveness" and that it will be urged "to review its methods, as otherwise, they will stop collaborating with us."</w:t>
      </w:r>
    </w:p>
    <w:p>
      <w:r>
        <w:t>4.5. Effects of the behaviors</w:t>
      </w:r>
    </w:p>
    <w:p>
      <w:r>
        <w:t>As the CNMC Council and the CNC have previously pointed out, in the assessment of behaviors under Article 1 of the LDC, proof of actual effects contrary to competition is not required when it has been determined that these are restrictive by their object. In this same sense, the Court of Justice of the European Union pronounces.</w:t>
      </w:r>
    </w:p>
    <w:p>
      <w:r>
        <w:t>In light of the above, the result of the analysis of the effects caused by the behaviors in the market cannot alter the legal qualification that this Chamber has made, as these are behaviors between competing companies that, by their very nature, fall within the category of infringements by object.</w:t>
      </w:r>
    </w:p>
    <w:p>
      <w:r>
        <w:t>However, it should be emphasized that the agreements and concerted practices analyzed in the file have had restrictive effects on competition, as they artificially and unjustifiably reduced competition among companies in public tenders for the contracting of information technology services, called by various public administrations in Spain, and artificially divided the lots in their own interest with the intention of maintaining the pre-existing situation regardless of the evolution of the capabilities of the different companies, the needs of the administration, and the configuration of the affected public tenders.</w:t>
      </w:r>
    </w:p>
    <w:p>
      <w:r>
        <w:t>Thus, the restrictive effects of the investigated behaviors are not limited to the static analysis of the different contracts and tenders for which a market division has been substantiated, but the main effect of the investigated behaviors on effective competition in the market has been the distortion of the competitive dynamics as they are oriented towards maintaining a certain status quo, behaviors that are also likely to affect the development of the capabilities of the companies in the sector in providing services to the affected public administrations.</w:t>
      </w:r>
    </w:p>
    <w:p>
      <w:r>
        <w:t>In particular, as a consequence of these anticompetitive practices, companies in the information technology market in Spain and, in particular, the accused companies, are disincentivized from making the necessary investments that would allow them to provide the information technology services tendered by the affected public administrations autonomously and more efficiently.</w:t>
      </w:r>
    </w:p>
    <w:p>
      <w:r>
        <w:t>This aspect would have special repercussions regarding the recruitment of human resources by the companies. Human resources are essential for positioning in the information technology services market in Spain, so in a competitive environment, one would expect significant competition for workers whose qualifications and performance depend on securing contracts with the various public administrations and bidding public bodies.</w:t>
      </w:r>
    </w:p>
    <w:p>
      <w:r>
        <w:t>The absence of such competition in the affected tenders leads this Chamber to consider that the agreements and concerted practices substantiated in this file could also implicitly involve non-solicitation pacts regarding the human resources of the other participating companies. These implicit non-solicitation pacts entail that the costs they represent (their salaries) remain below what would correspond to a competitive situation in the market, resulting in a maintenance of profit margins for the companies that are higher than those that would correspond in a competitive environment.</w:t>
      </w:r>
    </w:p>
    <w:p>
      <w:r>
        <w:t>Another effect derived from the behaviors, as already noted, refers to the limitation of access to contracts for the other competing companies whose interest in participating in the tenders has been demonstrated in this resolution. In a large part of the contracts that have been analyzed, there is competition from third companies, either in UTE or individually, for the tenders, and however, they have been unable to be awarded or, in their case, to participate in the contracts as a result of the division of the same by the companies involved in this procedure. As the Supreme Court stated in the aforementioned ruling dated February 14, 2006 (cassation appeal 4628/2003), "The T.D.C. is correct in stating that if the access of new operators is only possible at the time of the tender, if the only four companies that present themselves do not actually compete with each other, but rather agree in advance on the division of the total tender, if in this one it is granted...</w:t>
      </w:r>
    </w:p>
    <w:p>
      <w:r>
        <w:rPr>
          <w:b/>
        </w:rPr>
        <w:t>[Pages 154–156]</w:t>
      </w:r>
    </w:p>
    <w:p>
      <w:r>
        <w:t>a substantial preference to the previous awardee and if, during the period between tenders, the already established companies have opportunities, which they frequently materialize, to extend the awarded services without the need to tender, it is evident that collusive agreements constitute an additional barrier. The market is reduced and potential entrants thus see their access opportunities diminished."</w:t>
      </w:r>
    </w:p>
    <w:p>
      <w:r>
        <w:t>On the other hand, as has been demonstrated in this file, the investigated behaviors have produced harmful effects on the interests of the General State Administration since, as a consequence of these, there has been an increase in the cost of the tendered services with the consequent detriment to public finances, in addition to the increased dependence of the contracting agencies on certain offering companies of these services, as they see the offers received in the various public tenders convened by them artificially limited.</w:t>
      </w:r>
    </w:p>
    <w:p>
      <w:r>
        <w:t>The increase in the cost of the tendered services for the contracting administrations arises both from the artificial decrease in the number of independent offers received and from the submission of offers in the public tenders with discounts lower than those that would arise from a situation of greater competition in these tenders. In particular, as indicated earlier, it has been demonstrated that on numerous occasions, having a high certainty of being awarded the contract, the involved companies opted not to include or to minimize the discounts offered in the tenders, presenting offers without discounts or with discounts lower than those they would have been willing to present had they expected greater competition from other companies.</w:t>
      </w:r>
    </w:p>
    <w:p>
      <w:r>
        <w:t>It is worth emphasizing that, as indicated, it is not necessary to carry out an analysis of the individualized and specific effects that the investigated behaviors have caused in the affected market, nor to quantify them, in order to establish the infringement of Articles 1 LDC and 101 TFEU.</w:t>
      </w:r>
    </w:p>
    <w:p>
      <w:r>
        <w:t>In any case, in order to complete the analysis of the anticompetitive behaviors subject to this file, the Competition Directorate has carried out a series of calculations aimed at approximating the economic harm that at a minimum these behaviors have caused to the affected public administrations.</w:t>
      </w:r>
    </w:p>
    <w:p>
      <w:r>
        <w:t>It should be emphasized that for this approximation, only the cases in which it has been demonstrated that the companies considered certain percentages of discount and that these have been reduced as a consequence of the anticompetitive behaviors have been taken into account.</w:t>
      </w:r>
    </w:p>
    <w:p>
      <w:r>
        <w:t>Thus, the Competition Directorate has been particularly conservative when making the calculations, as in certain cases it would be possible to make extrapolations (for example, in cases like that of the INSS, where after years of market-sharing agreements, the companies begin to compete, and discounts go from modest to increasing by around twenty percentage points), but these have been discarded, in order to reflect only established facts based on the data in the reference file.</w:t>
      </w:r>
    </w:p>
    <w:p>
      <w:r>
        <w:t>Based on the data contained in section 4.1.4 of this resolution, a series of tables are shown that highlight the discounts established in the analyzed tenders.</w:t>
      </w:r>
    </w:p>
    <w:p>
      <w:r>
        <w:t>- In relation to the AEAT:</w:t>
        <w:br/>
        <w:t>Four of the analyzed contracting files were awarded without discount: C08/06, C 03/07, AV42/10, AV 10/2011.</w:t>
      </w:r>
    </w:p>
    <w:p>
      <w:r>
        <w:t>As can be seen in the following table, taking into account the differential existing between the discounts proposed by the companies and those finally offered, the economic harm that at a minimum the accredited practices in the reference file have caused to the AEAT in the tenders AV42/10, PA 20/2014, and PA 2/2015 amounts to 1,080,861.944 euros.</w:t>
      </w:r>
    </w:p>
    <w:p>
      <w:r>
        <w:t>| Tender | Amount Tendered (€) | Actual Discount (%) | Actual Discount (€) | Potential Discount (%) | Potential Discount (€) | Differential (%) | Differential (€) |</w:t>
        <w:br/>
        <w:t>|--------|---------------------|---------------------|----------------------|------------------------|------------------------|------------------|------------------|</w:t>
        <w:br/>
        <w:t>| C 68/06 | 10,000,896.00 | 0.00% | 0 | n.d. | n.d. | n.d. | n.d. |</w:t>
        <w:br/>
        <w:t>| C 03/07 | 12,979,200.00 | 0.00% | 0 | n.d. | n.d. | n.d. | n.d. |</w:t>
        <w:br/>
        <w:t>| AV 42/10 | 10,495,994.17 | 0.00% | 0 | 2.00% | 209,919.88 | -2.00% | -209,919.88 |</w:t>
        <w:br/>
        <w:t>| AV 10/2011 | 12,509,369.00 | 0.00% | 0 | - | - | - | - |</w:t>
        <w:br/>
        <w:t>| PA 20/2014 | 11,759,651.20 | 2.90% | 343,164.20 | 7.5% | 881,973.84 | -4.60% | -538,809.64 |</w:t>
        <w:br/>
        <w:t>| PA Lot 1 | 9,165,798.40 | 1.04% | 95,704.22 | 3.00% | 274,973.95 | -1.96% | -179,269.73 |</w:t>
        <w:br/>
        <w:t>| PA 2/2015 Lot 2 | 7,888,038.40 | 1.06% | 83,778.46 | 3.00% | 236,641.15 | -1.94% | -152,862.69 |</w:t>
      </w:r>
    </w:p>
    <w:p>
      <w:r>
        <w:t>Source: prepared by the Competition Directorate based on the data established in the reference file.</w:t>
      </w:r>
    </w:p>
    <w:p>
      <w:r>
        <w:t>- In relation to the GISS:</w:t>
        <w:br/>
        <w:t>In the case of the tenders awarded by the GISS, it has been demonstrated in the reference file that the described behaviors also lead to discounts lower than those that would have existed in a competitive environment (see section 4.1.4).</w:t>
      </w:r>
    </w:p>
    <w:p>
      <w:r>
        <w:t>In this case, the data is considered a minimum quantification of the economic harm caused to the GISS by the accredited practices in relation to the tenders 7201/10G and 7201/13G of 1,671,905.55 euros.</w:t>
      </w:r>
    </w:p>
    <w:p>
      <w:r>
        <w:t>| Tender | Amount Tendered (€) | Actual Discount (%) | Actual Discount (€) | Potential Discount (%) | Potential Discount (€) | Differential (%) | Differential (€) |</w:t>
        <w:br/>
        <w:t>|--------|---------------------|---------------------|----------------------|------------------------|------------------------|------------------|------------------|</w:t>
        <w:br/>
        <w:t>| Lot 10 | 22,979,493.24 | 8.03% | 1,845,356.12 | n.d. | n.d. | n.d. | n.d. |</w:t>
        <w:br/>
        <w:t>| Lot 11 | 29,901,161.08 | 8.31% | 2,485,978.46 | n.d. | n.d. | n.d. | n.d. |</w:t>
        <w:br/>
        <w:t>| Lot 12 | 7,219,512.23 | 9.48% | 684,252.80 | n.d. | n.d. | n.d. | n.d. |</w:t>
        <w:br/>
        <w:t>| Lot 13 | 5,189,508.58 | 8% | 414,902.40 | n.d. | n.d. | n.d. | n.d. |</w:t>
        <w:br/>
        <w:t>| Lot 14 | 4,780,196.84 | 9.09% | 434,614.40 | n.d. | n.d. | n.d. | n.d. |</w:t>
        <w:br/>
        <w:t>| Total | 116,057,742.00 | 8.37% | 9,715,050.52 | n.d. | n.d. | n.d. | n.d. |</w:t>
        <w:br/>
        <w:t>| Lot 6 | 25,944,324.16 | 8.17% | 2,118,666.00 | n.d. | n.d. | n.d. | n.d. |</w:t>
        <w:br/>
        <w:t>| Lot 8 | 26,529,658.62 | 7.90% | 2,095,797.00 | n.d. | n.d. | n.d. | n.d. |</w:t>
        <w:br/>
        <w:t>| Lot 9 | 5,738,393.27 | 7.01% | 402,501.00 | n.d. | n.d. | n.d. | n.d. |</w:t>
        <w:br/>
        <w:t>| Lot 10 | 4,837,838.51 | 8.77% | 424,481.75 | n.d. | n.d. | n.d. | n.d. |</w:t>
        <w:br/>
        <w:t>| Lot 11 | 3,993,931.86 | 8.53% | 340,857.00 | n.d. | n.d. | n.d. | n.d. |</w:t>
        <w:br/>
        <w:t>| 7201/13G | 33,438,111.09 | 30.156% | 10,031,433.33 | 35% | 11,703,338.88 | -5% | -1,671,905.55 |</w:t>
        <w:br/>
        <w:t>| Lot 1 | 37,879,538.84 | 0.00% | 0 | n.d. | n.d. | n.d. | n.d. |</w:t>
        <w:br/>
        <w:t>| 7201/14G | Lot 2 | 16,467,192.51 | 0.00% | 0 | n.d. | n.d. | n.d. | n.d. |</w:t>
        <w:br/>
        <w:t>| Lot 3 | 26,129,001.46 | 0.00% | 0 | n.d. | n.d. | n.d. | n.d. |</w:t>
      </w:r>
    </w:p>
    <w:p>
      <w:r>
        <w:t>Source: prepared by the Competition Directorate based on the data established in the reference file.</w:t>
      </w:r>
    </w:p>
    <w:p>
      <w:r>
        <w:t>- In relation to the SEPE:</w:t>
        <w:br/>
        <w:t>Regarding the tenders awarded by the SEPE, lot 3 of file 10/08 for which there is evidence of agreements was awarded with a discount of 2%, the same discount that was offered by the participating companies (SAG, NEXT, CONNECTIS, ATOS, and EVERIS) in the agreement for lot 6 of file 11/08, since the agreements encompassed both lots (the latter was won by INDRA with a 10% discount). In the case of file PA 11/12, the companies speak of the need for a significant discount, starting from a figure of 25%. The discounts at which the lots are awarded range between 27% and 28.14%, as seen, discounts much more significant than in the previous cases, as two blocks of companies competed, one led by SAG and the other by INDRA.</w:t>
      </w:r>
    </w:p>
    <w:p>
      <w:r>
        <w:t>The companies offered a 30% discount on the unit prices, although the contract award was made based on the total tendered. For being more beneficial for the companies, it has been assumed that the discount was 30%, although the savings for the GISS were indirect, in the form of lower unit prices.</w:t>
      </w:r>
    </w:p>
    <w:p>
      <w:r>
        <w:t>If the potential discount were taken as a reference at 38%, the indirect harm to the GISS (in the form of higher unit prices) for this tender would be 2,675,048.89 euros, instead of 1,671,905.55 euros.</w:t>
      </w:r>
    </w:p>
    <w:p>
      <w:r>
        <w:t>In this file, the discounts offered in terms of unit prices amounted to 29.30%, 30.30%, and 44% in Lots 1, 2, and 3 respectively, although the tenders were awarded based on the total tendered.</w:t>
      </w:r>
    </w:p>
    <w:p>
      <w:r>
        <w:rPr>
          <w:b/>
        </w:rPr>
        <w:t>[Pages 157–159]</w:t>
      </w:r>
    </w:p>
    <w:p>
      <w:r>
        <w:t> In relation to the INSS:</w:t>
        <w:br/>
        <w:t>Thus, in the case of the INSS, a minimum economic harm can be quantified resulting from the differential between the discounts proposed by the companies and the final offer made, given the anticompetitive practices in file 60/VC-50/10 amounting to €316,812.83, as can be seen in the following table (see section 4.1.4):</w:t>
        <w:br/>
        <w:t>Differential</w:t>
        <w:br/>
        <w:t>Amount Amount Actual Discount Potential Discount Discounts</w:t>
        <w:br/>
        <w:t>INSS Tender</w:t>
        <w:br/>
        <w:t>Bid (€) Awarded (€)</w:t>
        <w:br/>
        <w:t>% Euros % Figure % Euros</w:t>
        <w:br/>
        <w:t>11/CP-10/2005 3,064,460.80 2,604,761.60 15.00% 459,699.20 - - - -</w:t>
        <w:br/>
        <w:t>In relation to</w:t>
        <w:br/>
        <w:t>ATRIUM 60/VC-50/10 6,339,014.32 6,021,925.72 5.00% 317,088.60 10% 633,901.43 -5.00% -316,812.83</w:t>
        <w:br/>
        <w:t>60/VC-73/12159 2,561,088.52 1,920,837.23 25.00% 640,251.29 - - - -</w:t>
        <w:br/>
        <w:t>In relation to 392/CP-40/05 10,168,510.40 8,643,224.00 15.00% 1,525,286.40 - - - -</w:t>
        <w:br/>
        <w:t>ADABAS/NATURAL</w:t>
        <w:br/>
        <w:t>60/VC-28/10 11,781,143.56 10,601,338.46 10.01% 1,179,805.10 13% 1,531,548.66 -2.99% -351,743.56</w:t>
        <w:br/>
        <w:t>Source: prepared by the Competition Directorate based on the data accredited in the reference file.</w:t>
        <w:br/>
        <w:t>The anticompetitive effects described throughout this section entail, as previously pointed out, a maintenance and increase of the profit margins of the companies during an economic crisis and in a context of public spending restraint, as evidenced in the present file.</w:t>
        <w:br/>
        <w:t>Logically, there is a direct relationship between the decrease in the discounts offered and labor costs and the increase in the margins obtained. However, in a competitive context, companies face difficulties in systematically maintaining or increasing those margins.</w:t>
        <w:br/>
        <w:t>Therefore, it is particularly striking that, in a context where the human resources provided by each company to the projects are essential for the achievement and maintenance of the tenders from the public administrations affected by the proven anticompetitive behaviors, and in which the qualification of the workers represents the main asset for those tenders, most of the implicated companies share information about those workers and their qualifications without fearing that they may be recruited by their competitors and, moreover, these companies consider resorting to reductions in labor costs to maintain their margins, costs that have been decreasing in organizations such as the GISS, SEPE, or INSS.</w:t>
        <w:br/>
        <w:t>The above, as well as the submission of offers without discounts or with purely testimonial discounts in relation to public tenders that represent significant billing for the implicated companies, would not be possible without the existence of the anticompetitive behaviors described in the present file.</w:t>
        <w:br/>
        <w:t>4.6. Analysis of culpability and applicability of the principle of legitimate expectation.</w:t>
        <w:br/>
        <w:t>4.6.1. Analysis of culpability</w:t>
        <w:br/>
        <w:t>Having established and qualified the behaviors as contrary to the LDC, Article 63.1 of the LDC conditions the exercise of the sanctioning power regarding fines by the competition authority on the presence of intent or negligence in the infringing subject in the commission of the imputed conduct.</w:t>
        <w:br/>
        <w:t>Indeed, in the field of sanctioning administrative law, objective liability in the commission of an infringement is not applicable, being essential the element of culpability, which implies that the unlawful conduct is attributable to the passive subject author of the conduct.</w:t>
        <w:br/>
        <w:t>Thus, the expression contained in Article 130.1 of Law 30/1992, of November 26, on the Legal Regime of Public Administrations and the Common Administrative Procedure (LRJPAC), is interpreted when it establishes that only individuals and legal entities that are responsible for the acts constituting an administrative infringement may be sanctioned, necessarily attributing such responsibility on the basis of intent or fault, understood as the lack of due diligence to avoid an unlawful, foreseeable, and avoidable result.</w:t>
        <w:br/>
        <w:t>This Chamber considers that it has been established that the companies responsible for the infringements knew and were aware of the unlawfulness of the behaviors carried out.</w:t>
        <w:br/>
        <w:t>We are faced with a group of companies of considerable importance and reputation within the sector, which have been sharing a large number of public contracts over a long period through illicit practices.</w:t>
        <w:br/>
        <w:t>In addition to the perpetuation of alliances between the companies and other highlighted anticompetitive aspects, in particular, the agreements for preferential subcontracting, regularizations, or coverage offers, there is a circumstance of great relevance that allows this Chamber to consider the volitional element of the conduct, such as the concealment of the real agreements by the companies from the other competing companies in the tenders, the market, and, on several occasions, from the administration. As has been demonstrated throughout this resolution, the actual distribution among the companies and the theoretical one stated to the administration was not always coincident, which highlights a manifest intention to reduce transparency regarding collaboration agreements that under normal circumstances should be known by the contracting administration. This secrecy, towards the administration, but also towards the other companies competing for the contracts, is again observed in contracts where the object is divided into several lots, precisely with the intention of fostering competition in the tender.</w:t>
        <w:br/>
        <w:t>However, the companies, again with concealment, simulate competing when in reality they have previously divided the entirety of the contract, acting as a unit of decision. The division of the contract into lots is irrelevant, because the companies share them, and this is an illicit act that cannot be unknown to the companies.</w:t>
        <w:br/>
        <w:t>Particularly significant is the reaction to the warning from the Legal Advisory of ATOS that the agreements this company was reaching with SAG and THALES could be violating the competition defense and administrative contracting rules. Warnings, moreover, that ATOS conveyed to the other companies involved in these agreements, SAG and THALES, without further consequences and stating, as we have previously emphasized, that "legal problems should not be mixed when agreeing on the content of a legal document, with the business in which we are involved, a business in which all five companies are absolutely involved and in agreement."</w:t>
        <w:br/>
        <w:t>On the other hand, it has been noted how the companies on some occasions have participated in the configuration of the specifications to ensure the awarding of contracts, which again demonstrates a clear intention to manipulate the procedure with a single objective, to maintain positions in successive contracts.</w:t>
        <w:br/>
        <w:t>The unlawfulness of behaviors such as those accredited in this resolution, carried out by competing companies over several years, cannot be unknown to the responsible companies. It is indisputable that companies competing in the same market and sharing certain public contracts over several years and exchanging sensitive commercial information to achieve this must be aware and fully knowledgeable of</w:t>
      </w:r>
    </w:p>
    <w:p>
      <w:r>
        <w:rPr>
          <w:b/>
        </w:rPr>
        <w:t>[Pages 160–162]</w:t>
      </w:r>
    </w:p>
    <w:p>
      <w:r>
        <w:t>that their behavior is not in accordance with the most basic norms of business conduct in competitive markets and therefore they keep their contacts and contracts secret.</w:t>
      </w:r>
    </w:p>
    <w:p>
      <w:r>
        <w:t>It cannot, therefore, be considered that the companies were unaware of the consequences that could arise from their conduct.</w:t>
      </w:r>
    </w:p>
    <w:p>
      <w:r>
        <w:t>4.6.2. Analysis of the applicability of the principle of legitimate expectation</w:t>
      </w:r>
    </w:p>
    <w:p>
      <w:r>
        <w:t>Most companies have argued throughout the proceedings that the actions of the administration in the analyzed contracting procedures have fostered the need for collaboration among companies. These companies agree that the governing specifications of the contracts they have submitted to have led to the necessity of configuring offers in collaboration with other companies and, furthermore, have created the need to maintain the configuration of the UTE throughout the successive contracts.</w:t>
      </w:r>
    </w:p>
    <w:p>
      <w:r>
        <w:t>As already noted in this resolution, the analyzed contracts are characterized by being highly specialized and by containing participation requirements that, in many cases, have resulted in the need to form UTEs, particularly for smaller companies in the sector. The design of the specifications of some public tenders has facilitated that those companies that had been providing a service continued to do so and that due to the specificity of certain requirements of technical and financial solvency, the presence of at least one large company was required, making it difficult for small companies to submit offers.</w:t>
      </w:r>
    </w:p>
    <w:p>
      <w:r>
        <w:t>However, this does not justify, in the opinion of this Chamber, that companies have maintained permanent alliances for a large number of contracts without seeking pro-competitive alternatives in the contracting procedures. It also does not justify the other practices referred to in the previous sections, such as the division of lots when the administrations have promoted competitive bidding, preferential subcontracting, regularizations, the transfer of keys, or coverage offers, all actions aimed at maintaining the position of the companies in the various contracts that have been successively awarded in the public bodies of continuous reference.</w:t>
      </w:r>
    </w:p>
    <w:p>
      <w:r>
        <w:t>This Chamber does not deny that public administrations may have had, in some contracts, a certain impact generating a context that has fostered the interested maintenance of alliances, but it is not possible to place all the responsibility for the conduct on public bodies, which have shown very different operations with different personnel and different teams, under the argument of the concurrence of the principle of legitimate expectation. In any case, the different units of public administrations, in the tenders they have convened, have acted as contracting bodies and are subject in this area to the public procurement regulations of the State, over which this Commission has no application authority.</w:t>
      </w:r>
    </w:p>
    <w:p>
      <w:r>
        <w:t>This Commission has already had the opportunity to declare in previous resolutions164 that, according to jurisprudence, the principle of legitimate expectation must be interpreted restrictively and always within the scope of legality, as the Supreme Court has pointed out165:</w:t>
      </w:r>
    </w:p>
    <w:p>
      <w:r>
        <w:t>"the principle of legality prevails over behavior manifestly contrary to legality itself, even if the conduct of the Administration may have been ambiguous [...] important companies in the sector, such as those sanctioned, could not be unaware of the requirements of competition law, nor be misled by an action of the Administration that was more or less ambiguous regarding the admissibility of the behavior of the sanctioned companies."</w:t>
      </w:r>
    </w:p>
    <w:p>
      <w:r>
        <w:t>This prevalence of the principle of legality over those behaviors carried out under the passivity of the public administration, or when it acts affecting them, finds its best expression in the ruling of the Supreme Court dated February 3, 2009, when it states that this type of action by the administration "does not generate legitimate expectation for the purposes that concern us, as they are not competent to determine which practices are contrary to free competition."</w:t>
      </w:r>
    </w:p>
    <w:p>
      <w:r>
        <w:t>The application of the principle of protection of legitimate expectation is conditioned not so much on the fact that any type of psychological conviction occurs in the particular beneficiary, but rather on the existence of external signs produced by the administration "sufficiently conclusive" to reasonably induce him to trust in the legality of the administrative action (Judgment of the Supreme Court of February 23, 2000).</w:t>
      </w:r>
    </w:p>
    <w:p>
      <w:r>
        <w:t>"The principle of legitimate expectation does not apply to cases of any type of subjective psychological conviction in the particular, but when such trust is based on signs or external facts produced by the Administration, sufficiently conclusive that induce him to trust in the appearance of legality that the administrative action through specific acts reveals, moving the will of the administered to carry out certain acts, economic investments, material and personal means that later do not align with the true will of the Administration and its consequences" (Judgment of the Supreme Court of March 31, 1998).</w:t>
      </w:r>
    </w:p>
    <w:p>
      <w:r>
        <w:t>From all the considerations exposed, a very specific idea emerges that consists of the need to preserve free competition in the markets, and the truth is that in the case at hand this interest has been clearly affected in the set of analyzed tenders, regardless of the impact of the administration on them, and therefore companies cannot be exempted from their responsibility.</w:t>
      </w:r>
    </w:p>
    <w:p>
      <w:r>
        <w:t>The impact of the administration on the conduct has not been denied by the Competition Directorate throughout the instruction of the procedure, but in its proposal for resolution, it offers convincing arguments that allow considering that the participation of the administration is not decisive for the qualification of the infringement.</w:t>
      </w:r>
    </w:p>
    <w:p>
      <w:r>
        <w:t>For example, the facts evidence changes in the contracting model, with the intention on the part of the administration to promote competition in the offers and, however, companies seek illicit alternatives to continue maintaining the alliances.</w:t>
      </w:r>
    </w:p>
    <w:p>
      <w:r>
        <w:t>It has also been highlighted that there are alternatives on the part of the companies to overcome the determinism of the specifications.</w:t>
      </w:r>
    </w:p>
    <w:p>
      <w:r>
        <w:t>It is recorded in the file how in certain cases there may be a transfer of workers between companies. An example of this is cited by ALDEBARÁN in its written allegations (folio 15252), in which it states that after losing the tender for a lot of the tender 7201/14G of the GISS, whose services it had been providing, there was a massive transfer of workers who went to work for the new awardee of the contract. This fact refutes the argument of the parties that the CVs of the workers and their ties to each company require that the service continue to be provided inherently by the companies that had been doing so.</w:t>
      </w:r>
    </w:p>
    <w:p>
      <w:r>
        <w:t>It is also relevant to highlight the role played by the companies in relation to their active participation in the drafting and shaping of such deterministic specifications to which the companies attribute the maintenance of the status quo. This participation even leads to these companies being the ones who draft or suggest changes to the specifications to the contracting administrations.</w:t>
      </w:r>
    </w:p>
    <w:p>
      <w:r>
        <w:t>The negotiating power of the administration claimed by the companies is thus called into question. Companies actively participate in the shaping of the specifications and maintain frequent contacts with the bidding administrations before the awarding of the tenders, having relevant information before the tenders are called and negotiating among themselves both their influence in them and the distribution of tenders not yet called.</w:t>
      </w:r>
    </w:p>
    <w:p>
      <w:r>
        <w:t>There are also no external signs that could have led the companies to believe that their actions were lawful, among other reasons, because certain behaviors are observed that evidence that the companies have acted, at certain moments, outside the public administrations, hiding, for example, the real percentages of participation in the contracts or dividing the lots of the same while simulating competition.</w:t>
      </w:r>
    </w:p>
    <w:p>
      <w:r>
        <w:rPr>
          <w:b/>
        </w:rPr>
        <w:t>[Pages 163–165]</w:t>
      </w:r>
    </w:p>
    <w:p>
      <w:r>
        <w:t>FIFTH. RESPONSE TO THE REST OF THE ALLEGATIONS TO THE PROPOSAL FOR</w:t>
        <w:br/>
        <w:t>RESOLUTION AND OTHER ISSUES RAISED IN THE RESOLUTION PHASE</w:t>
        <w:br/>
        <w:t>All companies have submitted allegations to the proposal for resolution raised to this Chamber by the Competition Directorate. Part of the allegations presented have already been addressed in the previous sections, the rest are responded to below or have already been repeatedly addressed throughout the file in a manner accepted by this Chamber and, to avoid repetitions, are not repeated at this time.</w:t>
      </w:r>
    </w:p>
    <w:p>
      <w:r>
        <w:t>5.1. On the alleged defenselessness claimed by BABEL</w:t>
        <w:br/>
        <w:t>BABEL claims defenselessness on the grounds that the specifications of the tenders from the GISS are not included in the administrative file and were never requested from either the companies involved or the public administrations, which means that the Competition Directorate did not conduct an analysis of them. In BABEL's opinion, this circumstance renders the procedure null and void as the company was prevented from exercising its right to defense protected by Article 24.1 of the Spanish Constitution. It also considers that the principles of legal certainty and the prohibition of arbitrariness have been violated.</w:t>
      </w:r>
    </w:p>
    <w:p>
      <w:r>
        <w:t>Response from the Competition Chamber</w:t>
        <w:br/>
        <w:t>The existence of a constitutional injury causing the nullity of an administrative procedure requires that the defenselessness be material and not merely formal. This implies that the existence of a procedural defect is not enough; it is also necessary that this defect has resulted in a real and effective harm, never potential or abstract166.</w:t>
      </w:r>
    </w:p>
    <w:p>
      <w:r>
        <w:t>"We have noted that, to appreciate the existence of a constitutional injury, it is necessary for the defenselessness to be material and not merely formal. This implies that the existence of a procedural defect is not enough; it is equally necessary that this defect has resulted in a real and effective harm, never potential or abstract, for the defendant, in their possibilities of defense in a process with all guarantees 'in relation to some interest' of the one invoking the fundamental right (SSTC 90/1988, legal foundation 2; 181/1994, legal foundation 2; 314/1994, legal foundation 1; 15/1995, legal foundation 4; 126/1996, legal foundation 2; 86/1997, legal foundation 1 and 118/1997, legal foundation 2)".</w:t>
      </w:r>
    </w:p>
    <w:p>
      <w:r>
        <w:t>Based on this consideration, the constitutional defect alleged by BABEL cannot be appreciated as no defenselessness is evident.</w:t>
      </w:r>
    </w:p>
    <w:p>
      <w:r>
        <w:t>166 STC number 26/1999, of March 8.</w:t>
      </w:r>
    </w:p>
    <w:p>
      <w:r>
        <w:t>Without prejudice to the fact that this Chamber considers that the Competition Directorate has indeed taken into account the specifications of the public tenders affected by this procedure in its analysis of the conduct, which are also included in the administrative file, it is true that the company itself states that it knows and is in possession of the administrative specifications of the affected contracts in which it would have participated and, therefore, has been able to allege, and has done so, whatever it deemed appropriate in relation to their content, which is clear evidence that its rights of defense have not been violated, which it can continue to exercise in the judicial instances following the conclusion of this procedure. This Chamber does not perceive a real and effective harm to the rights alleged by the company and, therefore, its claim must be dismissed.</w:t>
      </w:r>
    </w:p>
    <w:p>
      <w:r>
        <w:t>The same fate must befall the alleged violation of the principles of legal certainty and the prohibition of arbitrariness, whose compliance by the administration is guaranteed as long as the competent body bases its decision on the law and the right, and with the required objectivity, understood as "equivalent to impartiality or neutrality, in such a way that any activity must be developed by virtue of stereotyped guidelines, not subjective criteria"167.</w:t>
      </w:r>
    </w:p>
    <w:p>
      <w:r>
        <w:t>The issues raised by the conceptualization of what must be objective or not can sometimes generate uncertainty for the administered party when considering that the decisions affecting them lack the necessary objectivity. Therefore, the guarantee of the objectivity of administrative acts lies in the motivation of the decisions adopted. This is understood by the Supreme Court itself when it states that "if the Public Administration is to serve the general interests with objectivity, as imposed by Article 103 of our Constitution, it is through the motivation of its acts, for only through it can it be known whether the action deserves the characterization of objective by conforming to the fulfillment of its purposes, without such motivation being able to be fulfilled with conventional formulas, but by fully explaining the logical and legal process that determines the decision"168.</w:t>
      </w:r>
    </w:p>
    <w:p>
      <w:r>
        <w:t>The analysis of the proposal for resolution, certainly extensive, demonstrates a clear concern on the part of the Competition Directorate to adequately motivate its decisions, so no absence of objectivity in the instruction of the procedure is perceived.</w:t>
      </w:r>
    </w:p>
    <w:p>
      <w:r>
        <w:t>5.2. Allegations regarding the contracts of the AEAT</w:t>
        <w:br/>
        <w:t>In relation to contract C 03/07 of the AEAT, IBM has been stating throughout the file that the UTE of which it was a part was constituted solely for the purpose of executing the contract, with no evidence, in its opinion, that the mentioned company had agreed with the other companies in the UTE for anti-competitive purposes. Furthermore, IBM considers that the UTE generated efficiencies for the contracting bodies, which excludes its anti-competitive nature.</w:t>
      </w:r>
    </w:p>
    <w:p>
      <w:r>
        <w:t>On the other hand, IBM attributes to the AEAT the responsibility for having established the participation percentages based on the technicians available to the participants of the tender C03/07 before the submission of the offer, which, in its opinion, demonstrates the absence of intention on the part of the companies to maintain the status quo in the tenders in question.</w:t>
      </w:r>
    </w:p>
    <w:p>
      <w:r>
        <w:t>Among the aspects highlighted by IBM is that the resources had to be identified in the offer itself by attaching the corresponding resumes, that the presentation of additional resources was scored, and that certain requirements demanded that the workers had previously provided services at the AEAT.</w:t>
      </w:r>
    </w:p>
    <w:p>
      <w:r>
        <w:t>Additionally, IBM considers that there are no discrepancies between the privately agreed participation percentages among the companies and those communicated to the AEAT.</w:t>
      </w:r>
    </w:p>
    <w:p>
      <w:r>
        <w:t>In relation to the tender AV 10/11, IBM insists on the responsibility of the AEAT, pointing out that it was the AEAT itself that brought the companies together and requested information on March 7, 2011.</w:t>
      </w:r>
    </w:p>
    <w:p>
      <w:r>
        <w:t>Regarding the tender PA 2/2015, IBM has been arguing that the decision to act as a subcontractor was the result of a change in the company's global internal policy that sought to disengage from the figure of UTEs and that, in any case, the subcontracting agreement was with INDRA for lot 2 and did not include SAG or CIBERNOS.</w:t>
      </w:r>
    </w:p>
    <w:p>
      <w:r>
        <w:t>Finally, IBM justifies the absence of discounts in certain AEAT tenders by the fact that the cost/hour of the resources would be higher than the rate obtained by them.</w:t>
      </w:r>
    </w:p>
    <w:p>
      <w:r>
        <w:t>For its part, CIBERNOS has also been presenting allegations regarding the tender PA 2/2015 of the AEAT, noting that the division into two lots in this tender responded exclusively to formal issues, as, in practice, the provision needed to be carried out jointly. The mentioned entity considers that the AEAT decided to divide the tender to which this one continues (AV 10/2011) to give the impression that competition was being promoted.</w:t>
      </w:r>
    </w:p>
    <w:p>
      <w:r>
        <w:t>Response from the Competition Chamber</w:t>
        <w:br/>
        <w:t>This Chamber, as already stated by the Competition Directorate throughout the procedure, considers that, in relation to the tender C03/07, it has been established that the companies negotiated among themselves before meeting with the AEAT and, even without having data on the future tender, they began to</w:t>
      </w:r>
    </w:p>
    <w:p>
      <w:r>
        <w:rPr>
          <w:b/>
        </w:rPr>
        <w:t>[Pages 166–168]</w:t>
      </w:r>
    </w:p>
    <w:p>
      <w:r>
        <w:t>the companies prepared charts with the pre-existing situation and designed their proposals, which coincided with those finally offered in the bidding procedure. The companies that formed the UTE in the initial tenders maintained contacts among themselves first and then between themselves and the AEAT, and the terms negotiated among the member companies of the UTE matched those of the tender call. This constitutes a clear indication of the participation of CIBERNOS, SAG, INDRA, and IBM in the configuration of the tender C03/07.</w:t>
      </w:r>
    </w:p>
    <w:p>
      <w:r>
        <w:t>In relation to the tender AV 10/11, IBM insists on the responsibility of the AEAT, stating that it was the AEAT itself that brought the companies together and requested information on March 7, 2011. However, the facts in the file demonstrate that the companies already had information in June 2010 and that the documented direct contacts between the companies occurred several days before the email cited by IBM, which shows the active participation of the companies in the distribution of the tenders prior to their call and the contacts that the administration might initiate.</w:t>
      </w:r>
    </w:p>
    <w:p>
      <w:r>
        <w:t>Furthermore, it is observed how the design of the call did not allow the companies to directly maintain the configuration of the existing teams "due to the requirements of the specifications we cannot transfer the actual current team, for each of the companies," and yet the companies negotiated to try to achieve a distribution that maintained the pre-existing situation as much as possible (folio 5910).</w:t>
      </w:r>
    </w:p>
    <w:p>
      <w:r>
        <w:t>IBM claims that in the tender AV10/2011 nearly 60% of the total resources presented by the UTE in the offer for the tender AV 10/2011 coincided with those presented in the offer for the tender C03/07, concluding that the UTE's offer included all the resources from IBM that had been allocated to provide services under the contract C03/07.</w:t>
      </w:r>
    </w:p>
    <w:p>
      <w:r>
        <w:t>Regarding this issue, it should be noted that the percentage indicated by IBM allows for some maneuvering room for the companies to have considered alliances or alternative options to maintaining the previously awarded UTE or variations in the participation percentages of the UTE members, without any evidence being presented of the existence, even, of negotiations in that regard.</w:t>
      </w:r>
    </w:p>
    <w:p>
      <w:r>
        <w:t>Considering that it has been demonstrated that the participation percentages were maintained despite the fact that not all the staff that would have to provide the services coincided, the maintenance of the same did not respond to purely technical criteria, as IBM claims, and therefore, there were other motivations that led to the maintenance of the previous status quo as a result of the negotiations between the four member companies of the UTE.</w:t>
      </w:r>
    </w:p>
    <w:p>
      <w:r>
        <w:t>Likewise, IBM points out that there are no discrepancies between the participation percentages privately agreed upon among the companies and those agreed upon with the AEAT. However, it should be recalled that, in the case of the AEAT, its agreement with INDRA, CIBERNOS, and SAG to maintain the participation of the companies has been established, even when the contracted services were divided in 2015 (facts 55 to 73).</w:t>
      </w:r>
    </w:p>
    <w:p>
      <w:r>
        <w:t>On the other hand, IBM justifies the absence of discounts in certain tenders from the AEAT by stating that the cost/hour of the resources would be higher than the rate obtained by them. In this regard, it should be highlighted that the approach to the cost/hour proposed by IBM incorporates different elements apart from the unit labor cost. Therefore, the data provided by IBM does not correspond to the marginal cost of the resources, but to the average cost.</w:t>
      </w:r>
    </w:p>
    <w:p>
      <w:r>
        <w:t>Thus, the fact that the income obtained through the rate is lower than average costs, but not than marginal costs, does not allow for the conclusion that a lower price or rate implies the existence of incremental losses for the company, especially when the awarding of the tender contributes to the recovery of its fixed costs. Furthermore, it should be taken into account that, despite the equivalence between income and costs that would occur in the equilibrium leading to the submitted offer, IBM states that it obtains a profit margin, even if it is lower than the target margin for that type of projects set by the company.</w:t>
      </w:r>
    </w:p>
    <w:p>
      <w:r>
        <w:t>The existence of profits thus highlights the capacity or maneuvering room that IBM had in submitting offers and its economic capacity to present a certain discount, without accepting the allegation regarding the absence of such margin as justification for the absence of discounts in certain tenders.</w:t>
      </w:r>
    </w:p>
    <w:p>
      <w:r>
        <w:t>Regarding the subcontracting of IBM by INDRA for lot 2 of the tender PA 2/2015, it is evidenced how all the companies in the agreement, including IBM, maintained negotiations to configure the offers after the announcement of the tender. The four companies jointly decided the prices offered for each category of worker, despite IBM not participating in the tender as part of the UTE, but as a preferred subcontractor for INDRA. In fact, the very subcontracting agreement of IBM includes a clause of exclusivity limiting competition, and it should be noted that IBM participated in the joint management meetings of both lots after the award and, therefore, in the cross-management agreements of independent lots.</w:t>
      </w:r>
    </w:p>
    <w:p>
      <w:r>
        <w:t>The allegations of CIBERNOS regarding the division of the tender PA2/2015 into lots being carried out to give an image of competition that did not correspond to reality do not contradict the established facts in any way. Furthermore, the manner in which it is alleged that the division of both lots was carried out aligns with the idea that the intention of the companies was to maintain the status quo.</w:t>
      </w:r>
    </w:p>
    <w:p>
      <w:r>
        <w:t>5.3. Allegations regarding the contracts of the GISS</w:t>
        <w:br/>
        <w:t>5.3.1. Allegations affecting several contracts</w:t>
        <w:br/>
        <w:t>EVERIS believes that its subcontracting in these contracts was due to the optimal performance of its functions, its expertise, and the request of the GISS itself.</w:t>
      </w:r>
    </w:p>
    <w:p>
      <w:r>
        <w:t>For its part, ATOS insists that, regarding the files of the GISS 7202/06G and 7201/10G, the specifications discouraged discounts exceeding 10% and that the UTE set its discount at that figure, which would reflect that the discounts were competitive. On the other hand, in the files 7201/13G and 7201/14G, the discounts reached 30%, so, according to ATOS, no anti-competitive behavior can be appreciated.</w:t>
      </w:r>
    </w:p>
    <w:p>
      <w:r>
        <w:t>BABEL considers that lot 3 of the tender 7201/14G represented a continuation of the services of lot 6 of the tender 7201/10G and that the only thing the facts demonstrate is the willingness of INDRA and SAG to collaborate with other companies, including BABEL. The aforementioned company states that the requirements of the specifications prevented it from even presenting itself as the head of a UTE, as it did not have software factories, so it only had the option of being subcontracted to participate in the tender 7201/14G.</w:t>
      </w:r>
    </w:p>
    <w:p>
      <w:r>
        <w:t>On the other hand, regarding the tender 7201/13G, BABEL states that the requirements of the specifications prevented it from presenting itself individually, so again it only had the option of being subcontracted to participate in that tender, but no company, nor any UTE, wanted to subcontract BABEL. Therefore, BABEL denies that a preferential subcontracting agreement was reached with IBM in case IBM was awarded the contract, citing folios 6248 and 6249 of the file. BABEL points out that the UTE formed by INDRA and SAG was awarded and that "in view of a specific need [...] requested the subcontracting of an employee from BABEL two years after the award." The subcontracting of this technician does not respond, according to BABEL, to the counterpart of BABEL accepting to lose the tender 7201/14G.</w:t>
      </w:r>
    </w:p>
    <w:p>
      <w:r>
        <w:t>Response from the Competition Chamber</w:t>
        <w:br/>
        <w:t>In response to the allegations of EVERIS regarding the subcontracting of several of its resources by the awardees of the tenders 7202/06G and 7201/10G, due to the request of the GISS itself, while EVERIS denies the participation or knowledge of the existence of agreements among the other companies, it should be noted that the publication of the tender for the tender 7201/10G occurred on July 5, 2010 (fact 91). Previously, on June 28, 2010, BABEL requested INDRA to subcontract the five resources that until then INDRA had been subcontracting to EVERIS in the area of document management. However, INDRA preferred to continue subcontracting to EVERIS (facts 97 and 98).</w:t>
      </w:r>
    </w:p>
    <w:p>
      <w:r>
        <w:t>Among the factors that led INDRA to maintain that subcontracting, along with the request for resource repetition by the administration, is also the fact that INDRA shared its offers with EVERIS in lots 3 and 4 of the tender 7201/10G. Therefore, the reasons alleged by EVERIS should be rejected since there is a clear predisposition on the part of the companies to maintain their position in the new contract, regardless of the preferences of the contracting administration.</w:t>
      </w:r>
    </w:p>
    <w:p>
      <w:r>
        <w:rPr>
          <w:b/>
        </w:rPr>
        <w:t>[Pages 169–171]</w:t>
      </w:r>
    </w:p>
    <w:p>
      <w:r>
        <w:t>In relation to ATOS's allegations regarding the discounts of the GISS, it is important to clarify, first of all, that the Competition Directorate has not attributed collusive conduct concerning the discount percentages offered by the companies in the various tenders, but rather that different facts have been established in relation to each of the tenders that respond to a general market dynamic and lead to the conclusion of the existence of anticompetitive behaviors and practices evidenced in this file.</w:t>
      </w:r>
    </w:p>
    <w:p>
      <w:r>
        <w:t>In any case, it is worth noting that what leads this Chamber to the conviction of the existence of an infringement is not the specific percentage of the discount offered, but the concurrence of multiple factors, such as the evidence that higher discounts are considered and lower ones are offered (or not offered), having some certainty that competitors will not present themselves, or the evolution of these discounts in relation to the successive tenders for certain services, depending on the evidence regarding the competitive situation at each moment.</w:t>
      </w:r>
    </w:p>
    <w:p>
      <w:r>
        <w:t>In the specific case of the GISS, it has been established that, in file 7202/06G, the companies negotiated to offer greater discounts than those ultimately applied; in file 7201/10G, different discount percentages were proposed depending on whether competition was expected or not in each lot, and in file 7201/13G, the companies considered around a 35% discount, marking a range based on the market situation between 30% and 38%, and ultimately offered 30%.</w:t>
      </w:r>
    </w:p>
    <w:p>
      <w:r>
        <w:t>On the other hand, regarding BABEL's allegations, the established facts confirm, first of all, that BABEL had an agreement with INDRA and SAG for lot 7 of tender 7202/06G (fact 90) and that discrepancies arose between the partners regarding the interpretation of the clause related to adjustments. Furthermore, from the established facts, it can be inferred that the agreement was maintained in lot 6 of tender 7202/10G, in which the previous services were continued, for which there is evidence of contacts between BABEL and INDRA before the publication of the tender documents, expressing their willingness to maintain the percentage of services that BABEL had been providing, in addition to pressuring for resources that had been subcontracted to EVERIS (facts 97 and 98).</w:t>
      </w:r>
    </w:p>
    <w:p>
      <w:r>
        <w:t>As can be seen, it has been established that negotiations began before the publication of the tender documents, making it clear the intention to maintain the provision of services that had been provided, without exploring other alternatives.</w:t>
      </w:r>
    </w:p>
    <w:p>
      <w:r>
        <w:t>5.3.2. File 7202/06G</w:t>
        <w:br/>
        <w:t>CONNECTIS has maintained throughout the procedure that the facts described in relation to lot 12 evidence that the agreement of the UTE indicated that 10% of the contract would be subcontracted to SAG, and that this percentage of subcontracting would correspond to the percentage of resources with which each of the companies would participate in the execution of the project based on the total resources foreseen in the offer. Additionally, CONNECTIS specifies that the submission of the offer must contain the commitment of the UTE and the potential subcontractors who will participate must be identified, therefore, in its opinion, it is necessary to sign a contract between the participants to regulate the relationships among them regarding the lot in case it is awarded to them.</w:t>
      </w:r>
    </w:p>
    <w:p>
      <w:r>
        <w:t>On the other hand, the aforementioned entity points out that the exchange of data regarding the resources to be provided by each company would be necessary, since along with the offer, the resumes and a sworn statement regarding their veracity must be submitted, and for this reason, they required knowledge of the availability of resources for the submission of the offer. Furthermore, although CONNECTIS would have participated in relation to other lots, in the Excel file with the lists referred to in fact 77 of this resolution, there is no reference other than to the lots in which the four companies receiving the email participated jointly.</w:t>
      </w:r>
    </w:p>
    <w:p>
      <w:r>
        <w:t>Response from the Competition Chamber</w:t>
        <w:br/>
        <w:t>The allegations made by CONNECTIS regarding the subcontracting of 10% of the contract to SAG confirm SAG's participation in the contract distribution agreements, although in this case in its capacity as a subcontractor. Moreover, as has been established, this subcontracting was agreed upon jointly with the participation of SAG, INDRA, CONNECTIS, and ATOS in other tendered lots (lot 10). As already noted, the companies have sought different paths to maintain alliances, and one of them would have been to alternate the participation of several companies in UTE with subcontracting.</w:t>
      </w:r>
    </w:p>
    <w:p>
      <w:r>
        <w:t>On the other hand, regarding CONNECTIS's allegation that this company would have participated in other lots outside the lists referred to in fact 77, it should be noted that these paragraphs reflect that, before the announcement of the tender 7202/06G, ATOS, SAG, INDRA, and CONNECTIS contacted each other to distribute the profiles of lots 10, 11, and 12.</w:t>
      </w:r>
    </w:p>
    <w:p>
      <w:r>
        <w:t>Additionally, these facts reflect the distribution of profiles among the four companies, without references to the availability of profiles on their part, so CONNECTIS's allegations regarding the exchange of data about the resources to be provided by each company and their resumes to be attached to the submitted offer cannot be accepted. These are negotiations for the distribution of profiles prior to the announcement of the tender, and the negotiations do not consider the demonstration of the effective availability of the profiles by these companies.</w:t>
      </w:r>
    </w:p>
    <w:p>
      <w:r>
        <w:t>5.3.3. File 7201/10G</w:t>
        <w:br/>
        <w:t>Regarding the email dated June 9, 2010, sent by ATOS to the other companies participating in the UTE, which was awarded lots 6, 8, and 9 of this file, CONNECTIS claims to be unaware of why ATOS had information about these tenders prior to their announcement and states that it could have been the administration that provided it (fact 96).</w:t>
      </w:r>
    </w:p>
    <w:p>
      <w:r>
        <w:t>In relation to what is established in fact 102, CONNECTIS alleges that the administration was aware that SAG would be a subcontractor in lot 9, despite the fact that the UTE commitment did not reflect this participation.</w:t>
      </w:r>
    </w:p>
    <w:p>
      <w:r>
        <w:t>Response from the Chamber</w:t>
        <w:br/>
        <w:t>CONNECTIS's allegations regarding the lack of knowledge of the reasons why certain companies had information regarding this tender cannot be accepted. Fact 96 establishes that ATOS conveyed certain information to CONNECTIS, SAG, and INDRA more than a month prior to the announcement of the tender and proposed to meet with the intention of reaching agreements regarding several lots. Its non-participation in the illicit conduct would have required the company to inform the competent authority of the illegality it became aware of instead of engaging in illicit conduct to alter the tenders based on it.</w:t>
      </w:r>
    </w:p>
    <w:p>
      <w:r>
        <w:t>On the other hand, CONNECTIS alleges that the administration was aware that SAG would be a subcontractor in lot 9, despite the fact that the UTE commitment did not reflect this participation, without providing evidence to demonstrate this point. Furthermore, facts 102 and 103 demonstrate that the internal distribution does not coincide with what was officially communicated in the submission of offers, and this fact has not been denied by CONNECTIS in its allegations.</w:t>
      </w:r>
    </w:p>
    <w:p>
      <w:r>
        <w:t>5.3.4. File 7201/13G</w:t>
        <w:br/>
        <w:t>IBM states that the Competition Directorate misinterprets the email referred to in fact 118, as it reveals a supposed subcontracting agreement between IBM and BABEL.</w:t>
      </w:r>
    </w:p>
    <w:p>
      <w:r>
        <w:t>For its part, CONNECTIS states that it is unaware of the reasons that led the awardees to subcontract their services, which, in any case, would have allowed for a reduction in the price of the offer.</w:t>
      </w:r>
    </w:p>
    <w:p>
      <w:r>
        <w:t>CONNECTIS finds it contradictory that the existence of agreements and coordinated practices is justified with the aim of maintaining the status quo, and yet, the facts include assumptions in which the different companies involved intended to modify that status quo, assuming greater participation in the projects.</w:t>
      </w:r>
    </w:p>
    <w:p>
      <w:r>
        <w:t>Finally, regarding the Excel sheet referred to in paragraph 387 of the PCH, CONNECTIS states that it was unaware of its existence and also points out that</w:t>
      </w:r>
    </w:p>
    <w:p>
      <w:r>
        <w:rPr>
          <w:b/>
        </w:rPr>
        <w:t>[Pages 172–174]</w:t>
      </w:r>
    </w:p>
    <w:p>
      <w:r>
        <w:t>manifest that the participation percentages of each company in the tender do not reflect the maintenance of the status quo, since CIBERNOS was not in lot 8 of 2010 and, however, it is in the 2013 tender.</w:t>
      </w:r>
    </w:p>
    <w:p>
      <w:r>
        <w:t>Response from the Competition Chamber</w:t>
      </w:r>
    </w:p>
    <w:p>
      <w:r>
        <w:t>Regarding the allegation about BABEL subcontracting IBM, the cited facts in the file include an email stating that "they would subcontract profiles in case they were awarded," despite IBM having decided not to sign any agreement a priori. This commitment to subcontracting prior to the award of the contract can be classified as a preferential subcontracting agreement and demonstrates the existence of contacts and the adoption of agreements by the companies, regardless of whether they were subsequently executed.</w:t>
      </w:r>
    </w:p>
    <w:p>
      <w:r>
        <w:t>In relation to CONNECTIS's allegations claiming ignorance of the reasons that led the awarded companies to subcontract their services, facts 125 and following demonstrate the negotiation and signing of a preferential subcontracting agreement between INDRA and SAG and CONNECTIS, which was negotiated before the tender was called. Furthermore, the tender corresponded to services that had previously been provided in UTE INDRA/SAG/ATOS/CONNECTIS, so INDRA and SAG had an interest in reaching agreements with them to prevent them from submitting alternative offers, as reflected in the exclusivity clauses of the agreements signed with CONNECTIS, making the purpose of the subcontracting agreement for CONNECTIS's services clear.</w:t>
      </w:r>
    </w:p>
    <w:p>
      <w:r>
        <w:t>On the other hand, CONNECTIS has not demonstrated that the subcontracting of its services allowed for a reduction in the offer price of the UTE. Additionally, the companies' intention to achieve the highest possible participation percentage does not contradict the maintenance of a general status quo, as it is intended that the same companies that had been providing certain services continue to do so. However, there may be specific cases where such coincidence is not possible or where even the lack of participation in the final billing according to the commitments leads to compensations.</w:t>
      </w:r>
    </w:p>
    <w:p>
      <w:r>
        <w:t>Finally, the allegation regarding paragraph 387 of the PCH must be dismissed. This paragraph states the following:</w:t>
      </w:r>
    </w:p>
    <w:p>
      <w:r>
        <w:t>"After deliberations between INDRA and SAG, these companies decided to close the starting numbers of each in order to assess the comparability of the situations and possible compensations between them (folio 6202). On May 21, 2013, they shared this data via an Excel file that refers to the starting situation (folio 6206 and 7916). It refers to the data of five companies169 in four contracts: INSS (60vc28/10), ISM (lots 1 and 2) and AM-Torrejón, in order to calculate the percentages of each company in each case and in total."</w:t>
      </w:r>
    </w:p>
    <w:p>
      <w:r>
        <w:t>INDRA and SAG take the starting situation to assess the comparability of the situations and the possible compensations between them and, based on these elements, decide the billing percentages to offer, through subcontracting, to ATOS, CIBERNOS, and CONNECTIS. CIBERNOS's participation in a lot in 2013 in which it was not present in 2010 would respond to the fulfillment of these general commitments.</w:t>
      </w:r>
    </w:p>
    <w:p>
      <w:r>
        <w:t>5.3.5. File 7201/14G</w:t>
      </w:r>
    </w:p>
    <w:p>
      <w:r>
        <w:t>CONNECTIS denies that there was an agreement to maintain the status quo, as there were indications that INDRA and SAG were discussing possible partners with whom to present themselves in UTE.</w:t>
      </w:r>
    </w:p>
    <w:p>
      <w:r>
        <w:t>Furthermore, according to CONNECTIS, the fact that the companies that participated in the equivalent lots of 2010 did not do so in the 2014 tender demonstrates that the UTEs and subcontracting between companies did not seek to maintain the status quo as stated by the Competition Directorate.</w:t>
      </w:r>
    </w:p>
    <w:p>
      <w:r>
        <w:t>Response from the Competition Chamber</w:t>
      </w:r>
    </w:p>
    <w:p>
      <w:r>
        <w:t>Regarding CONNECTIS's allegations, facts 170 to 177 demonstrate that INDRA and SAG reached agreements with CONNECTIS due to its prior presence in the GISS. The debate about other possible partners or whether INDRA and SAG reached subcontracting agreements or formed UTEs with other companies for various lots does not discredit the facts presented regarding CONNECTIS.</w:t>
      </w:r>
    </w:p>
    <w:p>
      <w:r>
        <w:t>In this regard, it is worth noting that on several occasions, agreements to maintain the status quo cannot be implemented for certain tenders, for multiple reasons, without this undermining the existence of a general plan to maintain the status quo in various tenders for information technology services in Spain.</w:t>
      </w:r>
    </w:p>
    <w:p>
      <w:r>
        <w:t>5.4. Allegations regarding SEPE contracts</w:t>
      </w:r>
    </w:p>
    <w:p>
      <w:r>
        <w:t>5.4.1. Files C 10/08 and C 11/08</w:t>
      </w:r>
    </w:p>
    <w:p>
      <w:r>
        <w:t>NEXT considers that the need to promote new tenders is not a hidden or secret fact in the sector and that it is common for the administration providing the service to inform the companies already providing it of the basic outlines of the new tender proposal. In this sense, the aforementioned entity believes that decisions for new tenders are made when the specific technical requirements and the number of resources required for each lot are known, and this information is only known at the time of publication of the specifications.</w:t>
      </w:r>
    </w:p>
    <w:p>
      <w:r>
        <w:t>Regarding lot 3 of file C 10/08, NEXT has maintained that fact 192 overlooks that the discount was not the element that weighed the most, according to the established evaluation criteria of the specifications. Thus, NEXT argues that it cannot be inferred that it is contrary to competition for the awarded UTE to present a lower discount than that of other competing UTEs in that offer. Likewise, NEXT points out that the awarding of certain lots of tender C11/08 to other UTEs would prove the non-existence of market-sharing agreements or price-fixing.</w:t>
      </w:r>
    </w:p>
    <w:p>
      <w:r>
        <w:t>NEXT states that it has not participated in any regularization or preferential subcontracting agreements and that it has always respected the agreed percentages of each UTE communicated to the administration.</w:t>
      </w:r>
    </w:p>
    <w:p>
      <w:r>
        <w:t>Finally, NEXT highlights that the number of resources employed in public awards, as well as its billing in the public sector, has been decreasing since the year 2000, which, in its opinion, would reflect that the company has not participated in either market-sharing or price-fixing agreements.</w:t>
      </w:r>
    </w:p>
    <w:p>
      <w:r>
        <w:t>EVERIS states that its participation in UTE in lots 3 of file C 10/08 and 6 of file C 11/08 does not correspond in any case to a simultaneous sharing of the lots and points out that it is legitimate and in accordance with the principle of freedom of enterprise for the agreed participation percentages to be different from those actually carried out by the parties.</w:t>
      </w:r>
    </w:p>
    <w:p>
      <w:r>
        <w:t>Furthermore, EVERIS considers that the use of subcontracting, regularizations, or the existence of cross-agreements for different tenders or lots does not imply that the UTE lacks objective justification.</w:t>
      </w:r>
    </w:p>
    <w:p>
      <w:r>
        <w:t>Additionally, EVERIS claims that it only participated in the design of the offer for lot 3 of file C 10/08 but that, however, it neither participated in nor had knowledge of the offer for lot 6 of tender 11/08 in which it was subcontracted.</w:t>
      </w:r>
    </w:p>
    <w:p>
      <w:r>
        <w:t>Regarding lot 3 of file 10/08, EVERIS specifies that, unlike other UTEs analyzed in this file, EVERIS was not seeking to continue services that it had already been providing to the administration. EVERIS indicates that there were four offers that provided lower prices, which would be contrary to a market-sharing agreement, especially considering the evaluation that the contracting body gave to the more technical part of the offer.</w:t>
      </w:r>
    </w:p>
    <w:p>
      <w:r>
        <w:t>Regarding lot 6 of file C 11/08, EVERIS presents similar arguments, although it clarifies that the UTE in which it was to participate as a subcontractor ultimately was not awarded.</w:t>
      </w:r>
    </w:p>
    <w:p>
      <w:r>
        <w:t>CONNECTIS justifies the maintenance of the same UTE in tenders C 10/08 and C 11/08: "given the possibility of being awarded one of these two tenders and being able to renounce one of the two in case of being awarded both, it made sense to make an offer of similar profiles and technical characteristics," noting that this context is overlooked by the Competition Directorate.</w:t>
      </w:r>
    </w:p>
    <w:p>
      <w:r>
        <w:rPr>
          <w:b/>
        </w:rPr>
        <w:t>[Pages 175–177]</w:t>
      </w:r>
    </w:p>
    <w:p>
      <w:r>
        <w:t>On the other hand, CONNECTIS states that access to information about the tender prior to the call is not contrary to competition law, especially when it is the client (i.e., the administration) that disseminates the information.</w:t>
      </w:r>
    </w:p>
    <w:p>
      <w:r>
        <w:t>Furthermore, CONNECTIS indicates that in file C 11/08 it did not present with the same companies with which it had been providing its services, which, according to the claimant, implies that the market was changing and that the companies did not intend to maintain the status quo.</w:t>
      </w:r>
    </w:p>
    <w:p>
      <w:r>
        <w:t>Finally, ATOS denies having reached cross agreements between lots of different tenders in relation to tenders C10/08 and C11/08. According to the aforementioned entity, ATOS would have attempted from the beginning to negotiate each of these tenders separately, seeking to convince the other companies of this.</w:t>
      </w:r>
    </w:p>
    <w:p>
      <w:r>
        <w:t>Additionally, ATOS recalls that lot 6 of tender C11/08 was awarded to the competing UTE, which, in its opinion, reveals that "the UTE to which ATOS was associated did not materialize any common preconceived plan as well as the fierce competition that exists in the sector" (folio 23174).</w:t>
      </w:r>
    </w:p>
    <w:p>
      <w:r>
        <w:t>On the other hand, ATOS emphasizes that fact 182 indicates that it was NEXT, THALES, and CONNECTIS who had access to the information, not ATOS.</w:t>
      </w:r>
    </w:p>
    <w:p>
      <w:r>
        <w:t>ATOS asserts that when preparing a joint offer in UTE/subcontracting, it only negotiated about that lot with the companies it collaborated with. According to ATOS, if any company proposed to ATOS to link the submission of a UTE offer for one lot to ATOS renouncing to submit individually for another different lot, ATOS would directly reject it. In this regard, ATOS cites folio 5519, concerning the warnings from its legal counsel about the lack of compliance of the agreements that were intended to be reached with competition law to substantiate that ATOS refused to sign the agreement.</w:t>
      </w:r>
    </w:p>
    <w:p>
      <w:r>
        <w:t>For all the above, ATOS considers that the Directorate of Competition has not proven a link of complementarity between the actions of ATOS and the other investigated companies.</w:t>
      </w:r>
    </w:p>
    <w:p>
      <w:r>
        <w:t>Response from the Competition Chamber</w:t>
      </w:r>
    </w:p>
    <w:p>
      <w:r>
        <w:t>This Chamber cannot share NEXT's assertion that the provision of information about future tenders by the bidding administrations to the companies that have been providing certain services, prior to the call for tenders, does not offer its recipients a competitive advantage. This circumstance gives companies a position of advantage by allowing them to plan their strategy and initiate negotiations before other companies may become aware of the existence of the tender, especially considering that various companies have stated in their allegations that the time available to reach agreements after the publication of the tenders is limited and restricts their strategic options.</w:t>
      </w:r>
    </w:p>
    <w:p>
      <w:r>
        <w:t>On the other hand, the fact that, as NEXT claims, certain lots of tender C11/08 of the SEPE have been awarded to other UTEs does not demonstrate, as that company asserts, the non-existence of distribution agreements. The existence of these agreements in relation to tenders C10/08 and C11/08 of the SEPE and NEXT's participation has been duly accredited.</w:t>
      </w:r>
    </w:p>
    <w:p>
      <w:r>
        <w:t>NEXT denies having reached preferential subcontracting agreements; however, it is documented that in the case of lot 6 of tender C11/08, the UTE NEXT/SAG/ATOS/CONNECTIS reached a preferential subcontracting agreement with EVERIS, although it was not executed as it was not awarded. The allegations of NEXT that it has not participated in regularizations cannot be accepted either, as folios 11130 to 11132 of the file demonstrate that regularizations occurred in relation to the UTE of tender C10/08 of the SEPE in which NEXT participated, regularizations that were foreseen in the agreements between the participating companies, as reflected in fact 189.</w:t>
      </w:r>
    </w:p>
    <w:p>
      <w:r>
        <w:t>The simultaneity of the distribution of the lots of tenders C10/08 and C11/08 of the SEPE, denied by EVERIS, has been accredited in facts 188, 189, and 192, so this Chamber cannot accept the allegations made by EVERIS in this regard.</w:t>
      </w:r>
    </w:p>
    <w:p>
      <w:r>
        <w:t>EVERIS states that it did not participate nor was aware of the offer for lot 6 of tender 11/08, in which it was subcontracted. However, the accredited facts show the opposite.</w:t>
      </w:r>
    </w:p>
    <w:p>
      <w:r>
        <w:t>Likewise, EVERIS specifies that its participation in lot 3 of file C10/08 did not seek to continue services that it had already been providing for the administration. However, considering that the agreements related to lot 3 of file C10/08 and lot 6 of file C11/08 were negotiated jointly, and the existing evidence regarding the practices attributed to EVERIS in relation to these tenders, EVERIS's allegation does not change the description of the accredited facts in the file nor their assessment.</w:t>
      </w:r>
    </w:p>
    <w:p>
      <w:r>
        <w:t>CONNECTIS, for its part, argues that maintaining the same UTE in tenders C10/08 and C11/08 is justified "given the possibility of being awarded one of these two tenders and being able to renounce one of the two in case of being awarded both, it made sense to make an offer of profiles and similar technical characteristics." However, in one case, the subcontracting of EVERIS is foreseen, and in the other, it participates as a member of the UTE.</w:t>
      </w:r>
    </w:p>
    <w:p>
      <w:r>
        <w:t>Secondly, the companies have insisted in their allegations on the importance of proving the availability of sufficient resources for the submission of offers. Thirdly, renouncing the award of a tender (a strategy that has not been demonstrated in any way) would have negative consequences in terms of image for the companies that should have been taken into account in the negotiations. All this without prejudice to the existing evidence in the facts regarding the accreditation of anticompetitive conduct for the cited tenders.</w:t>
      </w:r>
    </w:p>
    <w:p>
      <w:r>
        <w:t>Additionally, this Chamber disagrees with CONNECTIS regarding the assertion that access to information about the tender prior to the call is not contrary to competition law. The principles of transparency and publicity and, fundamentally, those of non-discrimination and equal treatment among bidders must govern public tenders, in order to respect the equality of bidders, are violated with the provision of information by potential bidders before the call and generate asymmetries that can affect the development of anticompetitive practices, as has been demonstrated in the present file.</w:t>
      </w:r>
    </w:p>
    <w:p>
      <w:r>
        <w:t>On the other hand, the fact that CONNECTIS did not present itself to these tenders with the same UTE configuration as in previous tenders is explained, as reflected in fact 182, by CONNECTIS's (THALES) search for new "commitments with other companies currently present in the INEM that would allow for stronger UTEs."</w:t>
      </w:r>
    </w:p>
    <w:p>
      <w:r>
        <w:t>Finally, regarding ATOS's allegations, denying its participation in cross agreements and stating that it attempted to negotiate these tenders separately from the beginning, it should be noted that facts 187 and 188 show how ATOS negotiated the lots of both tenders jointly, in a cross manner, until its legal counsel warned them that such practices are contrary to competition law.</w:t>
      </w:r>
    </w:p>
    <w:p>
      <w:r>
        <w:t>Additionally, days later, ATOS requested the draft statutes and the private agreement, which was denied because these are usually not drafted until the contract is awarded.</w:t>
      </w:r>
    </w:p>
    <w:p>
      <w:r>
        <w:t>It is true that, after the awards, ATOS continued to ask the other members of the UTE for a new draft, with which it felt more comfortable, as it continued to maintain that the agreements reached and their formalization were not in accordance with current law. This led the other companies to propose that ATOS renounce being part of the UTE. ATOS responded to this proposal that: "legal problems should not be mixed when agreeing on the content of a legal document, with the business in which we are involved, a business in which all five companies are absolutely involved and in agreement" (fact 193).</w:t>
      </w:r>
    </w:p>
    <w:p>
      <w:r>
        <w:t>ATOS's reluctance would thus be purely formal, being, as it itself acknowledges, "absolutely involved and in agreement."</w:t>
      </w:r>
    </w:p>
    <w:p>
      <w:r>
        <w:t>In this way, ATOS signed the final agreement despite expressly warning that the theoretical percentages for the formation of the UTE do not match the actual percentages of billing and operation of the UTE (fact 195).</w:t>
      </w:r>
    </w:p>
    <w:p>
      <w:r>
        <w:t>The above demonstrates that ATOS participated in the cross agreements related to the lots of tenders C10/08 and C11/08, both in their negotiation and in the formation regarding the lot that was awarded to them. All this despite being aware that it was an anticompetitive agreement and contrary to the law.</w:t>
      </w:r>
    </w:p>
    <w:p>
      <w:r>
        <w:rPr>
          <w:b/>
        </w:rPr>
        <w:t>[Pages 178–180]</w:t>
      </w:r>
    </w:p>
    <w:p>
      <w:r>
        <w:t xml:space="preserve">5.4.2. File PA 11/12  </w:t>
        <w:br/>
        <w:t xml:space="preserve">NEXT indicates that the email from INDRA reflected in fact 202, which refers to the need to "maintain an alliance of the five key players," is an internal email from INDRA and that NEXT "has not participated in internal and hidden agreements for the distribution of contracts, without prejudice to seeking the award of new lots that were put out to tender and in which it already had a presence." This point, in NEXT's opinion, would be corroborated by the awards of the lots.  </w:t>
        <w:br/>
        <w:t xml:space="preserve">ACCENTURE states that the proposal to form a UTE between ACCENTURE, GESEIN, and INDRA in order to submit an offer regarding lots 7 and 8 of the 2012 tender involves maintaining contacts between the three companies prior to the submission of the offer, in order to prepare it. However, it notes that from the existence of such contacts, it cannot be concluded that any type of infringement occurred within the framework of the same.  </w:t>
        <w:br/>
        <w:t xml:space="preserve">In relation to lots 7 and 8 of file PA 11/12, ACCENTURE highlights the impossibility of submitting individual offers. Furthermore, ACCENTURE emphasizes the existence of alternative offers from other companies and points out that the discounts applied by the UTE in which ACCENTURE participated were higher than those offered by the other implicated companies, thus highlighting a situation that would contrast with what one would expect in a cartel situation. ACCENTURE adds that the collaboration with INDRA and GESEIN regarding lots 7 and 8 of the 2012 tender would have generated economic efficiencies, benefiting the SEPE in the form of lower prices within a competitive process.  </w:t>
        <w:br/>
        <w:t xml:space="preserve">Finally, CONNECTIS states that INDRA's claims regarding the composition of the UTE and the subcontracting models were ultimately not fulfilled and that CONNECTIS did not present itself in a UTE with INDRA in this tender.  </w:t>
        <w:br/>
        <w:t xml:space="preserve">Response from the Competition Chamber  </w:t>
        <w:br/>
        <w:t xml:space="preserve">It has been established that NEXT is among the companies that have relevance within the SEPE and with which large companies, such as INDRA, may have an interest in reaching agreements regarding this agency. In any case, this file does not assert that a global agreement was reached among the five.  </w:t>
        <w:br/>
        <w:t xml:space="preserve">In relation to ATOS, the facts establish that ATOS reached an agreement to form a UTE with SAG, NEXT, and CONNECTIS to present bids for lots 7 and 8, resulting in the award of lot 7. The facts also reflect that the agreement among these companies was prior to the publication of the tender.  </w:t>
        <w:br/>
        <w:t xml:space="preserve">ACCENTURE, for its part, denies that the contacts with GESEIN and INDRA to submit an offer for lots 7 and 8 of file PA 11/12 entail the existence of any infringement. In this regard, it should be noted that the accusation against ACCENTURE for this SEPE tender is based on the continuity of the alliance and participation percentages in the UTE among the three companies from tender C11/08 to tender PA 7/14 with the aim of maintaining their positions in the contracts.  </w:t>
        <w:br/>
        <w:t xml:space="preserve">Finally, regarding CONNECTIS's allegation, it should be noted that the anticompetitive conduct attributed to it in relation to this file derives from the agreement between CONNECTIS with NEXT, SAG, and ATOS, a rival UTE of INDRA, whose alliance had been ongoing, having previously been awarded some of the most relevant lots of the SEPE before this tender.  </w:t>
        <w:br/>
        <w:t xml:space="preserve">5.4.3. Files PA 7/14 and 8/14  </w:t>
        <w:br/>
        <w:t xml:space="preserve">In relation to file PA 7/14, INDRA states that prior knowledge of the specifications of this file cannot be considered as evidence of any anticompetitive conduct, given that the company, despite presenting itself in a UTE for the tender, was not awarded any of the lots. INDRA further specifies that it should be taken into account that it offered a discount of 33.9%, although it ultimately was not awarded.  </w:t>
        <w:br/>
        <w:t xml:space="preserve">On the other hand, GESEIN asserts that the Competition Directorate does not have evidence and errs in attributing responsibility for the subcontracting agreement of the SEPE file PA 7/14 to it.  </w:t>
        <w:br/>
        <w:t xml:space="preserve">Meanwhile, ACCENTURE denies the existence of any infringement in relation to lots 1 and 2 of the PA 7/14 tender since, despite having made an offer to participate in a UTE in that tender, the companies were not awarded, so this participation agreement would not have been able, in any case, to negatively affect competition.  </w:t>
        <w:br/>
        <w:t xml:space="preserve">Finally, CONNECTIS states that the experience of its personnel and their timely availability allowed it to present itself individually for lot 1 of file 7/14, subcontracting to EVERIS, but as a result of this individual presentation, "it cannot present for lot 2 of file 7/14," for which it had previously presented itself in a UTE with NEXT, ATOS, and SAG, nor for other lots of file 8/14, continuation of services it had previously provided (such as lot 1), and it was forced to present itself in a UTE for lot 2 of that file.  </w:t>
        <w:br/>
        <w:t xml:space="preserve">Although initially CONNECTIS considered presenting itself in a UTE for lot 1 of file 7/14, upon becoming aware of the specific requirements of the specifications, it decided to present itself individually.  </w:t>
        <w:br/>
        <w:t xml:space="preserve">Response from the Competition Chamber  </w:t>
        <w:br/>
        <w:t xml:space="preserve">The fact that INDRA had information about the specifications prior to the call for tenders provides a competitive advantage in relation to other potential bidders, as previously indicated. The lack of award of the lots does not exempt INDRA from having reached agreements aimed at maintaining the distribution percentages it had previously agreed upon with ACCENTURE and GESEIN and that such percentage was agreed upon before the publication of the specifications. The presentation of a high percentage of discount would be due to the fact that INDRA and SAG did not reach an agreement in 2014, despite INDRA's efforts, and in this case, both companies competed with their UTE for the different lots.  </w:t>
        <w:br/>
        <w:t xml:space="preserve">Regarding GESEIN's allegations, in the case of file PA 7/14 of the SEPE, the facts establish how GESEIN held meetings with INDRA and ACCENTURE in order to maintain the distribution percentages they had previously, and that, unlike previous tenders, GESEIN was not a member of the UTE, but rather the UTE formed by INDRA and ACCENTURE agreed to preferentially subcontract GESEIN for the percentage it had at that time in the agreement, to prevent it from participating in alternative offers, although the agreements reached could not be executed as they were not awarded the tendered lots.  </w:t>
        <w:br/>
        <w:t xml:space="preserve">ACCENTURE's allegations regarding the lack of effects of the agreements reached concerning these SEPE tenders cannot be accepted, since, as already indicated previously, the absence of effects does not exempt the companies from responsibility for negotiating and signing anticompetitive agreements, as market sharing is an infringement aimed at altering competition and therefore classified in itself under Articles 1 LDC and 101 TFEU.  </w:t>
        <w:br/>
        <w:t xml:space="preserve">5.5. Allegations regarding the SAP Environment for regional and local administrations  </w:t>
        <w:br/>
        <w:t xml:space="preserve">In relation to the SAP environment, INDRA denies the existence of any agreement or framework collaboration agreement. According to the aforementioned entity, the meetings that arose as a result of SAP's proposal to create an INDRA-SAG alliance, although they led to the drafting of agreement drafts, were never signed or implemented.  </w:t>
        <w:br/>
        <w:t xml:space="preserve">INDRA bases these allegations on the fact that it never submitted a joint offer with SAG in tenders of this type.  </w:t>
        <w:br/>
        <w:t>EVERIS also denies the existence of any agreement between it and SAG and states that there is no evidence in the file that demonstrates the existence of such an agreement, but rather it would only be established that both companies "negotiated a framework collaboration agreement" that "contemplates the development of a specific collaboration agreement," "that the draft was reviewed by Everis," that "they met and agreed to address projects," and that "they talked about holding a three-way meeting with SAP," but that this collaboration was never put into practice. Since there was no agreement, EVERIS considers that there were also no restrictive effects on competition.</w:t>
      </w:r>
    </w:p>
    <w:p>
      <w:r>
        <w:rPr>
          <w:b/>
        </w:rPr>
        <w:t>[Pages 181–183]</w:t>
      </w:r>
    </w:p>
    <w:p>
      <w:r>
        <w:t>SAG, for its part, agrees in its allegations with INDRA and EVERIS regarding the fact that the agreements never had practical application, and therefore would not have had anticompetitive effects, although it implicitly admits their existence as it clarifies that the framework agreements "had the sole objective of seeking complementarity between the technical capabilities of the different companies."</w:t>
      </w:r>
    </w:p>
    <w:p>
      <w:r>
        <w:t>Response from the Chamber</w:t>
        <w:br/>
        <w:t>The allegations presented do not contradict what has been stated throughout the file regarding the existence of negotiations between the companies with a manifestly anticompetitive intent. The companies negotiated all substantive aspects of the agreement, which are reflected with a high degree of specificity in the drafts exchanged and corrected by the parties. The state of the negotiations was very advanced, and SAG itself does not deny the existence of such agreements.</w:t>
      </w:r>
    </w:p>
    <w:p>
      <w:r>
        <w:t>For all these reasons, this Chamber considers that contact between the companies aimed at limiting effective competition in relation to the SAP environment for regional and local administrations has been established. As already noted in this resolution, this also takes the form of an agreement prohibited by Articles 1 of the LDC and 101 of the TFEU.</w:t>
      </w:r>
    </w:p>
    <w:p>
      <w:r>
        <w:t>5.6. Allegations regarding contracts from the National Institute of Social Security (INSS)</w:t>
        <w:br/>
        <w:t>Regarding the ATRIUM environment, INDRA states that the UTE INDRA/SAG was justified as it believes there is a notable technological linkage and complementarity between the companies that formed the award-winning UTE (SAG/INDRA) in the two tenders referenced, a linkage and complementarity that can be observed in the emails contained in folio 5650 of the file.</w:t>
      </w:r>
    </w:p>
    <w:p>
      <w:r>
        <w:t>In relation to the tenders of the ADABAS/NATURAL environment, INDRA states that, in this case, the formation of a joint UTE with SAG was more justified than in the ATRIUM environment, to the extent that the holder of the technology and its programming language was SAG, which would justify the formation of the UTE.</w:t>
      </w:r>
    </w:p>
    <w:p>
      <w:r>
        <w:t>CIBERNOS, for its part, claims that it did not participate in the design of the specifications for tenders 392/CP-40/50 and 60/VC-28/10 of the INSS, contrary to what was established by the Competition Directorate. CIBERNOS asserts that the tender was designed by the INSS through its specifications.</w:t>
      </w:r>
    </w:p>
    <w:p>
      <w:r>
        <w:t>Response from the Competition Chamber</w:t>
        <w:br/>
        <w:t>INDRA invokes the technological complementarity of INDRA and SAG to justify the need for the formation of the UTE INDRA/SAG in relation to the ATRIUM environment of the INSS.</w:t>
      </w:r>
    </w:p>
    <w:p>
      <w:r>
        <w:t>Regarding this allegation, it is worth noting that in the emails cited by INDRA, it is indicated that "the technical knowledge of the current platform belongs to SAG" and that "the functional knowledge of Temporary Disability is ours." It also indicates that "The specification is 'marked' technologically thanks to our participation in the development of the profiles" (fact 272). Therefore, the technological specialties of each company on which INDRA bases its technological complementarity and the need to present itself in a UTE would be used, as previously indicated, to technologically mark the specifications and ensure the joint award of the tendered services.</w:t>
      </w:r>
    </w:p>
    <w:p>
      <w:r>
        <w:t>Furthermore, it is important to emphasize that in that email, INDRA and SAG refer to the fact that they have yet to finalize the percentages of participation of the companies in the UTE, percentages that would be more or less clear if they were purely due to technical needs and capabilities of each company, and that SAG proposes to maintain the pre-existing participation, demonstrating, in the opinion of this Chamber, that in these tenders there is an intention to maintain the status quo.</w:t>
      </w:r>
    </w:p>
    <w:p>
      <w:r>
        <w:t>Additionally, it should be emphasized that the facts demonstrate how, in relation to the ATRIUM tenders, INDRA sought to maintain that percentage with SAG, but ultimately both presented separately due to the lack of an agreement for tender 60/VC-73/12, thus substantially increasing the discounts compared to previous tenders to which the aforementioned tender continued.</w:t>
      </w:r>
    </w:p>
    <w:p>
      <w:r>
        <w:t>Regarding INDRA's allegations concerning the ADABAS/NATURAL environment, the fact that SAG was the holder of the technology was what justified the formation of the UTE, but, as described in the facts, the continuity in the composition of the UTE (which also includes CIBERNOS and ATOS) was not due to purely technical motivations, but to a request from the INSS.</w:t>
      </w:r>
    </w:p>
    <w:p>
      <w:r>
        <w:t>The mention in the cited paragraphs of the possibility that other competing offers could be submitted (even though they ultimately did not) would also demonstrate that SAG's presence in the UTE is not essential for the ADABAS/NATURAL language tenders, since otherwise, SAG's ownership of this technology would be a barrier to entry for all services requiring it, which would be insurmountable for any alternative offer in which SAG did not participate.</w:t>
      </w:r>
    </w:p>
    <w:p>
      <w:r>
        <w:t>5.7. Allegations regarding cover offers and other favors between companies</w:t>
        <w:br/>
        <w:t>5.7.1. Cover offers</w:t>
        <w:br/>
        <w:t>INDRA states that it is only mentioned in one of the 14 cases presented and, furthermore, that its behavior had the approval of the contracting body. Likewise, the aforementioned entity considers that the facts do not clarify whether the contract was ultimately awarded or if the studied offer was the one that was actually submitted.</w:t>
      </w:r>
    </w:p>
    <w:p>
      <w:r>
        <w:t>SAG and CIBERNOS also attribute the responsibility for these behaviors to the contracting public administrations, which carried them out with the aim of awarding contracts to those companies that already had knowledge of the services being demanded and that had been previously selected by them. According to these companies, these behaviors would not be restrictive practices of competition, as they were promoted by the administration itself. ATOS expresses a similar view, to the extent that the request for collaboration was made by the client itself.</w:t>
      </w:r>
    </w:p>
    <w:p>
      <w:r>
        <w:t>Finally, regarding the tenders from the Ministry of Education, Culture and Sports 15/045EF and from the Ministry of Environment and Rural and Marine Affairs, BABEL alleges that the Competition Directorate is based on mere suspicions and that there is insufficient evidence or causal link between the emails and the behaviors attributed to it. Furthermore, the aforementioned entity denies having submitted the cover offer agreed with SAG and indicates that in relation to the tender from the MMAMRM, the entity submitted an individual offer that was awarded. Regarding the tender from the MECD, BABEL indicates that it received an invitation from the Ministry and chose to submit an offer at the maximum bidding price to make it profitable.</w:t>
      </w:r>
    </w:p>
    <w:p>
      <w:r>
        <w:t>Response from the Competition Chamber</w:t>
        <w:br/>
        <w:t>Regarding the allegations presented concerning the request and submission of cover offers by the investigated companies that would distort and limit competition, it should be noted, first of all, that the allegations made by INDRA, SAG, CIBERNOS, and ATOS cannot be accepted.</w:t>
      </w:r>
    </w:p>
    <w:p>
      <w:r>
        <w:t>The invitation to participate in negotiated contracting procedures without publicity cannot be understood by the companies as an invitation to submit false offers but, precisely, as an opportunity to compete for those contracts. Any other indication that may have been made would be contrary to current legislation, a matter that all companies must be aware of and therefore does not legitimize them to act against the law.</w:t>
      </w:r>
    </w:p>
    <w:p>
      <w:r>
        <w:t>As we have previously noted, the Supreme Court has clarified that "the principle of legality prevails over behavior that is manifestly contrary to legality itself, even when the conduct of the Administration may have been ambiguous."</w:t>
      </w:r>
    </w:p>
    <w:p>
      <w:r>
        <w:t>Moreover, the fact that the Competition Directorate does not clarify in some cases whether the contract was awarded does not change the established facts regarding the request and submission of cover offers, in such a way that an appearance of competition in the negotiation of contracts in which such competition did not actually exist was created.</w:t>
      </w:r>
    </w:p>
    <w:p>
      <w:r>
        <w:t>Regarding ATOS's allegations concerning the possible submission of a cover offer in the MECD in October 2014, the information provided by the MECD shows how the offer submitted by ATOS was higher than the bid amount, which directly implies the impossibility of awarding the contract.</w:t>
      </w:r>
    </w:p>
    <w:p>
      <w:r>
        <w:rPr>
          <w:b/>
        </w:rPr>
        <w:t>[Pages 184–186]</w:t>
      </w:r>
    </w:p>
    <w:p>
      <w:r>
        <w:t>contract. Considering the evidence presented in the established facts regarding CIBERNOS in relation to the same tender, it is logical to think that the same occurred with ATOS.</w:t>
      </w:r>
    </w:p>
    <w:p>
      <w:r>
        <w:t>Nor can the allegations of BABEL denying the participation attributed to it by the Directorate of Competition regarding the tenders of the MECD and the MMAMRM be accepted. BABEL claims to have participated in the MECD tender with an offer at the maximum bidding price (which was €17,950), when there is evidence (folio 4440) that it submitted an offer exceeding the maximum bidding price (€17,980), which disqualified it directly. This fact, along with the coincidence of the amount offered by BABEL with that offered by CIBERNOS, a company with which there is evidence of a request for a coverage offer by SAG in that tender, leads this Chamber to consider that there was a similar agreement with BABEL and to maintain that there are such indications that substantiate the anticompetitive conduct regarding these tenders.</w:t>
      </w:r>
    </w:p>
    <w:p>
      <w:r>
        <w:t>On the other hand, BABEL's allegations regarding the MMAMRM contract do not contradict what was stated by the Directorate of Competition, as it indicates that BABEL did not respect the agreement reached, which led to a conflict with SAG.</w:t>
      </w:r>
    </w:p>
    <w:p>
      <w:r>
        <w:t>5.7.2. Other favors between companies</w:t>
      </w:r>
    </w:p>
    <w:p>
      <w:r>
        <w:t>SAG points out, first of all, that the use of Heritage keys responds to the public interest, as it is a necessity of the public administration that the best-positioned company is the one that ultimately provides the service.</w:t>
      </w:r>
    </w:p>
    <w:p>
      <w:r>
        <w:t>SAG adds that the Directorate of Competition refers to a draft agreement of which there is no evidence that it was implemented, so no anticompetitive effect can be derived, and that, moreover, it provided for a duration of one year, so in the event that such effects existed, which SAG denies, they would be limited to one year.</w:t>
      </w:r>
    </w:p>
    <w:p>
      <w:r>
        <w:t>SAG also considers that subcontracting is, in any case, pro-competitive, as it allows companies to circumvent entry barriers such as belonging to the Heritage list and for the best-positioned company to provide the service.</w:t>
      </w:r>
    </w:p>
    <w:p>
      <w:r>
        <w:t>On the other hand, SAG indicates that its subcontracting by ATOS, within the framework of the AM 26/2011 tender, is lawful and was provided for in the tender specifications, which established that "The contractor may arrange with third parties for the partial execution of the service under the terms established in Article 210 of Law 30/2007," as well as a limit of a maximum of 60% of the awarded amount. A limit that, according to SAG, the Directorate of Competition has not demonstrated that SAG has exceeded.</w:t>
      </w:r>
    </w:p>
    <w:p>
      <w:r>
        <w:t>ATOS indicates, first of all, that the description made by the Directorate of Competition is incorrect. Specifically, ATOS believes that the DC would have made an erroneous interpretation of these agreements, which correspond to the negotiation of possible subcontracting and not to the transfer of Heritage keys. Furthermore, according to ATOS, such subcontracting had to have the prior authorization of the contracting administration and what was intended was not to do favors, but to "formalize a general collaboration agreement to go together (ATOS as the main contractor and SAG as the subcontractor)," which allowed the administration to benefit from the submission of an offer that it would not have received, as both companies could not have submitted separately.</w:t>
      </w:r>
    </w:p>
    <w:p>
      <w:r>
        <w:t>ATOS denies that the project limits competition and asserts that, on the contrary, it promotes it, as it involves maintaining a stable collaboration mechanism by pooling complementary resources, referring to the synergies between both companies, and because such stability allows them to face the tight deadlines available for submitting offers, which complicates the possibility of agreeing on joint offers.</w:t>
      </w:r>
    </w:p>
    <w:p>
      <w:r>
        <w:t>Response of the Chamber</w:t>
      </w:r>
    </w:p>
    <w:p>
      <w:r>
        <w:t>On one hand, SAG denies that it has been proven that the agreement was successfully executed, but at the same time acknowledges that due to certain circumstances it did not have the Heritage keys between August 2010 and July 2016, which led SAG to establish the mechanism to provide that service. SAG thus acknowledges that it established a mechanism with ATOS that allowed SAG to circumvent what it itself refers to in its allegations as the entry barriers posed by belonging to the Heritage list.</w:t>
      </w:r>
    </w:p>
    <w:p>
      <w:r>
        <w:t>According to SAG, this generated efficiencies, allowing the best-positioned company to provide the service, which benefited the public administration and, moreover, responded to the interest of the contracting administrations in having SAG continue to provide the service.</w:t>
      </w:r>
    </w:p>
    <w:p>
      <w:r>
        <w:t>However, it should be clarified that, in the opinion of this Chamber, the interest of the administrations in having SAG provide such services could also be satisfied without the signing of this global agreement of an anticompetitive nature, as the participating and awarded companies could have subcontracted SAG in each specific case.</w:t>
      </w:r>
    </w:p>
    <w:p>
      <w:r>
        <w:t>Regarding subcontracting, it should be noted that its legitimacy was questioned by SAG in its emails from January 2013 indicating that "subcontracting is expressly excluded from contracts by Heritage" (folio 6147), which led them to sign this agreement in which ATOS appears as the contractor for all purposes.</w:t>
      </w:r>
    </w:p>
    <w:p>
      <w:r>
        <w:t>In fact, it has been proven that this is a global agreement that provides for a commitment of subcontracting from ATOS to SAG in future files, with an exclusivity clause, which allows SAG to limit competition for such subcontracting by other companies and is secretive in nature, which questions its legitimacy.</w:t>
      </w:r>
    </w:p>
    <w:p>
      <w:r>
        <w:t>ATOS itself states in its allegations that what was intended was to "formalize a general collaboration agreement to go together (ATOS as the main contractor and SAG as the subcontractor)." Therefore, it is not a typical subcontracting but, according to ATOS's allegations, a "stable collaboration mechanism" between the companies that, in the opinion of this Chamber, is contrary to competition regulations.</w:t>
      </w:r>
    </w:p>
    <w:p>
      <w:r>
        <w:t>The agreement limits competition both regarding companies that did have Heritage keys and are harmed by not being able to subcontract SAG in case it was the best-positioned company to provide the service, as well as to other companies that could complement ATOS's services in case it was awarded and saw their subcontracting possibilities limited regardless of the specific conditions of each case due to the existence of this prior global agreement.</w:t>
      </w:r>
    </w:p>
    <w:p>
      <w:r>
        <w:t>The net beneficiaries of the agreement are SAG, which ensured access to the provision of certain services for which it was necessary to have the Heritage keys, without having them, and ATOS, which secured between 3% and 7% of the net amount of the work performed by SAG (folio 6159).</w:t>
      </w:r>
    </w:p>
    <w:p>
      <w:r>
        <w:t>Such clauses correspond to a transfer or purchase of the Heritage keys, and this is what the companies refer to when they state that it is an agreement for the "purchase of these keys" (folio 6148). Therefore, ATOS's allegation against this designation must be rejected.</w:t>
      </w:r>
    </w:p>
    <w:p>
      <w:r>
        <w:t>This type of agreement is also contradictory from the perspective of economic logic, as SAG itself points out, the company that has the keys has all the incentives to "present itself to the tender," since this increases its profits from an economic perspective. Therefore, a general commitment of subcontracting from ATOS to SAG as agreed globally would not be based on this type of logic but on the general logic of market sharing.</w:t>
      </w:r>
    </w:p>
    <w:p>
      <w:r>
        <w:t>Moreover, although the agreement had a planned duration of one year, it also provided for its extension by agreement of both parties, so the allegation of SAG regarding the limitation of the effects of the conduct to one year cannot be accepted either.</w:t>
      </w:r>
    </w:p>
    <w:p>
      <w:r>
        <w:t>5.8. Allegations regarding negotiations between companies prior to the formation of collaboration instruments</w:t>
      </w:r>
    </w:p>
    <w:p>
      <w:r>
        <w:t>Some companies have alleged that the contacts prior to the configuration of collaboration instruments are lawful and customary in this type of collaboration, such as the formation of UTE. On one hand, they point out that there is some predictability regarding the renewal of contracts, so the fact that there are negotiations prior to the publication of the tender is not strange or unlawful. On the other hand, the companies state that the configuration of UTE in a contracting procedure requires the existence of prior contacts between the companies in which the exchange of necessary information for the achievement of agreements occurs.</w:t>
      </w:r>
    </w:p>
    <w:p>
      <w:r>
        <w:rPr>
          <w:b/>
        </w:rPr>
        <w:t>[Pages 187–189]</w:t>
      </w:r>
    </w:p>
    <w:p>
      <w:r>
        <w:t xml:space="preserve">Response from the Competition Chamber  </w:t>
        <w:br/>
        <w:t xml:space="preserve">This Chamber considers and understands that prior contacts and negotiations between companies are necessary in order to negotiate the aspects of a future collaboration for the execution of a contract, but in this case, these contacts and the information exchanged between the companies prior to forming an offer have gone far beyond what is required for merely establishing collaboration mechanisms aimed at presenting the most competitive offer possible.  </w:t>
        <w:br/>
        <w:t xml:space="preserve">There are numerous contracting processes both in the public and private sectors in which various mechanisms are simultaneously used that allow for the configuration of competitive offers and that also enable the participation of companies that individually would not be able to provide services to these large clients.  </w:t>
        <w:br/>
        <w:t xml:space="preserve">However, in the present case, these circumstances are not observed.  </w:t>
        <w:br/>
        <w:t xml:space="preserve">It is true that there is a certain predictability regarding the actions of the administration, especially considering that information technology services cannot cease to be provided, so, as analyzed in several of the tenders that constitute the accredited facts, if a tender cannot be convened in time before the expiration of the previous tender, the solution consists of extending the services that have been provided up to that point.  </w:t>
        <w:br/>
        <w:t xml:space="preserve">However, the contacts maintained between the companies in the file are not typical of a lawful collaboration, but rather go much further.  </w:t>
        <w:br/>
        <w:t xml:space="preserve">As the Competition Directorate has rightly pointed out, there are two reasons why companies initiate contacts, which in many cases are prior to the publication of the administration's intention to contract and the conclusion of the pre-existing contract.  </w:t>
        <w:br/>
        <w:t xml:space="preserve">The first of these is the very design of the technical specifications. On numerous occasions, the administration has turned to companies (especially INDRA and SAG) to assist in the design of the specifications, and the companies that had already been providing information technology services did not miss the opportunity to design ad hoc contracting procedures that benefited them and prevented or restricted the participation of third-party operators.  </w:t>
        <w:br/>
        <w:t xml:space="preserve">One of the most critical elements in the design of these specifications was the availability of personnel, since, as stated in the file and as some parties have highlighted in their written allegations, the administration published specifications linked not only to personnel but to the CVs of the workers, which, according to the evidence in the file, was achieved by knowing exactly which companies were going to participate and be awarded the contract.  </w:t>
        <w:br/>
        <w:t xml:space="preserve">For this reason, companies needed to begin negotiations well before the contract ended, since if they truly wanted to influence the design of the tender, the scope of collaboration needed to be finalized long before the contracting authority decided to initiate the procedures for preparing a new offer.  </w:t>
        <w:br/>
        <w:t xml:space="preserve">The type of information exchanged had to be specific enough to close the negotiation process before the specifications were drafted, which obviously goes beyond what is strictly necessary to establish the eventual business collaboration for providing a service to a client for whom sufficient own resources are not available.  </w:t>
        <w:br/>
        <w:t xml:space="preserve">The second reason why, in light of the accredited facts, it was necessary to establish contacts prior to a tender was to block the submission of alternative offers through mechanisms such as preferential subcontracting.  </w:t>
        <w:br/>
        <w:t xml:space="preserve">Numerous cases have been accredited in which, in order to block the possibility of small operators creating an alternative alliance to the incumbent, negotiations were conducted with them regarding contractual conditions, such as preferential subcontracting, that prevented them from providing their personnel or knowledge to other entities not involved in the prior provision of services or even from presenting an alternative offer outside the pre-existing status quo.  </w:t>
        <w:br/>
        <w:t xml:space="preserve">This can only be achieved if it is taken into account that there are operators like INDRA and SAG that, having the economic and technical capacity to provide information technology services to various public administrations simultaneously, can influence the decision-making of smaller companies that wish to expand their professional services across the entire administration and that, given their size, require these large companies to achieve this objective.  </w:t>
        <w:br/>
        <w:t xml:space="preserve">In addition to blocking the submission of alternative offers for small operators, prior contacts also serve to guarantee the status quo among the large operators, INDRA and SAG.  </w:t>
        <w:br/>
        <w:t xml:space="preserve">Both entities have the capacity to submit alternative offers and, however, in most cases, they have chosen not to compete and to take advantage of their preponderance to obtain contractual benefits for activities that are not always directly provided by both leading companies.  </w:t>
        <w:br/>
        <w:t xml:space="preserve">Thus, smaller operators also ensure their participation in the services and, therefore, their position in the pre-existing status quo, since, at the moment alternative offers could be generated, both leading companies may have the capacity to attract their workers or even exclude them from providing services for a specific contract.  </w:t>
        <w:br/>
        <w:t xml:space="preserve">On the other hand, there is a notable exchange of sensitive information that under normal circumstances would not have occurred between the companies.  </w:t>
        <w:br/>
        <w:t xml:space="preserve">As explained, technical personnel are essential in this market, as they are the main competitive variable among companies. Therefore, it is very atypical to share not only professional profiles but the actual personal CVs of the professionals who were at that time available to the participating companies in the agreement. In particular, this information is essential for the strategy and competitive capacity of the companies, so sharing it with the degree of anticipation and thoroughness evidenced can only be justified in a context of anti-competitive agreements that seek to preserve the status quo.  </w:t>
        <w:br/>
        <w:t xml:space="preserve">In this way, with this information, the accused companies could design ad hoc specifications and, additionally, could block the submission of offers by knowing what the maximum capacity of technical elements the participants in the agreement had to configure an alternative offer to the pre-existing one.  </w:t>
        <w:br/>
        <w:t xml:space="preserve">5.9. Allegations regarding the inspections carried out by the Competition Directorate  </w:t>
        <w:br/>
        <w:t xml:space="preserve">ACCENTURE considers that the inspections at the headquarters of INDRA and SAG are null and void since they are based on an investigation order whose object is excessively broad and generic from a material, geographical, and temporal perspective.  </w:t>
        <w:br/>
        <w:t xml:space="preserve">This same issue has already been previously resolved by this Chamber in the resolution dated January 12, 2016 (R/AJ/114/15), which dismisses the appeal filed by SAG against the inspection carried out at its headquarters by the Competition Directorate.  </w:t>
        <w:br/>
        <w:t xml:space="preserve">In the aforementioned resolution, this Chamber considered, relying on European and national jurisprudence170, that the investigation order of October 16, 2015, met the requirements of Article 13.3 of the RDC regarding the authorization of the Director of Competition indicating "the object and purpose of the inspection, the subjects investigated, the data, documents, operations, information, and other elements that are to be the subject of the inspection."  </w:t>
        <w:br/>
        <w:t xml:space="preserve">Taking the above into account, and that the circumstances have not changed nor have new elements of judgment been provided that could lead this Chamber to reconsider the considerations made then, and that moreover the object of that appeal and the present allegations are coincident, we must dismiss ACCENTURE's allegations regarding this issue, referring, to avoid unnecessary repetitions, to the resolution dated January 12, 2016, cited.  </w:t>
        <w:br/>
        <w:t>170 CJEU ruling of June 25, 2014 (case C-37/13 P) and ruling of the Supreme Court of December 10, 2014 (case UNESA).</w:t>
      </w:r>
    </w:p>
    <w:p>
      <w:r>
        <w:rPr>
          <w:b/>
        </w:rPr>
        <w:t>[Pages 190–192]</w:t>
      </w:r>
    </w:p>
    <w:p>
      <w:r>
        <w:t xml:space="preserve">5.10. On the application of the de minimis rule  </w:t>
        <w:br/>
        <w:t xml:space="preserve">Some of the companies involved consider the de minimis rule provided in Article 5 of the LDC applicable, which states that "the prohibitions set out in Articles 1 to 3 of this Law shall not apply to those behaviors that, due to their minor importance, are not capable of significantly affecting competition. The criteria for delineating behaviors of lesser importance shall be determined by regulation, taking into account, among others, the market share."  </w:t>
        <w:br/>
        <w:t xml:space="preserve">In response to this, it should be noted that the rules on the application of the de minimis rule have provided a series of behaviors whose execution, regardless of the companies' market share and the effects that the behaviors may have produced in the market, presuppose the existence of a restriction of competition by object.  </w:t>
        <w:br/>
        <w:t xml:space="preserve">In this sense, Article 2 of the RDC, which has similar wording to paragraph 11 of the European Commission Communication regarding agreements of lesser importance that do not significantly restrict competition in the sense of Article 101, paragraph 1, of the TFEU171, states the following:  </w:t>
        <w:br/>
        <w:t xml:space="preserve">"1. Regardless of what is established in the previous article, behaviors among competitors that have as their object, directly or indirectly, either alone or in combination with other factors controlled by the participating companies:  </w:t>
        <w:br/>
        <w:t xml:space="preserve">a) The fixing of selling prices of products to third parties;  </w:t>
        <w:br/>
        <w:t xml:space="preserve">b) The limitation of production or sales;  </w:t>
        <w:br/>
        <w:t xml:space="preserve">c) The allocation of markets or customers, including fraudulent bidding, or the restriction of imports or exports, shall not be considered of lesser importance."  </w:t>
        <w:br/>
        <w:t xml:space="preserve">Subparagraph c) of the aforementioned article expressly excludes from the application of the de minimis rule the behavior consisting of the allocation of markets or customers, which is precisely the main behavior subject to this file, so it is not possible to apply the aforementioned rule to the behaviors analyzed in this file.  </w:t>
        <w:br/>
        <w:t xml:space="preserve">5.11. On the implementation of compliance programs  </w:t>
        <w:br/>
        <w:t xml:space="preserve">EVERIS has claimed that it has implemented a global compliance program that primarily aims for the Company to comply with all applicable regulations (international, European, and national) in the development of its activity, as well as, among many other aspects, the adoption of specific measures to prevent compliance risks (regulatory infringements and/or crimes within its organization), having carried out compliance actions since 2008.  </w:t>
        <w:br/>
        <w:t xml:space="preserve">As this Chamber has previously pointed out172, in general, all actions by companies aimed at internally promoting knowledge of competition rules and preventing and avoiding their possible non-compliance are positive; in fact, the CNMC promotes such initiatives and programs in companies. However, as the CJEU has made clear in its judgment of July 18, 2013 (case C-501/11 Schindler Holding and others/Commission), the mere fact of introducing these internal programs for compliance with competition rules cannot be taken as a mitigating circumstance without further ado. Likewise, this Chamber has had the opportunity to point out that when the established facts do not allow for the conclusion of the prior existence of a successful compliance program that effectively articulated and applied internal controls and anticipated anti-competitive behavior, it cannot be deduced that the company in question has a genuine commitment to compliance with competition regulations, for the purpose of valuing it as a mitigating factor.  </w:t>
        <w:br/>
        <w:t xml:space="preserve">Regarding not the existence of a compliance program prior to the infringement, but the reinforcement of additional compliance policies once the behavior has occurred and the sanctioning file has been initiated, this Chamber adopts the European Commission's consideration that the main reward derived from the introduction of such programs, if they prove effective, will be the non-existence of behaviors contrary to competition or, at worst, their immediate detection. Likewise, this Competition Chamber has pointed out that, although the adoption of compliance measures once the instruction of a sanctioning file has begun formally reflects the company's compliance-oriented will, the real effect of such measures regarding compliance with competition regulations can only be assessed in the monitoring phase of the sanctioning resolution, which would not prevent, depending on the circumstances of the specific case, it could be considered as a moderating element of the sanction (in a similar sense, RCNMC of September 17, 2015, Expte SNC/0036/15 MEDIASET).  </w:t>
        <w:br/>
        <w:t xml:space="preserve">In the present file, given the established facts, this Chamber considers that the existence of a compliance program within EVERIS does not meet the requirements that would allow it to be valued as a mitigating circumstance, in accordance with the provision of Article 64.3 of the LDC.  </w:t>
        <w:br/>
        <w:t xml:space="preserve">172 Among others, Resolution of September 6, 2016 (Expte. S/DC/0544/14 MUDANZAS INTERNACIONALES) and Resolution of June 8, 2017 (Expte. S/DC/0557/15 NOKIA).  </w:t>
        <w:br/>
        <w:t xml:space="preserve">5.12. On the late initiation of the ACCENTURE companies  </w:t>
        <w:br/>
        <w:t xml:space="preserve">The ACCENTURE companies allege that their late initiation, that is, a year and a half after the initiation against most of the other companies, violates their rights of defense.  </w:t>
        <w:br/>
        <w:t xml:space="preserve">In response to the aforementioned allegation, this Chamber considers that the late initiation against several companies, including ACCENTURE, has not caused them defenselessness or irreparable harm, as they have been able to access the file, make allegations to the PCH and to the proposed resolution, participate in the oral hearing, and propose the evidence they deemed relevant, and they have been provided, just like the other parties involved, with copies of the documents that make it up, except for any information that has been declared confidential.  </w:t>
        <w:br/>
        <w:t xml:space="preserve">This Chamber considers that the alleged defenselessness cannot be appreciated and this is also consistent with the judicial decisions adopted in similar matters to the present173.  </w:t>
        <w:br/>
        <w:t xml:space="preserve">5.13. Response to the economic reports submitted by the companies  </w:t>
        <w:br/>
        <w:t xml:space="preserve">ACCENTURE, ATOS, IBM, INDRA, and SAG have submitted economic reports along with their allegations to the proposed resolution. In general, the economic reports focus on the justification of the UTE in the context of this file, as well as on the analysis of effects (prices, discounts, and margins), and other allegations that are analyzed below.  </w:t>
        <w:br/>
        <w:t xml:space="preserve">5.13.1. On the justification of the UTE  </w:t>
        <w:br/>
        <w:t xml:space="preserve">SAG asserts that the formation of a UTE is a common mechanism that can have pro-competitive effects and generate efficiencies, but it can also have anti-competitive effects, so its analysis would depend on the characteristics of each of the participating companies and the context in which they operate.  </w:t>
        <w:br/>
        <w:t xml:space="preserve">The report asserts that SAG did not have the capacity to present itself individually to tenders between 2008 and 2017 since, firstly, the public sector contracts undertaken by SAG are usually much larger than those in the private sector, and within the public sector, the affected tenders are of a larger size than the rest (in average revenue per project), and require a greater number of employees. It also compares the available workers174 of SAG with those required in the tender specifications each year, concluding that its own workers would not have been sufficient in almost any of the years (in this case 2010-2015). Due to the large size of the  </w:t>
        <w:br/>
        <w:t xml:space="preserve">173 Judgment of the National Court of June 2, 2011 (appeal 468/10), confirmed by the Judgment of the Supreme Court of November 21, 2014.  </w:t>
        <w:br/>
        <w:t>174 Although we refer to workers, the economic reports also use "employees," "profiles," and "resources (human)" to refer to these.</w:t>
      </w:r>
    </w:p>
    <w:p>
      <w:r>
        <w:rPr>
          <w:b/>
        </w:rPr>
        <w:t>[Pages 193–195]</w:t>
      </w:r>
    </w:p>
    <w:p>
      <w:r>
        <w:t>projects, the report states that UTEs are a common mechanism to participate in them. In fact, according to their data, the larger the size of the projects, the greater the proportion of projects in which SAG participates in a UTE. For all these reasons, they assert that it is reasonable for SAG to have participated in the affected tenders as a UTE.</w:t>
      </w:r>
    </w:p>
    <w:p>
      <w:r>
        <w:t>The SAG report also analyzes each of the affected tenders from each agency in which SAG participates to verify whether it had sufficient workers to participate individually. Except in two cases (lot 6 of tender 60/VC-73/12, in which it submitted a solo bid, and 7201/13G), the available or provided workers were significantly fewer than required in the specifications.</w:t>
      </w:r>
    </w:p>
    <w:p>
      <w:r>
        <w:t>ATOS, for its part, asserts in its report175 that it participated individually in contracts of a much smaller size than the contracts for which it is presenting as part of a UTE. The average size at an aggregate level of the contracts subject to this resolution to which ATOS submitted bids between 2006 and 2015 with other companies would be more than 9 times greater than those in which it submitted bids alone, while the average number of specialized workers required would also be much higher (more than 10 times). Furthermore, the amount of the contracts after the grouping of tenders from previous years by the contracting agencies would also have been clearly greater (between 9 and 14 times), so the only alternative for presenting, as it states, was to do so in a UTE/subcontracted. According to ATOS, in all analyzed cases, the joint market share of the companies forming the UTE in which ATOS participated between 2005 and 2015 was below 20% (measured against the AGE's expenditure on information technology services).</w:t>
      </w:r>
    </w:p>
    <w:p>
      <w:r>
        <w:t>IBM asserts in its economic report176 that it does not usually provide the type of services subject to the AEAT tenders, and that its participation is due to the fact that this company was the one that implemented the software for the development of applications for the AEAT intranet. At the request of the AEAT, IBM continued to provide maintenance and development services between 2002 and 2007, and later through tendered contracts (open tenders) that also included other services that had until then been provided by CIBERNOS, INDRA, and SAG.</w:t>
      </w:r>
    </w:p>
    <w:p>
      <w:r>
        <w:t>According to IBM, the AEAT tender called in 2007 included very specific personnel requirements and broader work to be performed than the services provided by IBM up to that point. The requirements would have led IBM to retain most of the personnel that had been servicing the AEAT. IBM states in its report that it participated in 2007 and 2011 in a UTE with CIBERNOS, INDRA, and SAG and no other company competed in the tenders,</w:t>
      </w:r>
    </w:p>
    <w:p>
      <w:r>
        <w:t>175 "Analysis of ATOS's behavior in public procurement in the information technology services market," prepared by KPMG for ATOS (folios 15229-15619). It was submitted as part of its allegations to the PCH.</w:t>
      </w:r>
    </w:p>
    <w:p>
      <w:r>
        <w:t>176 "Economic analysis of the PCH in the File S/DC/0565/15 Tenders for Computer Applications" prepared by RBB Economics for IBM (folios 22897-22937), submitted as part of its allegations to the PCH.</w:t>
      </w:r>
    </w:p>
    <w:p>
      <w:r>
        <w:t>while in 2015 the tender was divided into two lots, which were won on one side by INDRA, with IBM subcontracted, and on the other by SAG and CIBERNOS.</w:t>
      </w:r>
    </w:p>
    <w:p>
      <w:r>
        <w:t>IBM asserts that it would not have been able to participate separately and independently in any of the three tenders, so its participation in the UTE would not have resulted in a reduction in the number of competitors and therefore a restriction of competition. To support this, it analyzes the number of workers required by the AEAT in the tenders (up to more than 100) and the workers available to IBM, whether internal or subcontracted, with the former always being much greater than in the contracts that IBM had signed with the AEAT between 2002 and 2006 (about 15).</w:t>
      </w:r>
    </w:p>
    <w:p>
      <w:r>
        <w:t>Regarding IBM's own employees, the report estimates both the number of workers assigned to the unit responsible for providing the service to the AEAT, as well as their "ITR," that is, hourly cost of the resource, by salary band. This ITR, calculated by the company itself, includes both salary costs and common or indirect costs assigned to the department to which this personnel belongs. In 2007, 2011, and 2015, IBM had a total of 68, 76, and 57 employees in this unit, respectively, so, according to the report, in no case did it have the capacity to meet the AEAT's requirements, which were also very specific and not all employees met. In fact, IBM states that the employees in the specific area serving the AEAT ranged between 12 and 21 from 2007 to 2015, all without taking into account their actual availability. The maximum rate set by the AEAT (€ / hour) was, moreover, according to calculations by the company itself, much lower than the ITR cost of IBM's own workers, so it would not have been profitable for it to meet all the AEAT's needs. In fact, it asserts that only two of the workers assigned to the contracts were internal, the rest were subcontracted.</w:t>
      </w:r>
    </w:p>
    <w:p>
      <w:r>
        <w:t>The report also considers that, in a counterfactual scenario in which IBM would not have been able to participate in a UTE or as a subcontracted company, IBM would not have participated in the tenders, so the advantages or efficiencies for the AEAT of its conduct must be analyzed in a framework in which the company does participate (as a UTE or subcontracted). Given that IBM had already provided service to the AEAT, the advantages would come from IBM participating in the tenders and the AEAT thus retaining at least a significant part of the personnel that had been servicing it until then. IBM shows in its report that at least 71% of the workers for whom billing occurred in the contracts already had experience with the AEAT. Furthermore, IBM asserts that participating allowed it to use mostly subcontracted employees, whose cost was lower than that of its own workers.</w:t>
      </w:r>
    </w:p>
    <w:p>
      <w:r>
        <w:t>The report provided by ATOS analyzes the reasons why ATOS participated in the tenders called either through a UTE or subcontracted by it. In general terms, this would have been due to capacity constraints and the complementarities between the resources of the companies, as its competitive strategy would have been determined mainly based on its available capacity in terms of human resources.</w:t>
      </w:r>
    </w:p>
    <w:p>
      <w:r>
        <w:t>The average number per year of total available employees of ATOS would range, according to the report, between 34 and 161 people. It then compares the available capacity of the company regarding the case in which ATOS submitted bids for several lots in tenders and for several tenders per year, for which it would have had to have the total number of required workers available, who also could not be committed to other areas. Between 2008 and 2014, it only had enough employees in two of the years, and this would be a conservative number, as the level of specialization of the workers required in the specifications would not have been taken into account. The report states that ATOS only submitted bids in UTE or as a subcontractor if it did not have the necessary requirements (technical or economic) and when it did, its participation percentage was low.</w:t>
      </w:r>
    </w:p>
    <w:p>
      <w:r>
        <w:t>The report also analyzes, for each of the tenders, the economic reasonableness of the decisions made by ATOS not to submit individually based on the requirements and award criteria demanded by the contracting agencies (GISS, INSS, and SEPE).</w:t>
      </w:r>
    </w:p>
    <w:p>
      <w:r>
        <w:t>In general, in all analyzed cases, ATOS asserts that there would be no reasons to expect a lack of competition as alternative offers are observed among bidders under similar conditions. ATOS's offer responded, as it states, to its available capacity (that is, it did not have enough employees to meet the requirements of the specifications if it were to submit on its own and in fact contributed less than 20% of the workers to the UTE), its market share combined with the other companies in the UTE was small (below 20%), the structure of the UTE varied between tenders, the UTE/subcontracting in which ATOS participated presented significant discounts, and the individual offers were not technically competitive.</w:t>
      </w:r>
    </w:p>
    <w:p>
      <w:r>
        <w:t>Furthermore, ATOS would have actively competed (at least on one occasion) with the companies with which it forms a UTE, both jointly (that is, submitting with other companies) and individually. According to the report, the requirements of the tenders would force companies to opt for joint participation.</w:t>
      </w:r>
    </w:p>
    <w:p>
      <w:r>
        <w:t>In the case of ACCENTURE, it states in its report177 that it is possible that some companies interested in bidding may not be able to do so due to not having enough employees, and it is reasonable to think that it would be costly for them to incorporate more given the uncertainty regarding the winner of the contract. These sunk costs would pose a barrier to entry for individual participation, but can be overcome through the formation of UTEs whose companies have employees with complementary profiles.</w:t>
      </w:r>
    </w:p>
    <w:p>
      <w:r>
        <w:t>From a theoretical standpoint, the report asserts that if ACCENTURE were to participate individually, it would not be able to offer the number of workers</w:t>
      </w:r>
    </w:p>
    <w:p>
      <w:r>
        <w:t>177 Expert Report "The participation of Accenture Companies in the form of UTE in the tenders of the SEPE investigated in File S/DC/0565/15 is pro-competitive," prepared by Amadeo Petitbò Juan and Joaquín Artés Caselles for ACCENTURE (in the report they refer to the "Accenture Companies") (folios 25702-25763).</w:t>
      </w:r>
    </w:p>
    <w:p>
      <w:r>
        <w:rPr>
          <w:b/>
        </w:rPr>
        <w:t>[Pages 196–198]</w:t>
      </w:r>
    </w:p>
    <w:p>
      <w:r>
        <w:t>required at the price established in the tender (and, therefore, could not offer discounts) because their average costs would be too high. If they were to present in a UTE with other similar companies, on the other hand, each would only have to face a part of the demand, so the total average costs (resulting from adding each of the average costs of the companies) would be such that they could offer more employees than required and a considerable discount by being more efficient. From a competition standpoint, UTEs would be desirable as they allow for more competitive offers.</w:t>
      </w:r>
    </w:p>
    <w:p>
      <w:r>
        <w:t>However, a UTE would have negative effects if it had monopoly power, as it would be able to apply prices higher than those that an individual company would apply. The report states that, according to the proposed resolution, this would be the case for the UTEs in the file, and there would be no clear economic reasons justifying the efficiency gains.</w:t>
      </w:r>
    </w:p>
    <w:p>
      <w:r>
        <w:t>The first step in the analysis would be the existence of market power. Only if the UTE leads to a significant increase in the ability to exercise market power could the existence of harm to competition be raised, although it should be taken into account that the administration is a potential monopsonist in each tender. The report asserts that no significant increases in market power occurred as a result of the agreements, and that it is a market with a low level of concentration in which there are no dominant operators. In the investigated UTEs in which ACCENTURE participated, its market share would have always been below 20% and decreased over time, which would not be compatible with a cartel, and, moreover, in all the investigated tenders, there was at least one additional competitor with shares close to 10%, leading ACCENTURE to assume that there was effective competition.</w:t>
      </w:r>
    </w:p>
    <w:p>
      <w:r>
        <w:t>Secondly, the report analyzes whether there were economic reasons (existence of efficiencies and welfare gains) that justified the formation of the UTEs, focusing on the role of economies of scale in the tenders to which ACCENTURE submitted offers in UTE and on the company's ability to present itself individually.</w:t>
      </w:r>
    </w:p>
    <w:p>
      <w:r>
        <w:t>ACCENTURE claims that, out of the 29 lots of the SEPE tenders in the years 2008, 2012, and 2014, the company submitted offers for 13, 11 of which were in UTE, these latter having a much higher average value. The number of employees required was also higher, so the number of workers with the necessary knowledge and available to meet the tender requirements was always insufficient. Therefore, the only way ACCENTURE would have had to participate in the SEPE tenders was through the formation of UTE. Nevertheless, the report acknowledges that there is a significant lack of data for this estimation, although it asserts that the availability bias is always upward.</w:t>
      </w:r>
    </w:p>
    <w:p>
      <w:r>
        <w:t>On the other hand, according to ACCENTURE, the proposed resolution attributes to the maintenance of the distribution percentages of previous alliances anticompetitive implications, without considering that this can be efficient (for example, due to high transaction costs) and that the UTE does not have to set prices higher than competitive ones. In 2014, in fact, ACCENTURE lost two tenders, which would not be consistent with the existence of a cartel.</w:t>
      </w:r>
    </w:p>
    <w:p>
      <w:r>
        <w:t>Response from the Competition Chamber</w:t>
      </w:r>
    </w:p>
    <w:p>
      <w:r>
        <w:t>First of all, it must be stated that UTEs do not have to restrict competition per se. However, in this case, they have proven to be an instrument that has allowed the parties to carry out their anticompetitive agreements. Regarding SAG's allegations that there is no evidence that the companies rejected the participation of other companies or that they presented in UTE and individually at the same time, it should be noted that the facts demonstrate that, at least in the tender PA 11/12 of the GISS, INDRA presented individually for two of the lots, and in UTE for two others (facts 215 and 217), while SAG and INDRA did the same in the tender 60/VC-73/12 (ATRIUM) of the INSS (facts 277 to 287).</w:t>
      </w:r>
    </w:p>
    <w:p>
      <w:r>
        <w:t>On the other hand, SAG's economic report analyzes this company's inability to present itself individually for the contracts affected by the behaviors, while ATOS also claims that the size of the contracts, as well as the number of employees required, would determine the company's ability to present itself in UTE. As reiterated, the use of UTE in these tenders is not criticized due, for example, to the needs of the administration reflected in the specifications, but the evidence established in this file demonstrates that the creation of UTE, along with other mechanisms such as preferential subcontracting, did not respond to that purpose. Its objective was to preserve the pre-existing competitive situation, so that competition among the entities best positioned to provide the information technology services demanded by the administration was limited, as they were the pre-existing suppliers. Even modifications in the contracting procedure do not lead to a change in the initial positions of the companies.</w:t>
      </w:r>
    </w:p>
    <w:p>
      <w:r>
        <w:t>It should be noted that, even in tenders in which SAG ultimately ended up submitting individual offers, such as in the case of lot 6 of the tender 60/VC-73/2012 of the SEPE (of which it was awarded), since it was a continuation of tenders that the UTE SAG/INDRA had been awarded in previous tenders, these same companies tried to maintain the alliance they had, despite the fact that at least SAG knew it had 15 employees available for the same number of required employees.</w:t>
      </w:r>
    </w:p>
    <w:p>
      <w:r>
        <w:t>Regarding IBM's allegations, they also focus on the size of the contracts and the specific personnel requirements from the AEAT, in addition to the availability of their own workers. As already responded in the case of SAG and ATOS, it is not questioned that the companies had to present in UTE for the tenders, but the instrumental use of these, as well as other complementary mechanisms that allowed them to maintain the status quo.</w:t>
      </w:r>
    </w:p>
    <w:p>
      <w:r>
        <w:t>As for the claim that IBM's participation in the UTE would not have resulted in a reduction in the number of competitors, since it could not have presented on its own, while it is true that IBM did not have sufficient capacity to tackle the contracts individually, this does not exclude that the UTEs of which it was a part avoided exploring alternative offers to the pre-existing UTE even when the conditions of the tenders were not maintained. This is, for example, the case of the file PA 2/2015 of the AEAT. The services prior to this contract had been provided in a UTE by INDRA, IBM, SAG, and CIBERNOS. However, in 2015, the AEAT decided to divide all the services that had been provided by these four entities into two lots. Despite this change in the structure of the tender, the four companies coordinated to establish the conditions of both lots, even though these were independent, and submitted differentiated offers, with SAG and CIBERNOS on one side, and INDRA and IBM (the latter as a subcontractor, although it participated in the meetings as another awardee) on the other. In this tender, competition was clearly reduced, since, without considering possible third parties, both UTEs could have competed against each other instead of dividing the two lots so that the participating companies would not lose their previous position.</w:t>
      </w:r>
    </w:p>
    <w:p>
      <w:r>
        <w:t>The report presented by IBM also asserts that it was not profitable for them to allocate their own workers to the AEAT tenders, nor did they have the capacity to hire additional employees or subcontract. This, however, only indicates that, in their case, the available own employees did not reflect the real capacity of the company to participate in the tenders, since the company itself states that around 70% of the employees for whom it billed had previous experience with the AEAT, so there was some margin to hire others. Even with a limit on subcontracting, IBM would have had room to, at least, not always try to maintain the same percentage of participation in the UTE, regardless of whether it was a member of these or a subcontracted company, and could have resorted to other alliances or negotiated a different position. Furthermore, IBM itself has acknowledged in the report that the margin obtained from public administration contracts did not determine its decision to participate in these, from which it can be inferred that they had a particular interest in maintaining them.</w:t>
      </w:r>
    </w:p>
    <w:p>
      <w:r>
        <w:t>The report also considers that, in a scenario where IBM could not participate in UTE or as a subcontracted company, IBM would not have participated, so the advantages or efficiencies must be analyzed in a framework where IBM does participate. These allegations from IBM cannot be accepted because, as seen earlier in the case, for example, of the tenders AV10/2011 and PA 2/2015 of the AEAT, IBM would have had room to negotiate other agreements that did not involve the unjustified maintenance of the status quo, so it could have participated.</w:t>
      </w:r>
    </w:p>
    <w:p>
      <w:r>
        <w:rPr>
          <w:b/>
        </w:rPr>
        <w:t>[Pages 199–201]</w:t>
      </w:r>
    </w:p>
    <w:p>
      <w:r>
        <w:t>ATOS, for its part, also analyzes its available capacity to individually bid for the contracts affected by the conduct, as well as previous tenders prior to the start of this conduct to which ATOS participated individually. While it is true that public administration contracts have concentrated and increased in size, and therefore ATOS could not handle tenders of a much larger size on its own, it was logical for it to seek employees with complementary profiles from other companies, it cannot be accepted that the role of public administrations has determined its conduct nor that its lack of capacity justifies the behaviors evidenced in this file. In the case of ATOS, it has been established that it actively participated in the negotiations despite its own legal counsel warning that these violated competition law.</w:t>
      </w:r>
    </w:p>
    <w:p>
      <w:r>
        <w:t>Furthermore, among the evidenced behaviors, one can point out, for example, the case of the agreements reached in lots 3 of C10/08 and 6 of C11/08, in which different scenarios were contemplated regarding both lots jointly, even though they belonged to different tenders. This evidences that, despite ATOS's lack of capacity to present itself individually for the tenders (as indicated in its report, it usually contributed less than 20% of the employees of the UTE), its objective was to maintain the status quo. Moreover, competing actively with the companies with which it forms a UTE does not exclude that, in the contracts analyzed in this file, it sought to maintain the established UTEs, as well as the percentages of participation within them.</w:t>
      </w:r>
    </w:p>
    <w:p>
      <w:r>
        <w:t>Finally, in the case of ACCENTURE, its allegations are based on an analysis of economic theory that justifies the formation of UTEs. Its allegations cannot be accepted because all its analysis is based on the premise that the UTE it analyzes is formed by three equal companies, which is clearly not the case for the UTE formed by INDRA and ACCENTURE. Additionally, it assumes that the UTE is truly capable of offering lower costs and improvements compared to individual companies. However, the report does not take into account that if the UTE is formed by companies with very different costs, those with higher costs increase the costs of the UTE, which would imply lower discounts and, therefore, a worse situation for the awarding public bodies. It also does not consider that, although UTEs can offer efficiencies, that does not mean they do not restrict competition if the design of the agreements has that objective.</w:t>
      </w:r>
    </w:p>
    <w:p>
      <w:r>
        <w:t>Regarding the arguments concerning market power, they attempt to show that the behaviors could not have produced effects. However, the peculiarities that characterize competition through tenders prevent accepting that it is not possible to restrict competition when the market shares of the companies participating in the UTE are relatively small, as the appellant claims. Indeed, the companies themselves acknowledge that those who had been providing the service were better positioned to secure future tenders, as they already had specialized personnel, so the evidenced behaviors only eliminate competition among the closest and best-positioned competitors for that tender, which affects competition and the interests of public administrations far more than would be expected from a mere analysis of the shares.</w:t>
      </w:r>
    </w:p>
    <w:p>
      <w:r>
        <w:t>Finally, regarding their lack of capacity to present themselves individually, ACCENTURE's allegations cannot be accepted either, since, as reiterated both in the resolution proposal and in this same section, this does not justify the instrumental use of UTEs and other mechanisms with the aim of maintaining the status quo.</w:t>
      </w:r>
    </w:p>
    <w:p>
      <w:r>
        <w:t>5.13.2. On the effects of the behaviors in the market</w:t>
      </w:r>
    </w:p>
    <w:p>
      <w:r>
        <w:t>Firstly, INDRA considers in its economic report that the estimation presented in the resolution proposal of the supposed effects of the analyzed behaviors is not based on a scenario without infringement (counterfactual), so it cannot measure the effect of these on the market. The resolution proposal would identify several behaviors that it would consider restrictive of competition (although some could lead to efficiencies, they would not be sufficient to offset the negative effects): the formation of instrumental UTEs, preferential subcontracting, the inhibition of submitting bids, regularization clauses, the participation of companies in the drafting of the specifications, and the supposed agreements not to poach human resources. Therefore, according to the report, the counterfactual scenario should be one that included the absence of all these behaviors.</w:t>
      </w:r>
    </w:p>
    <w:p>
      <w:r>
        <w:t>The resolution proposal would also not take into account the "inconveniences and resulting difficulties" of prohibiting the "supposed behaviors," so that even if competition increased by prohibiting the behaviors, costs would also increase and competitors would decrease, making the final effect uncertain and the analysis of the resolution proposal incomplete. However, the report itself acknowledges that it does not have sufficient information to reasonably estimate the offers and discounts in a correctly designed counterfactual scenario.</w:t>
      </w:r>
    </w:p>
    <w:p>
      <w:r>
        <w:t>The SAG report, on the other hand, argues that the analysis of the resolution proposal does not demonstrate the existence of effects in the market and that, in fact, the evidence analyzed would contradict what is stated in it. It analyzes whether the number of bids in the tenders was reduced due to the behaviors by comparing the average number of bidders in the affected and unaffected projects that appear in the file, and finds that in the unaffected tenders the number is lower, which would imply that the supposed behaviors would not have had a negative effect in that regard.</w:t>
      </w:r>
    </w:p>
    <w:p>
      <w:r>
        <w:t>On the other hand, several companies focus on analyzing the discounts applied in the tenders. According to INDRA's report, the analysis of the resolution proposal would only take into account the discounts, and not other aspects of great importance such as the quality of service (technical solvency requirements), which were also highly considered by the bidding bodies when making their decisions. It would also not take into account that the bidding bodies would have to face higher costs when designing and drafting the specifications if there were no interaction with the companies. It would also ignore that bidding bodies usually request that a certain workforce be maintained to ensure continuity, which could only be achieved if they resorted to public employees, who are more costly according to INDRA's estimates, which reference the remuneration of CNMC personnel.</w:t>
      </w:r>
    </w:p>
    <w:p>
      <w:r>
        <w:t>Finally, the determination of the discount percentages in the absence of the behaviors would not be justified according to INDRA, and in any case would be speculative. Specifically, it focuses on four of the seven tenders that, according to the resolution proposal, could have been awarded with higher discounts. These are the files PA 20/2014 of the AEAT (a discount greater than 7% could not be offered because it was conditioned on a fee increase that did not occur), 7201/10G (the potential discount of 8.5% was classified by SAG as "unreachable," and moreover the Competition Directorate applies the discount to lots to which neither INDRA nor SAG submitted bids) and 7201/13G of the GISS (there were adjustments in the number of hours offered that the resolution proposal would not take into account and there was also another offer with a higher discount that was not chosen) and 60/VC-50/10 of the INSS (the INSS chose an offer, that of the UTE of INDRA, which offered a lower discount than others; if they had offered higher discounts but lower quality, they might not have been awarded).</w:t>
      </w:r>
    </w:p>
    <w:p>
      <w:r>
        <w:t>If these four tenders are excluded for the estimation of effects, these remain at 25% of the value reported in the resolution proposal, decreasing from €3,571,181.43 to €893,795.86 (folio 26344).</w:t>
      </w:r>
    </w:p>
    <w:p>
      <w:r>
        <w:t>SAG, for its part, indicates that the resolution proposal would assert that the services provided to the affected public administrations became more expensive as a result of the infringement, but the report asserts that potential discounts are not necessarily a valid reference for the calculation, since it is normal for discounts and adjustments to be discussed among the members of the UTE before submitting bids. Furthermore, the analysis of the resolution proposal would be erroneous because it only considers discounts in budgets/rates, but in at least three cases (C 68/06, C 03/07, AV 42/10 of AEAT) an increase in working hours was offered, and in some cases more workers than required in the specifications would have been incorporated. In two of the GISS tenders, on the other hand, a maximum cap on discounts was established, in addition to the weight of the economic offer being much lower than that of the technical aspects.</w:t>
      </w:r>
    </w:p>
    <w:p>
      <w:r>
        <w:t>The average discount per tender of the affected tenders is very similar to that of the unaffected ones, both in euros and in percentage (around 12% not counting the AEAT tenders). If instead of the discount regarding the bid amount, the average hourly rates offered are considered, the report asserts that the rates of the services offered to public administrations are lower than the rates offered in other sectors, and moreover the rates obtained for the affected projects are lower than those of the unaffected ones.</w:t>
      </w:r>
    </w:p>
    <w:p>
      <w:r>
        <w:rPr>
          <w:b/>
        </w:rPr>
        <w:t>[Pages 202–204]</w:t>
      </w:r>
    </w:p>
    <w:p>
      <w:r>
        <w:t>public administrations since 2010. All of this would contradict the resolution proposal in its assertion of the increase in service costs due to the investigated practices.</w:t>
      </w:r>
    </w:p>
    <w:p>
      <w:r>
        <w:t>According to SAG, in real terms, the rates in the specifications for the affected tenders have decreased since 2003. This is also affirmed by IBM, which claims that since 2007 the average rate resulting from the AEAT would have increased by only 3.1% compared to the 4.57% of the sector price index, so the real cost for the administration would have decreased and would mainly be due to the fact that in 2015 the AEAT itself increased the maximum rates (according to the report, it is inconsistent that it would have increased the maximum rates above those resulting in 2011 if it believed they were excessive).</w:t>
      </w:r>
    </w:p>
    <w:p>
      <w:r>
        <w:t>The report provided by IBM, on the other hand, evaluates whether the rates obtained by the company are consistent with what one would expect if the company had participated in a restrictive competition conduct and compares the ITR cost of the employees that IBM assigned for the consultant position in the three analyzed tenders with the maximum rate assigned (the one from the tender or the one from the subcontracting agreement with INDRA in the case of 2015). The maximum rate would have been at least 30% lower than the cost, and the difference has increased over time.</w:t>
      </w:r>
    </w:p>
    <w:p>
      <w:r>
        <w:t>It then compares the maximum rates and the final rates resulting since 2004, that is, since before the AEAT organized the tenders, and in all cases the resulting rates would have been, according to IBM, lower than the maximums, although the difference is very large in 2004 and 2006 (discounts of 20% for the consultant category) and minimal in the other three cases (discounts between 0% and 5%). Also, the maximum rates of the tenders would have been lower than the resulting rates in 2004 and 2006. The same analysis is performed for the categories of programmer and analyst, as well as for programmer analyst, with similar results and the evolution of the weighted average rate (according to the profiles of workers required by the AEAT in the 2007 tender).</w:t>
      </w:r>
    </w:p>
    <w:p>
      <w:r>
        <w:t>Regarding ACCENTURE, according to its report, no specific calculation supporting the existence of potential harm to competition is included in the file, while, from a theoretical point of view, the report would indeed demonstrate that the alleged facts are not anti-competitive per se. They assert that if the UTE is pro-competitive, we should observe that the prices offered by the UTE coincide with competitive prices either because there is no market power (as ACCENTURE claims was the case) or because this would be offset by efficiency gains. Their analysis focuses on the tenders of 2012 and 2014 because in 2008 the UTE in which ACCENTURE participated was awarded and offered a 10% discount, the maximum allowed by the tender (there was a saturation threshold that disappeared in later tenders).</w:t>
      </w:r>
    </w:p>
    <w:p>
      <w:r>
        <w:t>In 2012, the discounts per lot would have varied, according to ACCENTURE, between 25% and 30%, and in 2014 they were almost 34%. According to the report, if these were collusive prices, the competitive price would be below, that is, the discounts would have to have reached 40%, which would be unlikely. In all cases, there were at least 4 competitors, and the UTEs offer higher average discounts than individual companies, in addition to obtaining a higher technical valuation.</w:t>
      </w:r>
    </w:p>
    <w:p>
      <w:r>
        <w:t>According to the report, in cases of collusion, it would be expected to detect high prices and low dispersion, which would not have occurred in the SEPE tenders. They then compare the discounts of 2012 and 2014 with 2008, the year in which the saturation threshold of 10% still existed. The report considers that only the following three scenarios are possible, based on a hypothesis that assumes that the SEPE had similar market knowledge in all tenders, so that the discounts are comparable from one year to another:</w:t>
      </w:r>
    </w:p>
    <w:p>
      <w:r>
        <w:t>a) The saturation threshold of 2008 (maximum discount of 10%) was set below the collusive discount: companies with market power would set higher prices, with discounts close to 0%. ACCENTURE always offered either the maximum discount or much greater discounts, so this scenario is only compatible with competitive behavior.</w:t>
      </w:r>
    </w:p>
    <w:p>
      <w:r>
        <w:t>b) The maximum discount of 10% coincides with the collusive discount: a company with market power would offer a 10% discount. In 2012 and 2014, with the limit removed, ACCENTURE presents greater discounts (prices at a competitive level).</w:t>
      </w:r>
    </w:p>
    <w:p>
      <w:r>
        <w:t>c) The maximum discount of 10% was set above the collusive discount: the limit would restrict both competitive companies and those with market power. In 2012 and 2014, price decreases should be observed in both cases, greater in a competitive scenario. This seems to be the case argued by the CNMC, according to the report. However, this scenario would not be compatible with the situation in 2008, since if the collusive price is below the limit, no advantages derived from coordination are obtained.</w:t>
      </w:r>
    </w:p>
    <w:p>
      <w:r>
        <w:t>The IBM report also analyzes the margins (whether they are own employees or subcontracted) obtained with the contracts tendered in 2007, 2011, and 2015. The expected margin by IBM before the start of the contracts was always greater than the actual one. They then compare the expected profitability with the target and what was obtained on average by IBM with other contracts. In the first case, the difference would be between 10 and 23 percentage points, while in the second it would always be over 20 percentage points. Furthermore, the profitability of the AEAT contracts would have been, except in one case, the lowest of all IBM projects in the years of the tenders. According to the report, this would demonstrate that the margin was not the determining factor in IBM's decision to participate in the tenders, which would be inconsistent with what one would expect from its behavior if it indeed aimed to restrict competition.</w:t>
      </w:r>
    </w:p>
    <w:p>
      <w:r>
        <w:t>S/DC/0565/15 Comisión Nacional de los Mercados y la Competencia Página 203 de 224</w:t>
        <w:br/>
        <w:t>C/ Barquillo, 5 – 28004 Madrid - C/ Bolivia, 56 – 08018 Barcelona</w:t>
        <w:br/>
        <w:t>www.cnmc.es</w:t>
      </w:r>
    </w:p>
    <w:p>
      <w:r>
        <w:t>SAG also asserts in its report that its margins would not have increased. In fact, the average margins of SAG would have been lower in the public sector than in the private sector between 2008 and 2017 (see Figure 16 on folio 26917), and on average, those of the affected public sector projects would also have been lower (in 3 years even negative) compared to the non-affected ones (see Figure 17 on folio 26918). However, there are several cases in which the margins of the affected projects are clearly higher (see figures 18 to 21 on folios 26919-26920).</w:t>
      </w:r>
    </w:p>
    <w:p>
      <w:r>
        <w:t>Response from the Competition Chamber</w:t>
      </w:r>
    </w:p>
    <w:p>
      <w:r>
        <w:t>Regarding INDRA's allegations concerning the lack of a correctly designed counterfactual to measure the effects, these cannot be accepted since the potential discounts that have been taken into account are forecasts from the companies themselves that, in many cases, they discard once they verify that they will not have competition, as is the case with the tender AV 42/10 from the AEAT (the companies considered a 2% discount but opted not to offer any and state that "the probabilities of obtaining this contract are 80-90%"), or after assuring that the specification is "technologically marked," as is the case with the tender 60/VC-50/10 from the INSS (they initially consider a 10% discount that is ultimately reduced to 5%).</w:t>
      </w:r>
    </w:p>
    <w:p>
      <w:r>
        <w:t>Regarding SAG's allegations, which assert that the average number of bids in the tenders has not decreased (compared to the non-affected projects), it should be noted that the number could have been higher if the UTEs and subcontracting had not been instrumental and the companies had sought other alliances that would have allowed them to improve their technical score or offer greater discounts. Furthermore, although the non-affected tenders have not been included in this file due to the lack of accredited evidence about them, there could also have been cases of anti-competitive conduct in these, so it is at least problematic to use them as a reference point.</w:t>
      </w:r>
    </w:p>
    <w:p>
      <w:r>
        <w:t>Regarding INDRA's observations that only discounts should not be taken into account, while it is true that companies can provide a quality of service that the contracting entities value when making a decision, in any case, the potential discounts that the UTEs could have offered were greater than those they ultimately offered. It cannot be accepted either that the intervention in the design of the specifications and the alleged request from the contracting entities to maintain a certain template justify that the companies themselves offer lower discounts than they would have in the absence of the conduct, as has been evidenced in the resolution proposal.</w:t>
      </w:r>
    </w:p>
    <w:p>
      <w:r>
        <w:t>And regarding the four files in which they allege that the potential discounts are incorrect, in the case of the file PA 20/2014 from the AEAT it is true, as the report states, that the 10% increase corresponds to emails in which they assured that the rates were increasing by 10%, but</w:t>
      </w:r>
    </w:p>
    <w:p>
      <w:r>
        <w:rPr>
          <w:b/>
        </w:rPr>
        <w:t>[Pages 205–207]</w:t>
      </w:r>
    </w:p>
    <w:p>
      <w:r>
        <w:t>upon analyzing them, the increase does not reach 2%. However, it is awarded with a 2.9% discount on the total budget when this does increase by almost 9.26%. Therefore, their allegations on this point cannot be accepted.</w:t>
      </w:r>
    </w:p>
    <w:p>
      <w:r>
        <w:t>Regarding the file 7201/10G of the GISS, it is true that the discount was classified as "unattainable" and, therefore, it cannot be taken into account in the calculation of effects, which would be reduced by €149,857.55.</w:t>
      </w:r>
    </w:p>
    <w:p>
      <w:r>
        <w:t>In the case of file 7201/13G of the same entity, it has already been recognized in the resolution proposal that the actual 30% discount offered by the companies was made on the unit prices, although the savings for the GISS were indirect as the contract was awarded for the total bid (fact 108). In fact, the potential discount of up to 38% proposed by INDRA refers to the unit prices (folio 11141). It cannot be accepted either that, if the GISS had wished, it would have had access to a greater discount by accepting the offer from IECISA because the total score in the tender is also due to the technical aspects. Likewise, the allegations regarding file 60/VC-50/10 of the INSS cannot be accepted, as it was a specification technologically marked by the companies themselves (facts 272 and 273), so that, even if another UTE presented a higher discount, the winning UTE would obtain a higher technical score and other UTEs would have needed much greater discounts. Finally, it is noteworthy that INDRA has not considered the rest of the potential discounts and, therefore, the calculation of effects, included in the resolution proposal, to be incorrect.</w:t>
      </w:r>
    </w:p>
    <w:p>
      <w:r>
        <w:t>Regarding SAG's allegations about the invalidity of potential discounts as a reference for the calculation of effects, considering that it is normal for UTE members to make forecasts and adjustments, the resolution proposal already emphasized that "only those cases have been taken into account where it has been proven that the companies were considering certain discount percentages and that these have been reduced as a result of anti-competitive conduct"180, that is, discounts that were ultimately reduced not due to the need for justifiable adjustments by the companies but due to the existence of the conduct.</w:t>
      </w:r>
    </w:p>
    <w:p>
      <w:r>
        <w:t>As for not having taken into account the increase in the number of workers in exchange for the same rate, in the cases of tenders C68/06 and C03/07 of the AEAT, no potential discount has been included for the calculation of effects, while in the case of the tender AV 42/10 of the AEAT, as already specified in the resolution proposal, it has been proven that in the conversations of the companies in the UTE, a maximum discount of 2% was discussed and ultimately none was offered, knowing that the tender was prepared ad hoc for them (folio 5777). The discount, therefore, could have been greater than the implicit discount applied in the unit prices by category. Although the economic report states that more people were included in the execution of the tender than estimated, it does not provide the detail of how many there were nor what the savings in unit prices by category would have been, while in folio 5768 it can be observed that in the presentation of the offer, the companies took into account exactly the same number of workers per category that was required in the specifications (folios 5711-5719).</w:t>
      </w:r>
    </w:p>
    <w:p>
      <w:r>
        <w:t>SAG does not find any difference in the average discounts per tender between the affected tenders and those for which it has not been proven that they were affected by the conduct; however, this does not exclude that, in the effects proven in the resolution proposal, the actual discounts offered by the UTEs in which it participated were lower than the potential discounts that could have been applied in the absence of the conduct.</w:t>
      </w:r>
    </w:p>
    <w:p>
      <w:r>
        <w:t>Regarding the effective average rates, although it is true that the rates of public administrations are usually lower than in other sectors (which would explain, on the other hand, the evolution of the sectoral price index, which would not be a good comparison as it is influenced by the private sector, which has higher rates), this does not mean that the services provided in the affected tenders have not become more expensive compared to how they could have been if the conduct had not existed. The report claims that the rates obtained for the affected projects are lower than those for the unaffected ones from public administrations since 2010; however, this is due to an increase in the rates of the supposed unaffected projects in 2011 and 2012, as in recent years the difference is minimal. Even in 2008 and 2009, years in which the infringement already existed, the average income per hour worked was higher for the affected projects181.</w:t>
      </w:r>
    </w:p>
    <w:p>
      <w:r>
        <w:t>Regarding the comparison made by IBM of the maximum rates with the cost of its employees (ITR cost), although the rates received by IBM for the contracts resulting from the AEAT tenders of 2007, 2011, and 2015 were supposedly well below the cost of the own workers that IBM assigned to those contracts, it should be emphasized that the report itself states that most of the resources assigned were not part of its own personnel, and this was the case both when it was part of the UTE and when IBM intervened as a subcontractor for the companies of the awarded UTE182.</w:t>
      </w:r>
    </w:p>
    <w:p>
      <w:r>
        <w:t>While it is true that rates have decreased over time and this has caused discounts to also follow this trend (in any of the categories of workers required in the AEAT tenders), this does not exclude, in any case, that the discounts have been lower than they could have been, as has been proven in the file. In fact, the contracts from 2004 and 2006 with which the comparison is made were not assigned in the same way, so the rates may not be comparable. It cannot be accepted either that the rates received were competitive because they had no margin to set excessive prices, as it has been verified that they did have, as can be seen in the case of the tender AV 42/10.</w:t>
      </w:r>
    </w:p>
    <w:p>
      <w:r>
        <w:t>On the other hand, regarding ACCENTURE's allegations about the discounts, while it is true that potential discounts greater than those actually produced in the affected SEPE awards could not be proven, it cannot be deduced from this that the prices offered by the UTE were necessarily pro-competitive. The report also states that the discounts presented by ACCENTURE were very high, around 30%, and that if these were collusive, the competitive discount should have reached 40%. However, when analyzing other offers submitted to SEPE tenders, it can be observed that in the tender PA 7/14, the UTE led by SAG presented a discount of 35.03% in lot 2 (compared to 33.9% from the UTE INDRA/ACCENTURE) and in lot 1 of that tender, which was won by CONNECTIS with a 33.5% discount, the UTE INDRA/ACCENTURE presented a 31.9% (fact 242). The competitive discount was, in both cases, greater than that presented by ACCENTURE, which was also due to SAG and INDRA presenting separately.</w:t>
      </w:r>
    </w:p>
    <w:p>
      <w:r>
        <w:t>Furthermore, the report states that the UTE offered, on average, higher discounts and obtained better technical evaluations than the offers from individual companies and that the UTEs in which ACCENTURE participated were more competitive. This last point is not true, as previously indicated, since at least in one of the lots of the SEPE, a company that presented individually, CONNECTIS, made a better offer than that of the UTE INDRA/ACCENTURE.</w:t>
      </w:r>
    </w:p>
    <w:p>
      <w:r>
        <w:t>ACCENTURE also claims that it would be expected to detect high prices (few discounts) and low dispersion in the tenders, but assumes that all the UTEs or individual companies that submitted bids for the tenders were part of the cartel, when the agreements were made between the companies that formed each UTE, so it is to be expected that, in this case where INDRA and SAG competed in different UTEs, there would be greater dispersion.</w:t>
      </w:r>
    </w:p>
    <w:p>
      <w:r>
        <w:t>Finally, ACCENTURE alleges that the scenario that the resolution proposal would have taken into account in which the saturation threshold of 10% (maximum discount limit) was set above the collusive discount (that is, the collusive discount would be greater than the limit) would be incompatible with the existence of collusion in 2008, since the companies would not obtain profits from the coordination by offering the regulated price and not the (lower) price that would yield them benefits. However, ACCENTURE assumes that in the resolution proposal it is considered that the only benefit for the companies derived from the conduct is related to the prices that public administrations can offer to the AAPP, when these profits are also due to maintaining their participation in public sector tenders.</w:t>
      </w:r>
    </w:p>
    <w:p>
      <w:r>
        <w:rPr>
          <w:b/>
        </w:rPr>
        <w:t>[Pages 208–210]</w:t>
      </w:r>
    </w:p>
    <w:p>
      <w:r>
        <w:t>As for the other two scenarios raised by ACCENTURE, which would also consider the behavior of this company as competitive, they are also incorrect since they assume that the fact of offering discounts above the limit means that the UTE of which it was a part actually offered a competitive discount and not one lower than what it could have offered in the absence of the conduct. Furthermore, offering the maximum discount when there was a limit of 10% could imply other types of benefits, such as maintaining the status quo.</w:t>
      </w:r>
    </w:p>
    <w:p>
      <w:r>
        <w:t>Regarding the allegations focused on the margins obtained by the companies due to the analyzed conduct, both SAG and IBM present their own calculations of margins obtained according to their own accounting, but they do not provide disaggregated data of the allocated costs, so their analysis cannot be reproduced to verify its validity. In any case, IBM presents the margin data from the contracts of 2007, 2011, and 2015 (which decrease over time), when the first two correspond to years of crisis and according to their own data, their billing had decreased between 2008 and 2015,183 so it is reasonable that the margins also decreased. In fact, the proposed resolution refers to decreases in the potential margin of the tenders of the GISS, the INSS, and the SEPE.184 Moreover, they compare the margins obtained with the expected ones, when the expected margins are simply forecasts from the company itself. It is true, however, that the margins obtained are lower than in other contracts, although the report itself states that the margin was not the determining factor for participating in the tenders, so, although it can be accepted that the conduct did not imply, at least for IBM, an increase in margins, it does not exclude that it did imply a maintenance of the status quo, as has been evidenced in the file, and therefore yielded desirable results for the company.</w:t>
      </w:r>
    </w:p>
    <w:p>
      <w:r>
        <w:t>Regarding the allegations concerning SAG's margins, which claim that these would not have increased and were lower both in the public sector and in the affected projects, they cannot be accepted, because in several cases the margins of the affected projects are clearly higher than those of the non-affected ones. In fact, except for the case of the SEPE, the margins obtained by SAG in the projects of the AEAT, the INSS, and the GISS have been maintained or have increased on average since 2014, compared to the years of crisis, while in the non-affected projects the average margin has decreased in all cases. Therefore, their margins in general would have increased, as evidenced in the file, starting from lower margins during the years of economic crisis. However, the presence of low or decreasing margins does not allow for the exclusion that, in the absence of the conduct, these could have been even lower. Furthermore, it has been evidenced that the companies could have presented higher discounts in several of the files, and by not doing so, it must necessarily be considered that they obtained higher margins than they would have obtained in a competitive situation.</w:t>
      </w:r>
    </w:p>
    <w:p>
      <w:r>
        <w:t>5.14. Confidentiality</w:t>
        <w:br/>
        <w:t>On May 10, 2018, the Competition Chamber adopted an Agreement regarding the companies' request for confidentiality of the information provided in the resolution phase up to that moment (folios 27602 to 27610). This agreement was rectified by a resolution correcting errors dated May 17, 2018 (folios 27736 to 27739).</w:t>
      </w:r>
    </w:p>
    <w:p>
      <w:r>
        <w:t>Subsequent to the aforementioned Agreement, the companies have requested confidentiality for the following information:</w:t>
        <w:br/>
        <w:t>- BABEL: requests confidentiality for the total turnover figure corresponding to the year 2017 (folio 28217).</w:t>
        <w:br/>
        <w:t>- NEXT: requests confidentiality for the total turnover figure corresponding to the year 2017 (folio 28229).</w:t>
        <w:br/>
        <w:t>- AXPE: requests confidentiality for the total turnover figure corresponding to the year 2017 (folio 28293).</w:t>
        <w:br/>
        <w:t>- ACCENTURE: requests confidentiality for the total turnover figure corresponding to the year 2017 and for the turnover in the contracts in which it has participated (folios 28305 to 28306).</w:t>
        <w:br/>
        <w:t>- CIBERNOS: requests confidentiality for the total turnover figure corresponding to the year 2017 and for the turnover affected by the conduct (folios 28313 to 28317).</w:t>
        <w:br/>
        <w:t>- EVERIS: requests confidentiality for the total turnover figure corresponding to the year 2017 (folio 28329).</w:t>
        <w:br/>
        <w:t>- INDRA: requests confidentiality for the total turnover figure corresponding to the year 2017 and for the turnover affected by the conduct (folios 28333 and 28348).</w:t>
        <w:br/>
        <w:t>- ATOS: requests confidentiality for the total turnover figure corresponding to the year 2017 and for the turnover affected by the conduct (folios 28374 to 28377).</w:t>
        <w:br/>
        <w:t>- IBM: requests confidentiality for the total turnover figure corresponding to the year 2017 (folio 28387).</w:t>
        <w:br/>
        <w:t>- GESEIN: requests confidentiality for the total turnover figure corresponding to the year 2017 and for the turnover affected by the conduct (folios 28444 to 28447).</w:t>
      </w:r>
    </w:p>
    <w:p>
      <w:r>
        <w:t>Once the aforementioned information has been analyzed, this Chamber agrees to declare confidential the turnover data related to the affected market. The request for confidentiality of the data related to the total turnover corresponding to the year 2017 is denied as it is publicly accessible information.</w:t>
      </w:r>
    </w:p>
    <w:p>
      <w:r>
        <w:t>SIXTH. DETERMINATION OF THE SANCTION</w:t>
        <w:br/>
        <w:t>6.1 Criteria set forth by the Supreme Court</w:t>
        <w:br/>
        <w:t>The determination of the sanction must conform to the criteria expressed by the jurisprudence of the Supreme Court, initiated with its judgment of January 29, 2015,185 which are, in essence, the following:</w:t>
        <w:br/>
        <w:t>-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top or ceiling of the sanctioning response applicable to the most reprehensible infringement of the possible ones within its category, must serve as a reference to calculate the fine to be imposed on the rest of the infringements from them and downwards."</w:t>
        <w:br/>
        <w:t>- Regarding the basis on which to calculate the percentage of the fine, which in this case could reach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figure used as the basis for the percentage is not limited to a part but to the 'whole' of that volume."</w:t>
      </w:r>
    </w:p>
    <w:p>
      <w:r>
        <w:t>Based on these premises, it must be concluded that the determination of the sanction must be specified in a range that runs from zero to 10% of the total turnover of the infringing companies in the financial year prior to the issuance of the resolution. Within this sanctioning range, the fine must be determined according to the grading criteria provided in Article 64 of Law 15/2007.</w:t>
      </w:r>
    </w:p>
    <w:p>
      <w:r>
        <w:t>6.2 Criteria for the determination of the sanction: general assessment of the conduct</w:t>
        <w:br/>
        <w:t>The analyzed conduct constitutes a unique and continuous infringement, constitutive of a cartel, consisting of a market allocation through the distribution</w:t>
        <w:br/>
        <w:t>185 Appeal 2872/2013. Also, in the same sense, the judgments of the High Court of January 30, 2015 (appeals 1476/2014 and 1580/2013), among others.</w:t>
      </w:r>
    </w:p>
    <w:p>
      <w:r>
        <w:rPr>
          <w:b/>
        </w:rPr>
        <w:t>[Pages 211–213]</w:t>
      </w:r>
    </w:p>
    <w:p>
      <w:r>
        <w:t>of public tenders with the aim of maintaining the market share of each company.</w:t>
      </w:r>
    </w:p>
    <w:p>
      <w:r>
        <w:t>It is, therefore, a very serious infringement (art. 62.4.a of the LDC) that may be sanctioned with a fine of up to 10% of the total turnover of the infringing company in the fiscal year immediately preceding the imposition of the fine (art. 63.1.c), that is, 2017.</w:t>
      </w:r>
    </w:p>
    <w:p>
      <w:r>
        <w:t xml:space="preserve">The turnover of the infringing companies for the year 2017 is as follows: </w:t>
        <w:br/>
        <w:t xml:space="preserve">Total turnover </w:t>
        <w:br/>
        <w:t xml:space="preserve">Infringing Companies </w:t>
        <w:br/>
        <w:t xml:space="preserve">in 2017 (€) </w:t>
        <w:br/>
        <w:t xml:space="preserve">ACCENTURE 862,995,913 </w:t>
        <w:br/>
        <w:t xml:space="preserve">ATOS 288,564,000 </w:t>
        <w:br/>
        <w:t xml:space="preserve">BABEL 25,356,660 </w:t>
        <w:br/>
        <w:t xml:space="preserve">CIBERNOS 15,400,960 </w:t>
        <w:br/>
        <w:t xml:space="preserve">CONNECTIS 41,219,000 </w:t>
        <w:br/>
        <w:t xml:space="preserve">EVERIS 1,172,492,432 </w:t>
        <w:br/>
        <w:t xml:space="preserve">GESEIN 9,170,544 </w:t>
        <w:br/>
        <w:t xml:space="preserve">IBM 1,572,000,000 </w:t>
        <w:br/>
        <w:t xml:space="preserve">INDRA 1,833,661,000 </w:t>
        <w:br/>
        <w:t xml:space="preserve">NEXT 2,033,050 </w:t>
        <w:br/>
        <w:t>SAG 75,198,151</w:t>
      </w:r>
    </w:p>
    <w:p>
      <w:r>
        <w:t>The sanctioning percentage, which will be applied in this proceeding to the total turnover of each infringing company, must be determined based on the grading criteria of Article 64.1 of the LDC, following the criteria of the jurisprudence of the Supreme Court mentioned in the previous section.</w:t>
      </w:r>
    </w:p>
    <w:p>
      <w:r>
        <w:t>Regarding the characteristics of the affected market (art. 64.1.a), although the relevant market in this case is that of information technology services, the Chamber considers that the market affected by the sanctioned behaviors is limited to the segment of information technology services provided to public administrations.</w:t>
      </w:r>
    </w:p>
    <w:p>
      <w:r>
        <w:t>The joint market share of the companies participating in the conduct (art. 64.1.b) is below 40%.</w:t>
      </w:r>
    </w:p>
    <w:p>
      <w:r>
        <w:t>The geographical market affected by the infringement is the entirety of Spain, which is likely to affect the internal trade of the European Union (art. 64.1.c).</w:t>
      </w:r>
    </w:p>
    <w:p>
      <w:r>
        <w:t>The duration of participation in the conduct (art. 64.1.d) spans at least from 2005 to the time of the inspection in 2015. While the duration of participation of each of the infringing companies varies, it can be stated that it is a long-lasting conduct.</w:t>
      </w:r>
    </w:p>
    <w:p>
      <w:r>
        <w:t>As explained in the fourth legal basis, the existence of effects in the market has been established (art. 64.1.e), consisting of the reduction of competition among the companies participating in public tenders for the contracting of information technology services, with the intention of maintaining their market shares. As a consequence of the agreements between companies, the tendered services have become more expensive, resulting in detriment to public finances, due to the reduction in both the number of participants and the offers submitted, as well as the discounts offered.</w:t>
      </w:r>
    </w:p>
    <w:p>
      <w:r>
        <w:t>Furthermore, it has been taken into account that public administrations may have had some influence in maintaining the agreements, although in no case can the responsibility of the companies be shifted to this fact.</w:t>
      </w:r>
    </w:p>
    <w:p>
      <w:r>
        <w:t>The above criteria allow for a general assessment of the infringement in terms of its sanction, which translates into a general sanctioning rate of 4%.</w:t>
      </w:r>
    </w:p>
    <w:p>
      <w:r>
        <w:t>6.3 Criteria for the individual assessment of the conduct</w:t>
      </w:r>
    </w:p>
    <w:p>
      <w:r>
        <w:t>Regarding the assessment of the conduct of the 11 companies, it is advisable to consider several additional factors so that the sanction reflects their effective participation in the infringement.</w:t>
      </w:r>
    </w:p>
    <w:p>
      <w:r>
        <w:t>To assess the effective dimension of the conduct of each company (art. 64.1.a), the following table includes the number of public administrations affected by the conduct of each of the companies, the number of affected tenders, the awarded lots, and the lots ultimately not awarded but affected by the agreements, and to weigh the previous data, the total amount of the lots awarded to the Temporary Business Associations (UTE) in which each company participated, from which it can be estimated, based on the data from the file, the portion that can be associated with each company. This data allows for the assessment of the participation of each of the companies in the infringement and enables the individualization of the sanctioning rate that corresponds to be applied to them.</w:t>
      </w:r>
    </w:p>
    <w:p>
      <w:r>
        <w:t xml:space="preserve">Amount of the lots </w:t>
        <w:br/>
        <w:t xml:space="preserve">No. of lots awarded to the </w:t>
        <w:br/>
        <w:t xml:space="preserve">Companies Public Admins No. of No. of lots Total No. </w:t>
        <w:br/>
        <w:t xml:space="preserve">not UTE in which </w:t>
        <w:br/>
        <w:t xml:space="preserve">infringing affected tenders awarded of lots </w:t>
        <w:br/>
        <w:t xml:space="preserve">awarded participated the company </w:t>
        <w:br/>
        <w:t xml:space="preserve">(€) </w:t>
        <w:br/>
        <w:t xml:space="preserve">ACCENTURE 1 2 2 1 3 16,935,985 </w:t>
        <w:br/>
        <w:t xml:space="preserve">ATOS 3 9 14 2 16 240,378,659 </w:t>
        <w:br/>
        <w:t xml:space="preserve">BABEL 1 4 3 2 5 57,263,769 </w:t>
        <w:br/>
        <w:t xml:space="preserve">CIBERNOS 3 10 10 0 10 131,372,331 </w:t>
        <w:br/>
        <w:t xml:space="preserve">CONNECTIS 2 6 13 2 15 222,839,716 </w:t>
        <w:br/>
        <w:t xml:space="preserve">EVERIS 2 4 2 2 4 40,303,603 </w:t>
        <w:br/>
        <w:t xml:space="preserve">GESEIN 3 9 8 1 9 70,091,161 </w:t>
        <w:br/>
        <w:t xml:space="preserve">IBM 2 4 4 1 5 42,362,923 </w:t>
        <w:br/>
        <w:t xml:space="preserve">INDRA 4 19 25 4 29 324,736,332 </w:t>
        <w:br/>
        <w:t xml:space="preserve">NEXT 1 4 3 1 4 24,669,263 </w:t>
        <w:br/>
        <w:t>SAG 4 22 28 4 32 331,280,304</w:t>
      </w:r>
    </w:p>
    <w:p>
      <w:r>
        <w:t>The Chamber considers that both INDRA and SAG deserve a greater sanctioning reproach than the other sanctioned companies, due to their status as leaders and instigators of the entire infringement and their participation in all affected tenders.</w:t>
      </w:r>
    </w:p>
    <w:p>
      <w:r>
        <w:t>6.4 Sanctioning rate and adequacy of the sanction</w:t>
      </w:r>
    </w:p>
    <w:p>
      <w:r>
        <w:t>Following the jurisprudence of the Supreme Court, the set of factors presented above – severity of the infringement, characteristics and dimension of the affected market, geographical scope of the conduct, duration and participation of the infringers in the conduct – allows for a specification, within the sanctioning scale that extends up to 10% of the total turnover, of the overall assessment of the unlawful density of the conduct of the companies.</w:t>
      </w:r>
    </w:p>
    <w:p>
      <w:r>
        <w:t>The sanctioning rate that corresponds to be applied to each infringing company, according to the severity and circumstances of the conduct, and with its respective participation in it, is shown in the following table:</w:t>
      </w:r>
    </w:p>
    <w:p>
      <w:r>
        <w:rPr>
          <w:b/>
        </w:rPr>
        <w:t>[Pages 214–216]</w:t>
      </w:r>
    </w:p>
    <w:p>
      <w:r>
        <w:t xml:space="preserve">Sanction type  </w:t>
        <w:br/>
        <w:t xml:space="preserve">Infringing companies (% of total turnover)  </w:t>
        <w:br/>
        <w:t xml:space="preserve">ACCENTURE 2.1  </w:t>
        <w:br/>
        <w:t xml:space="preserve">ATOS 5.0  </w:t>
        <w:br/>
        <w:t xml:space="preserve">BABEL 2.5  </w:t>
        <w:br/>
        <w:t xml:space="preserve">CIBERNOS 4.0  </w:t>
        <w:br/>
        <w:t xml:space="preserve">CONNECTIS 4.5  </w:t>
        <w:br/>
        <w:t xml:space="preserve">EVERIS 2.5  </w:t>
        <w:br/>
        <w:t xml:space="preserve">GESEIN 3.5  </w:t>
        <w:br/>
        <w:t xml:space="preserve">IBM 2.7  </w:t>
        <w:br/>
        <w:t xml:space="preserve">INDRA 7.8  </w:t>
        <w:br/>
        <w:t xml:space="preserve">NEXT 2.3  </w:t>
        <w:br/>
        <w:t>SAG 8.0</w:t>
      </w:r>
    </w:p>
    <w:p>
      <w:r>
        <w:t>However, although the sanction type is proportional to the characteristics of the collusive conduct and to a company's participation in the infringement, if applied to the total turnover of multi-product companies – that is, companies that present a high proportion of their activity outside the affected market – it could result in a disproportionate sanction.</w:t>
      </w:r>
    </w:p>
    <w:p>
      <w:r>
        <w:t>To assess the proportionality element of the sanctions, it is necessary to estimate the illicit benefit that the infringing company could have obtained from the conduct under very prudent assumptions186 and apply a deterrent incremental factor.</w:t>
      </w:r>
    </w:p>
    <w:p>
      <w:r>
        <w:t>For these reasons, and according to the estimates made, the sanction type that would correspond to ACCENTURE according to the severity of the conduct and its participation in the infringement (2.1%) is not applied, but rather a sanction that is considered proportional and sufficiently deterrent of 300,000 euros.</w:t>
      </w:r>
    </w:p>
    <w:p>
      <w:r>
        <w:t>The same applies in the case of ATOS, to which the sanction type of 5.0% that would correspond to it is not applied, but rather a sanction considered proportional and sufficiently deterrent of 5,000,000 euros.</w:t>
      </w:r>
    </w:p>
    <w:p>
      <w:r>
        <w:t>186 These assumptions refer to various economic parameters, such as the profit margin of companies under competitive conditions, the price increase resulting from the infringement, and the price elasticity of demand in the relevant market. The assumptions made are based on data from the infringing companies themselves or on public databases related to the relevant market, such as the sectoral ratios of non-financial companies from the Bank of Spain.</w:t>
      </w:r>
    </w:p>
    <w:p>
      <w:r>
        <w:t>Likewise, the sanction type that would correspond to EVERIS according to the severity and characteristics of the infringement (2.5%) is not applied, but rather a proportional and deterrent sanction of 800,000 euros.</w:t>
      </w:r>
    </w:p>
    <w:p>
      <w:r>
        <w:t>Neither is the sanction type determined for IBM as seen in previous sections (2.7%) applied, but rather a proportional and deterrent sanction of 940,000 euros.</w:t>
      </w:r>
    </w:p>
    <w:p>
      <w:r>
        <w:t>Finally, a sanction that is considered proportional and deterrent of 13,500,000 euros is imposed on INDRA, instead of applying the previously determined sanction type of 7.80%.</w:t>
      </w:r>
    </w:p>
    <w:p>
      <w:r>
        <w:t xml:space="preserve">Therefore, the sanctions that correspond to be imposed on the infringing companies are as follows:  </w:t>
        <w:br/>
        <w:t xml:space="preserve">Infringing companies  Sanction  </w:t>
        <w:br/>
        <w:t xml:space="preserve">ACCENTURE 300,000  </w:t>
        <w:br/>
        <w:t xml:space="preserve">ATOS 5,000,000  </w:t>
        <w:br/>
        <w:t xml:space="preserve">BABEL 633,917  </w:t>
        <w:br/>
        <w:t xml:space="preserve">CIBERNOS 616,038  </w:t>
        <w:br/>
        <w:t xml:space="preserve">CONNECTIS 1,854,855  </w:t>
        <w:br/>
        <w:t xml:space="preserve">EVERIS 800,000  </w:t>
        <w:br/>
        <w:t xml:space="preserve">GESEIN 320,969  </w:t>
        <w:br/>
        <w:t xml:space="preserve">IBM 940,000  </w:t>
        <w:br/>
        <w:t xml:space="preserve">INDRA 13,500,000  </w:t>
        <w:br/>
        <w:t xml:space="preserve">NEXT 46,760  </w:t>
        <w:br/>
        <w:t>SAG 6,015,852</w:t>
      </w:r>
    </w:p>
    <w:p>
      <w:r>
        <w:t>In accordance with all the above, the Competition Chamber of the National Commission of Markets and Competition</w:t>
      </w:r>
    </w:p>
    <w:p>
      <w:r>
        <w:t xml:space="preserve">RESOLVES  </w:t>
        <w:br/>
        <w:t xml:space="preserve">First. To declare a very serious infringement of Articles 1 of Law 15/2007 and 101 of the TFEU, constituting a cartel, in the terms established in the Fourth Legal Basis.  </w:t>
        <w:br/>
        <w:t xml:space="preserve">Second. To declare ACCENTURE S.L. and jointly and severally ACCENTURE OUTSOURCING SERVICES S.A.; ATOS SPAIN S.A.; BABEL SISTEMAS DE INFORMACIÓN S.L.; CIBERNOS CONSULTING S.A.; CONNECTIS ICT SERVICES S.A.; EVERIS SPAIN S.L.; GESEIN S.L.; INTERNATIONAL BUSINESS MACHINES S.A.; INDRA SISTEMAS S.A.; NEXT COMPUTER SERVICES S.A.; and SOFTWARE AG ESPAÑA S.A. responsible for said infringement.  </w:t>
        <w:br/>
        <w:t xml:space="preserve">Third. In accordance with the responsibility of each company in the infringement referred to in the previous resolve, the following sanctions are imposed:  </w:t>
        <w:br/>
        <w:t xml:space="preserve">- ACCENTURE S.L. and ACCENTURE OUTSOURCING SERVICES S.A., jointly and severally: 300,000 euros  </w:t>
        <w:br/>
        <w:t xml:space="preserve">- ATOS SPAIN S.A.: 5,000,000 euros  </w:t>
        <w:br/>
        <w:t xml:space="preserve">- BABEL SISTEMAS DE INFORMACIÓN S.L.: 633,917 euros  </w:t>
        <w:br/>
        <w:t xml:space="preserve">- CIBERNOS CONSULTING S.A.: 616,038 euros  </w:t>
        <w:br/>
        <w:t xml:space="preserve">- CONNECTIS ICT SERVICES S.A.: 1,854,855 euros  </w:t>
        <w:br/>
        <w:t xml:space="preserve">- EVERIS SPAIN S.L.: 800,000 euros  </w:t>
        <w:br/>
        <w:t xml:space="preserve">- GESEIN S.L.: 320,969 euros  </w:t>
        <w:br/>
        <w:t xml:space="preserve">- INTERNATIONAL BUSINESS MACHINES S.A.: 940,000 euros  </w:t>
        <w:br/>
        <w:t xml:space="preserve">- INDRA SISTEMAS S.A.: 13,500,000 euros  </w:t>
        <w:br/>
        <w:t xml:space="preserve">- NEXT COMPUTER SERVICES S.A.: 46,760 euros  </w:t>
        <w:br/>
        <w:t>- SOFTWARE AG ESPAÑA S.A.: 6,015,852 euros</w:t>
      </w:r>
    </w:p>
    <w:p>
      <w:r>
        <w:t>Fourth. To declare that the participation of the companies ALDEBARAN TECNOLOGÍAS DE LA INFORMACIÓN, S.L., AXPE CONSULTING, S.L., INDRA SOFTWARE LABS, S.L., and INFORMÁTICA EL CORTE INGLÉS, S.A., in the facts analyzed in this file, does not constitute, for the purposes of this resolution, an infringement of Articles 1 of the LDC and 101 of the TFEU.</w:t>
      </w:r>
    </w:p>
    <w:p>
      <w:r>
        <w:rPr>
          <w:b/>
        </w:rPr>
        <w:t>[Pages 217–219]</w:t>
      </w:r>
    </w:p>
    <w:p>
      <w:r>
        <w:t>Fifth. To urge the infringing companies to refrain in the future from engaging in conduct similar to that typified and sanctioned in this resolution.</w:t>
      </w:r>
    </w:p>
    <w:p>
      <w:r>
        <w:t>Sixth. To instruct the Competition Directorate of this National Commission of Markets and Competition to monitor the full compliance with this resolution.</w:t>
      </w:r>
    </w:p>
    <w:p>
      <w:r>
        <w:t>Seventh. To resolve on the confidentiality regarding the documentation provided by the companies in accordance with what is stated in the Legal Basis 5.14.</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t>Particular vote formulated by the councilor Ms. María Pilar Canedo in the file S/DC/0565/15 - Bids for software applications</w:t>
      </w:r>
    </w:p>
    <w:p>
      <w:r>
        <w:t>In the exercise of the authority conferred upon me by Article 11.3 of the Internal Operating Regulations of the CNMC, and with the utmost respect for the opinion of the majority of the Competition Chamber of the CNMC, I formulate this concurrent particular vote regarding the legal qualification of the facts recorded in the resolution, but disagreeing on the subjective scope of the conduct and the amount of the imposed sanction.</w:t>
      </w:r>
    </w:p>
    <w:p>
      <w:r>
        <w:t>Reasons</w:t>
      </w:r>
    </w:p>
    <w:p>
      <w:r>
        <w:t>1. This file considers the existence of an infringement of Article 1 of the LDC and Article 101 of the TFEU to be proven, consisting of the design -or participation in it- of a common strategy for the allocation of tenders from various Spanish administrations in the technological services sector. The agreement involves the alteration of prices and other commercial conditions, as well as the exchange of sensitive commercial information, aimed at restricting competition for their own benefit to maintain a market-sharing situation. The first proven practices date back to 2005, and some of the contracts affected by the conduct are still in force today.</w:t>
      </w:r>
    </w:p>
    <w:p>
      <w:r>
        <w:t>The file considers the existence of a single and continuous infringement for which two companies -INDRA and SAG- are deemed responsible or instigators. It is also considered that a group of companies -ACCENTURE, ATOS, BABEL, CIBERNOS, CONNECTIS, EVERIS, GESEIN, and NEXT- participate in the market-sharing with limited responsibility. Finally, it is considered that, regarding a group of companies -ALDEBARAN, AXPE, and IECIE-, there is insufficient evidence of their participation in the infringement being judged.</w:t>
      </w:r>
    </w:p>
    <w:p>
      <w:r>
        <w:t>This councilor fully subscribes to the description of the proven facts and considers that they unequivocally demonstrate the existence of an infringement. She also shares the solid legal construction that leads to the qualification of the same and considers that it combines rigor in the application of sanctioning norms with sufficient guarantees of the right to the presumption of innocence.</w:t>
      </w:r>
    </w:p>
    <w:p>
      <w:r>
        <w:t>However, I believe that the initiation and subsequent processing of this file suffers from a lack concerning the parties that have committed the infringement. This is so because, in the description of the analyzed facts, there are indications that I consider sufficient of the intervention of some public bodies (and/or those responsible for them) in the infringing conduct, which should have led to their inclusion in the file, initiating it regarding them in their capacity as potential facilitators of the conduct.</w:t>
      </w:r>
    </w:p>
    <w:p>
      <w:r>
        <w:t>2. Numerous paragraphs included in the proven facts of the resolution would point to a potential participation of the administration in several of the contracts allocated by the companies.</w:t>
      </w:r>
    </w:p>
    <w:p>
      <w:r>
        <w:t>For example, in the case of the AEAT:</w:t>
      </w:r>
    </w:p>
    <w:p>
      <w:r>
        <w:t>Paragraph of the Location of the Evidence</w:t>
        <w:br/>
        <w:t>proven facts evidence</w:t>
        <w:br/>
        <w:t>27 Email from SAG "The AEAT has issued a document that captures quite well the knowledge of the people we have located there from the four companies, and in our case, there are 31 people of which 11 are subcontracted."</w:t>
        <w:br/>
        <w:t>28 Email from Indra "We have developed the profiles together with the client and in the document they have put exactly the models that we sent them188." "The client has been consulted about the advisability of the same (referring to the UTE) and would like to give it continuity" (folio 9274)</w:t>
        <w:br/>
        <w:t>30 Email from Indra "We have managed to present only our UTE because the Client wanted continuity and a document focused on the continuity of the current resources" (folios 8409 and 9639).</w:t>
        <w:br/>
        <w:t>35 Email from Cibernos to There is talk of a meeting with the Deputy Director General "as agreed, SAG in case they had prepared data regarding the budget and some other information about the tender."</w:t>
        <w:br/>
        <w:t>40 Email from SAG "They have prepared the tender for the four companies of the UTE"</w:t>
        <w:br/>
        <w:t>56 SAG, INDRA, The meeting took place in a strategic location "in case later CIBERNOS and IBM they had to see XX" (an employee of the AEAT and member of the table regarding this tender) (folios 6660, 845, and 846).</w:t>
        <w:br/>
        <w:t>60 Email from Indra The AEAT has decided that it will be divided into two lots to promote competition, and that each company should bid for its lot. It has suggested that it be split into CIBERNOS-SAG (lot 1) and INDRA-IBM (lot 2)" (folios 9167 and 9168).</w:t>
        <w:br/>
        <w:t>63 Email from Indra to 7.- In the case of INDRA/IBM if the model is finally SAG, Cibernos and IBM it is necessary to explain it to XXX/AEAT."</w:t>
        <w:br/>
        <w:t>66 Email from Indra "In the previous tenders, no offers were submitted except for ours. We have developed the profiles together with the client and in the document they have put exactly the models that we sent them.</w:t>
        <w:br/>
        <w:t>70 Meeting of 4 companies Meeting of the administration for the set of lots 1 and 2 with AEAT employee the members of the two UTEs</w:t>
      </w:r>
    </w:p>
    <w:p>
      <w:r>
        <w:t>Regarding the GISS</w:t>
      </w:r>
    </w:p>
    <w:p>
      <w:r>
        <w:t>Paragraph of the Location of the Evidence</w:t>
        <w:br/>
        <w:t>proven facts evidence</w:t>
        <w:br/>
        <w:t>77 Email from Connectis Evidence that the companies have detailed information about the to ATOS, SAG and Indra contract before its publication</w:t>
        <w:br/>
        <w:t>102 Reference to the Requirement to present a pre-agreement for subcontracting in case documents of other companies submit CVs.</w:t>
        <w:br/>
        <w:t>109 Email from Indra "From GISS they want us to help them make the documents to start the administrative process"</w:t>
        <w:br/>
        <w:t>110 Report from Indra "for the client's own interest and current positioning we have agreed with SAG to present ourselves in UTE in the lots in which we have a presence. We are collaborating with the GISS in the preparation of the report"</w:t>
        <w:br/>
        <w:t>188 It should be clarified that the companies refer to the different administrations as the "client."</w:t>
      </w:r>
    </w:p>
    <w:p>
      <w:r>
        <w:rPr>
          <w:b/>
        </w:rPr>
        <w:t>[Pages 220–222]</w:t>
      </w:r>
    </w:p>
    <w:p>
      <w:r>
        <w:t>115 Indra Report "There is a working group formed by Indra and SAG that has collaborated with the GISS in drafting the report and subsequent specifications, and that will continue for the management of the opportunity and development of the offer. The report is going through the commissions of the GISS and the MEySS for acceptance and is currently in a presentation cycle; it is expected to be approved by the Council of Ministers in April. The main problem is that the Ministry has finally demanded that the weight of the amount be 60%, a very aggressive criterion that distributes points by directly comparing discounts. A significant technical solvency has been established, but it is achievable by the main competing companies, but it requests more than 100 CVs with experience and requires a minimum technical score to proceed to the reading of the economic proposal."</w:t>
      </w:r>
    </w:p>
    <w:p>
      <w:r>
        <w:t>Regarding the SEPE</w:t>
        <w:br/>
        <w:t>Paragraph of the Evidence Location</w:t>
        <w:br/>
        <w:t>proven facts</w:t>
        <w:br/>
        <w:t>226-230 Email from SAG It reveals that the companies have in their possession the contracting specifications that the entity is working with.</w:t>
      </w:r>
    </w:p>
    <w:p>
      <w:r>
        <w:t>Regarding the INSS</w:t>
        <w:br/>
        <w:t>Paragraph of the Evidence Location</w:t>
        <w:br/>
        <w:t>proven facts</w:t>
        <w:br/>
        <w:t>270 Email from Indra It reveals that the companies have in their possession the contracting specifications that the entity is working with.</w:t>
        <w:br/>
        <w:t>273 Email from SAG "The tender is technologically marked since we have influenced for the CVs to require experience in..."</w:t>
        <w:br/>
        <w:t>301 Email from Indra "by express indication of the client, a continuity UTE with SAG, ATOS, INDRA, and CIBERNOS will be proposed. It has been decided not to dispense with ATOS since the client has suggested continuity very clearly."</w:t>
        <w:br/>
        <w:t>305 Email from Indra It is reported that they maintain the UTE configuration with SAG, ATOS, and CIBERNOS "by express indication of the client" (folio 7194).</w:t>
        <w:br/>
        <w:t>311 Email from SAG Furthermore, they are considering asking for the INSS's opinion, to know if they want them to present to any "or expressly wish that we are not bothersome competitors" (folios 9968 and 9969).</w:t>
      </w:r>
    </w:p>
    <w:p>
      <w:r>
        <w:t>3. From the facts presented, it is clearly deduced that the contracting administration could be aware of the existence of market sharing and that it could have played an active role in it. That is to say, we are faced with a situation where entities that do not operate in the market affected by the conduct may nevertheless have decisively influenced its execution. Two questions therefore arise in this case. First, whether the attribution of a non-participating entity in the market as a facilitator of a cartel is possible, and second, whether the administration could be attributed responsibility in a sanctioning procedure for the analyzed facts.</w:t>
      </w:r>
    </w:p>
    <w:p>
      <w:r>
        <w:t>4. The issue of the participation of an entity as a facilitator of a competition infringement refers to the possibility of admitting in sanctioning Administrative Law the attribution of responsibility regardless of the condition of author of an infringement. Although the LDC does not expressly include (contrary to what happens in other sectoral legislations) figures of participation in an infringement different from authorship -given that the instigator contained in Article 64.2.b) is an aggravating factor that applies to the authors of the conduct- the Spanish Supreme Court has recognized that participation in economic activity can occur in different degrees and forms. This is affirmed by the Third Chamber of the Supreme Court in its Judgment of July 18, 2016, which confirms the resolution of the CNC in which it was considered that the Ministry of Agriculture of the Junta de Andalucía was responsible as a facilitator of the sanctioned cartel, taking into account its active role that went beyond its own functions. In fact, the Supreme Court considers that participation in economic activity and in the infringement of Article 1 LDC does not exclude traditional categories of criminal law such as instigator or inducer, necessary collaborator, etc. In the same vein, the Treuhand I Judgment of the then Court of First Instance of the European Union established that any operator -natural or legal person- regardless of whether they participate or not in the market affected by the infringement must be considered a facilitator of the conduct and therefore responsible for it if they contribute decisively and actively to the execution of the anticompetitive practice. In a similar case -the so-called Treuhand II- it is analyzed whether it is required or not that the facilitator of the cartel operates actively as a company, whether in the market affected by the conduct or in another related one. In the aforementioned case, a judgment was issued by the now General Court in which it is stated that this requirement cannot be established. Although this judgment was appealed, the Court of Justice dismissed the appeal filed by the company, fully confirming the previous resolution. It must therefore be concluded that both the Court of Justice of the European Union and the Spanish Supreme Court have confirmed the possibility of declaring the responsibility of an entity as a facilitator in a cartel, even if it does not operate in the affected market or in related markets, as long as it contributes decisively and actively to the execution of an anticompetitive conduct.</w:t>
      </w:r>
    </w:p>
    <w:p>
      <w:r>
        <w:t>5. In this case, the controversy also arises as to whether the administration, in the corresponding personification in each case, can or cannot be considered an economic operator when, in compliance with its own functions, it opens a public procurement procedure that allows economic operators competing in the market to submit offers to achieve their selection with a view to providing the aforementioned service. There is no doubt that when the administration acts as an economic operator, its actions are subject to competition law. It should be noted that the broad concept of economic operator used in competition regulation refers to any entity that carries out an economic activity regardless of its legal status and its mode of financing. It can be questioned whether the administration fits into that broad concept in the case of public procurement. There can be no doubt that competition is, precisely, one of the principles that the Law considers should inspire the procurement process and the administration has the obligation to guarantee its respect. Not in vain, Article 1 of the Contracts Law, which establishes the object and purpose of the Law, maintains that it must guarantee the principles of freedom of access to tenders; publicity and transparency of procedures, and non-discrimination and equal treatment among bidders as well as ensuring an efficient use of public funds by requiring the prior definition of the needs to be met, safeguarding free competition and selecting the economically most advantageous offer. Likewise, it must be questioned whether, in the event that it is understood that the administration is not considered an operator in this case, it is or is not subject to competition regulations and can be considered a participant in the infringement. At this moment, it cannot be doubted that the exercise of a public power does not exempt the administration from compliance with legality and, consequently, from the application of competition defense norms. In the previously cited 2016 Judgment, the Supreme Court considered that the administration should be held responsible for the sanctioned cartel, even though it did not act as an economic operator, taking into account that its role was active and went beyond its own functions. That is to say, the scope of application of competition regulations would not be determined by the concept of company or economic operator, but by the capacity of the conduct carried out to cause "an economically harmful result."</w:t>
      </w:r>
    </w:p>
    <w:p>
      <w:r>
        <w:rPr>
          <w:b/>
        </w:rPr>
        <w:t>[Pages 223–224]</w:t>
      </w:r>
    </w:p>
    <w:p>
      <w:r>
        <w:t>restrictive of competition in the market." In the same vein, the Supreme Court has established that "in the field of Competition Law, a broad and functional concept of enterprise operates, such that what is relevant is not the legal economic status of the subject performing the conduct but whether their conduct has caused or is capable of causing an economically harmful or restrictive result on competition in the market"195.</w:t>
      </w:r>
    </w:p>
    <w:p>
      <w:r>
        <w:t>6. In the opinion of this councilor, following the aforementioned jurisprudence, the legal status of the offender and whether or not they act as an economic operator are not determining factors for assessing the existence of an infringement, so it would not be necessary to define whether in the specific case the entity falls within the category of economic operator. What is relevant is the actual impact of the entity's conduct in the market or the suitability of the administrative action to promote, generate, or reinforce the restrictive effects of the collusion in which it participates. This should be understood considering that neither Article 1 nor Article 61 of the LDC stipulate that only companies can engage in collusive conduct. The fact that Article 63 refers to economic agents and companies is due to the fact that the provision determines the maximum amount of sanctions related to a percentage of their turnover, "a criterion that, certainly, is not appropriate when the conduct is reproached to an administration or public legal entity; which does not exclude, however, that it may have engaged in prohibited conduct as defined in Article 1 of the Law itself" (STS of 2016). Therefore, the fact that any of the participants in a restrictive competition practice did not have the status of an economic operator should not necessarily be considered a cause of non-accountability that excludes the possibility of assessing the subjective element of the type.</w:t>
      </w:r>
    </w:p>
    <w:p>
      <w:r>
        <w:t>7. It seems clear that in the case at hand, there are indications that all the requirements established by the cited rulings could be met to consider that the different personifications of the administration could have engaged in conduct facilitating the cartel among the companies, so they should have been included in the initiation, being given the opportunity to defend themselves to determine whether any of them "played a relevant role in the distortion of the market and the disruption of competition."</w:t>
      </w:r>
    </w:p>
    <w:p>
      <w:r>
        <w:t>8. Nothing in this consideration questions the responsibility of the companies in the conduct.</w:t>
      </w:r>
    </w:p>
    <w:p>
      <w:r>
        <w:t>195 Judgment of the Supreme Court of March 9, 2015, Appeal 294/2013, regarding the Resolution of the CNC of April 14, 2009 (ECLI: ES:TS:2015:800) (File 639/09, College of Pharmacists of Castilla la Mancha accessible at https://www.cnmc.es/expedientes/63908).</w:t>
      </w:r>
    </w:p>
    <w:p>
      <w:r>
        <w:t>As the resolution adequately argues, the conduct of the administration cannot generate legitimate trust since it has been proven that the companies were aware of the unlawfulness of their conduct and took advantage of the possible connivance of the administrations to distribute the contracts in a manner more favorable to their own interests and to the detriment of competitors196.</w:t>
      </w:r>
    </w:p>
    <w:p>
      <w:r>
        <w:t>9. The jurisprudence of our Courts, understood as both national and those of the European Union, has repeatedly specified that there are two fundamental principles that must inspire the application of the regulations to determine the amount of sanctions: their deterrent effect and respect for the proportionality of the imposed fine concerning the infringement committed and the circumstances in which it is implemented. In determining the amounts of the sanctions to the companies, "it has been taken into account that public administrations may have had some impact on maintaining the agreements." It is commonly accepted (and taken into account in the resolution) that the severity of the conduct is greater, precisely, due to its relation to public procurement. In the opinion of this councilor, a possible connivance or passivity of the administration would have precisely simplified or ensured the conduct by the companies. For this reason, if the administrations and their responsible parties had been considered participants in the infringement, not only would the deterrent effect of the resolution be multiplied, but the aforementioned modulation in the amount of the sanction would be meaningless. In this sense, I issue this particular vote. Signed: María Pilar Canedo Arrillaga</w:t>
      </w:r>
    </w:p>
    <w:p>
      <w:r>
        <w:t>196 Regarding the interpretation of the principle of legitimate trust in the EU (not entirely coinciding with the content in Spanish law), the General Court validated this approach in the Judgment of December 13, 2006, Joined Cases T-217/03 and T-245/03 (ECLI:EU:T:2006:391). The judgment was appealed in cassation, although the appeals were dismissed. In the same vein, the Judgment of the Court of Justice of June 18, 2013, Case Schenker C-681/11 (ECLI:EU:C:2013:404) which in paragraph 41 establishes "However, no one can invoke the violation of the principle of protection of legitimate trust if the competent Administration has not given them specific guarantees (see the judgments of March 17, 2011, AJD Tuna, C-221/09, Rec. p. I-1655, paragraph 72, and of March 14, 2013, Agrargenossenschaft Neuzelle, C-545/11, paragraph 25). It follows that the legal opinion of a lawyer cannot in any case generate in the entrepreneur a legitimate trust that their behavior does not infringe Article 101 TFEU or that it will not lead to the imposition of a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