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https://www.cnmc.es/expedientes/sdc056715</w:t>
      </w:r>
    </w:p>
    <w:p>
      <w:r>
        <w:t>Pages translated : 7</w:t>
      </w:r>
    </w:p>
    <w:p/>
    <w:p>
      <w:r>
        <w:rPr>
          <w:b/>
        </w:rPr>
        <w:t>[Pages 1–3]</w:t>
      </w:r>
    </w:p>
    <w:p>
      <w:r>
        <w:t>JURISPRUDENCE</w:t>
        <w:br/>
        <w:t>Roj: SAN 3465/2023 - ECLI:ES:AN:2023:3465</w:t>
        <w:br/>
        <w:t>Id Cendoj:28079230062023100503</w:t>
        <w:br/>
        <w:t>Body: National Court. Contentious Chamber</w:t>
        <w:br/>
        <w:t>Location: Madrid</w:t>
        <w:br/>
        <w:t>Section: 6</w:t>
        <w:br/>
        <w:t>Date: 06/28/2023</w:t>
        <w:br/>
        <w:t>Case Number: 664/2017</w:t>
        <w:br/>
        <w:t>Resolution Number:</w:t>
        <w:br/>
        <w:t>Procedure: Ordinary procedure</w:t>
        <w:br/>
        <w:t>Rapporteur: MIGUEL DE LOS SANTOS GANDARILLAS MARTOS</w:t>
        <w:br/>
        <w:t>Type of Resolution: Judgment</w:t>
        <w:br/>
        <w:t>NATIONAL COURT</w:t>
        <w:br/>
        <w:t>Contentious-Administrative Chamber</w:t>
        <w:br/>
        <w:t>SECTION SIX</w:t>
        <w:br/>
        <w:t>Case Number: 0000664 /2017</w:t>
        <w:br/>
        <w:t>Type of Appeal: ORDINARY PROCEDURE</w:t>
        <w:br/>
        <w:t>General Registry Number: 05855/2017</w:t>
        <w:br/>
        <w:t>Plaintiff: HEALTH MARKET RESEARCH S.L.</w:t>
        <w:br/>
        <w:t>Procurator: DOÑA SHARON RODRÍGUEZ DE CASTRO RINCON</w:t>
        <w:br/>
        <w:t>Defendant: NATIONAL COMMISSION OF MARKETS AND COMPETITION</w:t>
        <w:br/>
        <w:t>Co-defendant: IQVIA INFORMATION SA</w:t>
        <w:br/>
        <w:t>State Attorney</w:t>
        <w:br/>
        <w:t>Rapporteur Hon. Mr.: D. SANTOS GANDARILLAS MARTOS</w:t>
        <w:br/>
        <w:t>JUDGMENT NO.:</w:t>
        <w:br/>
        <w:t>Hon. Mr. President:</w:t>
        <w:br/>
        <w:t>D. FRANCISCO DE LA PEÑA ELIAS</w:t>
        <w:br/>
        <w:t>Hon. Sirs. Magistrates:</w:t>
        <w:br/>
        <w:t>D. SANTOS GANDARILLAS MARTOS</w:t>
        <w:br/>
        <w:t>Dª. MARIA JESUS VEGAS TORRES</w:t>
        <w:br/>
        <w:t>Madrid, on the twenty-eighth of June two thousand twenty-three.</w:t>
        <w:br/>
        <w:t>This case has been seen before this Sixth Section of the Contentious-Administrative Chamber of the National Court under number 664/2017, the contentious-administrative appeal filed by HEALTH MARKET RESEARCH S.L. represented by procurator Doña Sharon Rodríguez, against the agreement of the Competition Chamber of the National Commission of Markets and Competition dated November 13, 2017, within the framework of the sanctioning file S/DC/0567/15 MARKET STUDIES PHARMACEUTICAL INDUSTRY.</w:t>
        <w:br/>
        <w:t>The General State Administration has been a party represented by the State Attorney.</w:t>
        <w:br/>
        <w:t>FACTUAL BACKGROUND</w:t>
        <w:br/>
        <w:t>1</w:t>
      </w:r>
    </w:p>
    <w:p>
      <w:r>
        <w:t>JURISPRUDENCE</w:t>
        <w:br/>
        <w:t>FIRST.- The plaintiff filed a contentious-administrative appeal through a written submission presented in the terms expressed in the heading, agreeing to its admission by decree, and with a request for the administrative file.</w:t>
        <w:br/>
        <w:t>SECOND.- The complaint was formalized through a written document in which, after alleging the relevant facts and grounds, it concluded by pleading: “[(i) Declare that the Resolution of July 13, 2017, which concludes the conventional termination procedure initiated at the request of IMS in file S/DC/0567/15, is not in accordance with the law because the conventional termination procedure is not applicable. (ii) Alternatively, declare that the Resolution of July 13, 2017, which concludes the conventional termination procedure initiated at the request of IMS in file S/DC/0567/15, Market Studies Pharmaceutical Industry, is not in accordance with the law because it contains commitments proposed by IMS and approved by the CNMC, in violation of Article 102 TFEU and its applicable jurisprudence. (iii) Declare that the Resolution of July 13, 2017, which concludes the conventional termination procedure initiated at the request of IMS in file S/DC/0567/15, Market Studies Pharmaceutical Industry, is not in accordance with the law because it violates Article 52 LDC by not adequately and sufficiently resolving the identified competition issues nor sufficiently guaranteeing the public interest. (iv) Finally, and if this Chamber deems it appropriate, order the CNMC to resume the processing of the administrative file in order to properly investigate the price reduction clause. [...]”</w:t>
        <w:br/>
        <w:t>THIRD.- The State Attorney, in his written response to the complaint, requests the dismissal of the appeal.</w:t>
        <w:br/>
        <w:t>FOURTH.- Once the case was received for evidence, after the conclusion phase, it was pending scheduling for voting and judgment.</w:t>
        <w:br/>
        <w:t>FIFTH.- The present appeal has been scheduled for voting and judgment on June 14 of the current year, on which date it was indeed deliberated and voted, after the rapporteur magistrate of the cases concluded in 2 and 4 requested from the Section's Secretariat a list of pending appeals, which has not been available to date.</w:t>
        <w:br/>
        <w:t>The rapporteur has been Hon. Mr. Santos Gandarillas Martos, who expresses the opinion of the Chamber.</w:t>
        <w:br/>
        <w:t>LEGAL GROUNDS</w:t>
        <w:br/>
        <w:t>FIRST.- The object of the present contentious-administrative appeal is the resolution of the Competition Chamber of the Council of the National Commission of Markets and Competition (CNMC) dated November 13, 2017, by which it was agreed, under the provisions of Article 52 of Law 15/2007, of July 3, on the Defense of Competition (LDC), the conventional termination of the sanctioning file S/0567/15 INFORMATION SERVICES PHARMACEUTICAL INDUSTRY, declaring the commitments presented by IMS HEALTH, S.A., included in the Annex accompanying the resolution, adequate and binding, which must be fulfilled according to the interpretation contained therein.</w:t>
        <w:br/>
        <w:t>We can highlight the following relevant background for the resolution of the dispute:</w:t>
        <w:br/>
        <w:t>1.- On April 27, 2015, HEALTH MARKET RESEARCH ESPAÑA, S.L. (hereinafter HMR) filed a complaint with the Directorate of Competition (DC) against IMS HEALTH, S.A. (hereinafter IMS), for an alleged prohibited conduct consisting of an abuse of dominant position in relation to the activity of supplying sales information to the pharmaceutical industry, imposing on pharmaceutical distributors a prohibition or, at least, significant limitations on the supply of data to other operators, with the purpose and effect of reserving exclusive access to its sales data.</w:t>
        <w:br/>
        <w:t>2.- According to the provisions of paragraph 2 of Article 49 of the LDC, the DC initiated a reserved inquiry to preliminarily determine the existence of circumstances justifying the initiation of the sanctioning file.</w:t>
        <w:br/>
        <w:t>3.- On June 19, 2015, the DC requested information from the PHARMACEUTICAL FEDERATION, S.C.L. (FEDEFARMA), ANDALUSIAN COOPERATIVE PHARMACEUTICAL CENTER (CECOFAR), SPANISH PHARMACEUTICAL COOPERATIVE (COFARES), ALLIANCE HEALTHCARE GROUP (ALLIANCE), and MEDITERRANEAN PHARMACEUTICAL BROTHERHOOD, S.C.L (HEFAME), companies engaged in the wholesale distribution of medicines and pharmaceutical products, to inform about the market for supplying sales and distribution information of medicines and pharmaceutical products as well as their contractual situation with IMS.</w:t>
        <w:br/>
        <w:t>2</w:t>
      </w:r>
    </w:p>
    <w:p>
      <w:r>
        <w:t>JURISPRUDENCE</w:t>
        <w:br/>
        <w:t>The requests were duly answered by the companies.</w:t>
        <w:br/>
        <w:t>4.- On October 6, 2015, the DC requested HMR information about its relationships with pharmaceutical distributor companies and information about its market shares in Spain. The response to this request for information was received on October 26, 2015.</w:t>
        <w:br/>
        <w:t>5.- On October 19, 2015, a request for information was sent to CENTRO FARMACÉUTICO, S.L. (CENTRO FARMACÉUTICO), ANDALUSIAN PHARMACEUTICAL COOPERATIVE (COFARAN), ARAGONESE PHARMACEUTICAL COOPERATIVE (currently known as NOVALTIA, S. Coop.), ASTURIAN PHARMACEUTICAL COOPERATIVE (COFARAS), and CANARY PHARMACEUTICAL COOPERATIVE (COFARCA), to provide information about the market for supplying sales information of medicines and pharmaceutical products and about their contractual situation with IMS and the scope thereof. The requests were duly answered by the companies.</w:t>
        <w:br/>
        <w:t>6.- On October 19, 2015, the DC sent a letter to the GENERAL COUNCIL OF OFFICIAL PHARMACEUTICAL COLLEGES (CGCOF), requesting information related to the market for supplying sales information of medicines and pharmaceutical products related to pharmacies, and whether they maintained a commercial relationship with IMS or other companies active in this sector. The response was completed.</w:t>
        <w:br/>
        <w:t>7.- On November 13, 2015, a new complaint from HMR against SPANISH PHARMACEUTICAL COOPERATIVE (COFARES), COOPERATIVE PHARMACEUTICAL CENTER (CECOFAR), MEDITERRANEAN PHARMACEUTICAL BROTHERHOOD, S.C.R.L. (HEFAME), FARMANOVA COOPERATIVE GROUP (FARMANOVA), PHARMACEUTICAL FEDERATION (FEDEFARMA), XEFAR PHARMACEUTICAL COOPERATIVE (XEFAR), UNYCOP, and IMS was received, indicating that some companies that develop pharmacy management software, also known as "software houses," controlled by these cooperatives, and IMS, could be carrying out a series of anticompetitive practices, in order to prevent HMR from entering Spain regarding the sales data provided directly by pharmacies.</w:t>
        <w:br/>
        <w:t>8.- A sanctioning file was also opened, in accordance with the provisions of paragraph 1 of Article 49 of the LDC, against IMS, for prohibited conduct under Article 2 of the LDC and 102 of the TFEU, consisting of an abuse of its dominant position in the market for supplying data information to the pharmaceutical industry.</w:t>
        <w:br/>
        <w:t>9.- On January 19, 2016, a request was made to IMS for information about the functioning of the market for supplying sales and distribution information of pharmaceutical products, information about the contracts it maintains with wholesale pharmaceutical distributors, as well as information about this market in relation to pharmacies. The response to this request was received by the DC on February 5, 2016.</w:t>
        <w:br/>
        <w:t>10.- On May 11, 2016, requests for information were sent to IMS, KANTAR HEALTH, S.A. (KANTAR), and GFK EMER AD HOC RESEARCH, S.L. (GFK). IMS was also requested for information about its market share during the last three fiscal years, information about the existence of other companies in the market for supplying sales and distribution information of pharmaceutical products, and information about its contracts with pharmaceutical distributors (pages 1536 to 1538). On the other hand, the DC requested KANTAR and GFK for information about the market, their shares in it during the last three fiscal years, and about possible obstacles to being present in that market.</w:t>
        <w:br/>
        <w:t>11.- On June 24, 2016, the DC requested HMR information about the functioning of the collection of sales data of pharmaceutical products through pharmacies, as well as the installation of their data extraction modules and their relationships with the software houses belonging to the main pharmaceutical distributors. The response to this request was received by the Directorate of Competition on July 5, 2016.</w:t>
        <w:br/>
        <w:t>12.- On June 27, 2016, requests were made to XEFAR, FEDEFARMA, COFARES, CECOFAR, HEFAME, and FARMANOVA for information on whether these cooperatives provided data management software installation services in pharmacies, their relationship with companies that conduct market studies regarding allowing them to install their data extraction modules, as well as whether they had maintained contacts with HMR in order to allow it to install its data extraction module. The requests were duly answered by the companies.</w:t>
        <w:br/>
        <w:t>13.- On August 31, 2016, the DC requested COFARES and CECOFAR for information about the date on which they had entered into the first information supply contract with IMS and the date on which the "multiple supply" clause was introduced in those contracts. The responses to those</w:t>
      </w:r>
    </w:p>
    <w:p>
      <w:r>
        <w:rPr>
          <w:b/>
        </w:rPr>
        <w:t>[Pages 4–6]</w:t>
      </w:r>
    </w:p>
    <w:p>
      <w:r>
        <w:t>JURISPRUDENCE</w:t>
        <w:br/>
        <w:t>Information requests were received by the DC on September 6, 2016, from CECOFAR and on September 7, 2016, from COFARES.</w:t>
        <w:br/>
        <w:t>14.- On September 1, 2016, the DC issued a Statement of Facts (PCH), charging IMS HEALTH, S.A. with an infringement classified as abuse of dominant position under Article 2 of the LDC and Article 102 of the TFEU. The PCH was duly notified to the interested parties.</w:t>
        <w:br/>
        <w:t>15.- On September 23, 2016, a letter from IMS was received by the CNMC, requesting the initiation of proceedings aimed at conventional termination, providing the general outlines of the future commitments.</w:t>
        <w:br/>
        <w:t>16.- On September 28, 2016, the CNMC received written submissions of allegations to the PCH formulated by IMS and by HMR.</w:t>
        <w:br/>
        <w:t>17.- On October 11, 2016, the DC agreed to initiate proceedings aimed at the conventional termination of the sanctioning procedure, in accordance with the provisions of Article 39 of the RDC, requiring IMS to submit, within 15 days, a proposal for commitments to resolve the effects on competition arising from the behaviors subject to the file and to sufficiently guarantee the public interest. Furthermore, the DC suspended the counting of the maximum deadlines of the reference file in the conventional termination procedure, as provided for in Article 37.1.g) of the LDC.</w:t>
        <w:br/>
        <w:t>18.- On November 2, 2016, a first proposal of commitments formulated by IMS was received by the CNMC, and on November 3, 2016, a copy of the same was sent to the Council of the CNMC for its knowledge and to HMR for the submission of allegations to the proposal.</w:t>
        <w:br/>
        <w:t>19.- On November 30, 2016, the allegations formulated by HMR to the first proposal of commitments presented by IMS were submitted to the CNMC.</w:t>
        <w:br/>
        <w:t>20.- On December 24, 2016, a new proposal of commitments formulated by IMS was received by the CNMC, and on December 27, 2016, a copy was sent to the Council of the CNMC for its knowledge, and on December 28, 2016, to HMR for the submission of allegations to the proposal.</w:t>
        <w:br/>
        <w:t>21.- On January 12, 2017, the allegations formulated by HMR to the new proposal of commitments presented by IMS were received.</w:t>
        <w:br/>
        <w:t>22.- On February 27, 2017, the DC submitted a proposal for conventional termination to the Council of the CNMC.</w:t>
        <w:br/>
        <w:t>23.- On July 13, 2017, the Competition Chamber of the Council of the CNMC, after sending information to the European Commission as provided for in Article 11.4 of Council Regulation (EC) No. 1/2003 of December 16, 2002, concerning the application of the competition rules laid down in Articles 101 and 102 of the Treaty, approved the resolution that is the subject of this contentious-administrative appeal.</w:t>
        <w:br/>
        <w:t>SECOND.- The written complaint, after a description of the facts, disagrees with the conventional termination with which the file was concluded for several reasons. Briefly, it does not share the duration of effects over time that the CNMC attributes to the anticompetitive practices, since the price reduction clause had been implemented by IMS since 2004, and since 2008 in conjunction with the early termination and most favored customer clauses. The potential effects that the clauses may have had in the market must be taken into account, not only on HMR but also on IMS's previous competitors or on potential entrants to the market. Secondly, it considers the assessment of the "price reduction" clause and the third commitment to be erroneous. It claims that this clause, in the absence of conclusive evidence to the contrary, is an abusive clause contrary to Article 2 LDC and Article 102 TFEU. Furthermore, if the CNMC could close the file with a conventional termination, in the circumstances of the investigation, it lacked discretion to do anything other than require the removal of the price reduction clause.</w:t>
        <w:br/>
        <w:t>THIRD.- Before examining the specific points raised in the complaint, it is worth noting that IMS's activity consisted of providing information and consulting services for the healthcare sector. This entity obtained sales information of pharmaceutical products from a variety of sources in order to meet the information demand of the pharmaceutical industry. In particular, it obtains this information through: i) wholesale distributors, ii) pharmacies, iii) hospitals and clinics, and iv) healthcare personnel. With the collected information, market studies of undeniable interest for the sector were carried out. This processing allowed pharmaceutical companies to monitor and analyze the sales of their products in order to improve their commercial strategies (sales, marketing, pharmaceutical product safety, supply chain management, R&amp;D). Between 2013 and 2016, IMS held practically the entirety of that market with shares around 90%, while EMR between 2014 and 2016 had shares of approximately 10%. In 2013, a third company, NIELSEN, had a market share that did not exceed 10%.</w:t>
        <w:br/>
        <w:t>IMS had signed information supply contracts with the main pharmaceutical product distribution companies established in the national territory. It is also noted that the panel of pharmacies providing information to IMS would consist of about 5,000 pharmacies, information that was processed directly through the installation of so-called "software houses." This means that the main sources of information were retail pharmacies and wholesale distributors.</w:t>
        <w:br/>
        <w:t>The activity aimed to: (i) supply IMS with data on sales made to pharmacies by distributors; (ii) provide, by IMS to the distributors, information services as consideration for the supply of sales data to pharmacies; and (iii) provide consulting services that the pharmaceutical distributor requests from IMS in its capacity as preferred supplier.</w:t>
        <w:br/>
        <w:t>The contracts included the so-called "Multiple Supply" clause, for cases where the distributor sells the information to a competing company of IMS and breaks the exclusivity. Among the particularities of this clause, IMS could, if the client came into contact with a potential competitor, exercise the termination right provided for in the contract. It was also contemplated that the economic provision would be reduced by between 40% and 60% if the client decided to supply data to a third party. Finally, the most favored customer condition was incorporated, so that if a distributor carried out a multiple supply, it was obliged to provide IMS with the information on terms and conditions that could never be less favorable than those offered to third parties.</w:t>
        <w:br/>
        <w:t>What is not stated is the prohibition that clients could sign other information supply contracts with third parties.</w:t>
        <w:br/>
        <w:t>What evidenced the described panorama and the relationship between IMS and the clients is that we were facing a clear situation of abuse of dominant position and monopoly that made it difficult for potential competitors to enter the market.</w:t>
        <w:br/>
        <w:t>IMS recognized the situation and therefore proposed the conventional termination which consisted of:</w:t>
        <w:br/>
        <w:t>1.- The waiver of the contractual provision of most favored customer by which IMS would have the right to be subject to the same terms and conditions as its competitors if the wholesale distributors supplied them with sales data of pharmaceutical products, or in the event that such distributors provided services that directly competed with IMS.</w:t>
        <w:br/>
        <w:t>2.- The waiver of the contractual provision by which IMS may proceed to terminate the contract early in the event that the wholesale distributor decided to sell the sales data of pharmaceutical products to a third party or when the distributor provided services that directly competed with IMS.</w:t>
        <w:br/>
        <w:t>3.- The commitment not to alter the percentages to be applied in the reduction of the price to be paid to wholesale distributors in the event that they sold their sales data of pharmaceutical products to a third party, or competed directly with IMS, committing that such percentages would have a maximum character. Likewise, it commits to the non-application of the same retroactively.</w:t>
        <w:br/>
        <w:t>4.- The waiver of the contractual provision that obliges wholesale distributors to notify IMS, three months in advance, of the supply to third parties, or when such distributors provide a service that directly competes with IMS.</w:t>
        <w:br/>
        <w:t>The CNMC considered that the four commitments proposed by IMS were adequate and sufficient to immediately resolve the analyzed competition problems. Even from a temporal point of view, since despite HMR having been trying to sign contracts with the main pharmaceutical distributors since mid-2014, it has not prevented it from obtaining sales data from pharmacies. Furthermore, following the notification of the PCH, HMR would be in a position to reach an agreement for the installation of its data extraction module with a company that provides design, development, and maintenance services for software of different pharmaceutical distribution cooperatives, which means that this module is installed in numerous pharmacies across the national territory that will join those pharmacies to which it already had access.</w:t>
        <w:br/>
        <w:t>It is noteworthy that IMS unilaterally suspended, since October 14, 2016, the application of the most favored customer clause, the prior notification obligation, and the possibility of terminating the contract in the event of multiple supply of its contracts in force. This suspension was communicated to the wholesale distributors with whom it maintained a valid contract. This suspension facilitated the rapid implementation of the commitments, an aspect that was positively valued.</w:t>
        <w:br/>
        <w:t>Finally, a monitoring and control system was established for compliance with the commitments, which, as of the date of this judgment, has no incidents or breaches.</w:t>
        <w:br/>
        <w:t>FOURTH.- Despite the complaints of the plaintiff entity, as we have said on other occasions when the debate was raised against the filing of investigation proceedings, and not against the conventional termination of the file, we do not question the active legitimacy of the complainant and its legitimate interest in carrying out an investigation and verification activity, in order to ascertain whether an irregular conduct has occurred that deserves a response within the framework of the powers of the competent authority to sanction, as recognized among others by the SsTS of October 13, 2004, appeal 568/2001; March 17, 2005, appeal 44/2002; or February 12, 2007, appeal 146/2003.</w:t>
        <w:br/>
        <w:t>However, what is requested of us in this appeal and in the terms in which it is requested goes beyond and exceeds mere legality control. The plaintiff intends for us to displace the decision made by those who, by virtue of the attributed competence, instructed the file, analyzed the facts, and after evaluating them made the reasoned decision not to sanction a certain conduct for not appreciating any illegality. In these cases, as the SsTS have stated, of December 14, 2005, appeal 101/2004 and October 13, 2004, appeal 568/2001, "[t]he determining interest of the legitimacy of a complainant does not include, (...) that this investigative action necessarily ends with a sanctioning act [...]".</w:t>
        <w:br/>
        <w:t>The legality control that we must carry out over the activity of the Administration does not consist of substituting or deploying the sanctioning power that corresponds to it. We limit ourselves to verifying the terms in which it has been exercised or, as in this case, whether it has justified the impropriety of sanctioning a reported conduct, whether the arguments contain a reasoned motivation, whether they are not arbitrary and are supported by the current legal regime.</w:t>
        <w:br/>
        <w:t>Nothing in the resolution being challenged makes us think that it is not well motivated, sufficiently explained, and reasoned the arguments by which it considered, to whom it corresponded to sanction, that in that case it was not appropriate and that the conventional solution was sufficient and correct to correct a practice that did have all the appearances of being anticompetitive, but which ceased to be so in light of the commitments offered by IMS. This is as far as our legality control should reach.</w:t>
        <w:br/>
        <w:t>Only in the event that the decision had been arbitrary or lacking in foundation could the Chamber correct the decision made. But none of these circumstances exist. On the contrary, we share the assertion made by the challenged resolution when it points out regarding the temporal effects that, despite the existence of the clauses since 2008, their restrictive effect would have occurred since HMR's entry into the market in 2014 and its attempt to establish commercial relationships with the main pharmaceutical distributors in Spain. Therefore, the effects of the conduct carried out by IMS, in relation to the current appellant, would not have had the opportunity to deploy lasting effects, since its effective presence in the Spanish market took place in 2014.</w:t>
        <w:br/>
        <w:t>Finally, the time elapsed reveals the correctness of that form of termination and the correction of the market achieved with the commitments. And we say this because there are no incidents or breaches in the monitoring of those commitments that would indicate that the objectives pursued by this form of termination of the procedure were not achieved, based essentially on criteria of opportunity not alien to legality, understood as the framework for the exercise of the sanctioning power that has been attributed to the CNMC.</w:t>
        <w:br/>
        <w:t>FIFTH.- What has been said leads us to the dismissal of the appeal, with the express condemnation of costs to the appellant in accordance with Article 139.1 of the LJCA.</w:t>
        <w:br/>
        <w:t>WE DECREE</w:t>
        <w:br/>
        <w:t>We dismiss the contentious-administrative appeal filed by HEALTH MARKET RESEARCH S.L. against the agreement of the Competition Chamber of the Council of the National Commission of Markets and Competition of November 13, 2017, within the framework of the sanctioning file S/DC/0567/15 MARKET STUDIES PHARMACEUTICAL INDUSTRY, with express condemnation of costs to the appellant.</w:t>
        <w:br/>
        <w:t>Thus, by this our Judgment, which will be notified in the manner provided for in Article 248 of the Organic Law of the Judiciary, and against which an appeal for cassation may be filed, which must be prepared before this Chamber within 30 days from the day following its notification; in the written preparation of the appeal must</w:t>
      </w:r>
    </w:p>
    <w:p>
      <w:r>
        <w:rPr>
          <w:b/>
        </w:rPr>
        <w:t>[Pages 7–7]</w:t>
      </w:r>
    </w:p>
    <w:p>
      <w:r>
        <w:t>JURISPRUDENCE</w:t>
        <w:br/>
        <w:t>the fulfillment of the requirements established in Article 89.2 of the Law on Jurisdiction, justifying the objective cassational interest presented.</w:t>
        <w:br/>
        <w:t>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