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https://www.cnmc.es/expedientes/sdc057015</w:t>
      </w:r>
    </w:p>
    <w:p>
      <w:r>
        <w:t>Pages translated : 12</w:t>
      </w:r>
    </w:p>
    <w:p/>
    <w:p>
      <w:r>
        <w:rPr>
          <w:b/>
        </w:rPr>
        <w:t>[Pages 1–3]</w:t>
      </w:r>
    </w:p>
    <w:p>
      <w:r>
        <w:t xml:space="preserve">JURISPRUDENCE  </w:t>
        <w:br/>
        <w:t xml:space="preserve">Ruling: SAN 3927/2023 - ECLI:ES:AN:2023:3927  </w:t>
        <w:br/>
        <w:t xml:space="preserve">Cendoj ID: 28079230062023100562  </w:t>
        <w:br/>
        <w:t xml:space="preserve">Body: National Court. Administrative Litigation Chamber  </w:t>
        <w:br/>
        <w:t xml:space="preserve">Venue: Madrid  </w:t>
        <w:br/>
        <w:t xml:space="preserve">Section: 6  </w:t>
        <w:br/>
        <w:t xml:space="preserve">Date: 11/07/2023  </w:t>
        <w:br/>
        <w:t xml:space="preserve">Case Number: 549/2016  </w:t>
        <w:br/>
        <w:t xml:space="preserve">Resolution Number:  </w:t>
        <w:br/>
        <w:t xml:space="preserve">Procedure: Ordinary Procedure  </w:t>
        <w:br/>
        <w:t xml:space="preserve">Rapporteur: FRANCISCO DE LA PEÑA ELIAS  </w:t>
        <w:br/>
        <w:t xml:space="preserve">Type of Resolution: Judgment  </w:t>
        <w:br/>
        <w:t xml:space="preserve">N A T I O N A L C O U R T  </w:t>
        <w:br/>
        <w:t xml:space="preserve">Administrative Litigation Chamber  </w:t>
        <w:br/>
        <w:t xml:space="preserve">SIXTH SECTION  </w:t>
        <w:br/>
        <w:t xml:space="preserve">Case Number: 0000549/2016  </w:t>
        <w:br/>
        <w:t xml:space="preserve">Type of Appeal: ORDINARY PROCEDURE  </w:t>
        <w:br/>
        <w:t xml:space="preserve">General Registry Number: 06245/2016  </w:t>
        <w:br/>
        <w:t xml:space="preserve">Plaintiff: Spanish Federation of Food and Beverage Industries (FIAB)  </w:t>
        <w:br/>
        <w:t xml:space="preserve">Procurator: Ms. CONSUELO RODRÍGUEZ CHACÓN  </w:t>
        <w:br/>
        <w:t xml:space="preserve">Defendant: NATIONAL COMMISSION OF MARKETS AND COMPETITION  </w:t>
        <w:br/>
        <w:t xml:space="preserve">Co-defendant: (DIA) AND EROSKI S. COOP. (EROSKI)  </w:t>
        <w:br/>
        <w:t xml:space="preserve">State Attorney  </w:t>
        <w:br/>
        <w:t xml:space="preserve">Rapporteur: Mr. FRANCISCO DE LA PEÑA ELIAS  </w:t>
        <w:br/>
        <w:t xml:space="preserve">JUDGMENT NO.:  </w:t>
        <w:br/>
        <w:t xml:space="preserve">Madam President:  </w:t>
        <w:br/>
        <w:t xml:space="preserve">Ms. BERTA SANTILLAN PEDROSA  </w:t>
        <w:br/>
        <w:t xml:space="preserve">Honorable Judges:  </w:t>
        <w:br/>
        <w:t xml:space="preserve">Mr. FRANCISCO DE LA PEÑA ELIAS  </w:t>
        <w:br/>
        <w:t xml:space="preserve">Mr. SANTOS GANDARILLAS MARTOS  </w:t>
        <w:br/>
        <w:t xml:space="preserve">Ms. MARIA JESUS VEGAS TORRES  </w:t>
        <w:br/>
        <w:t xml:space="preserve">Mr. RAMÓN CASTILLO BADAL  </w:t>
        <w:br/>
        <w:t xml:space="preserve">Madrid, on the eleventh of July two thousand twenty-three.  </w:t>
        <w:br/>
        <w:t>HAVING SEEN the present administrative litigation appeal no. 549/16 promoted by Procurator Ms. Consuelo Rodríguez Chacón on behalf of the Spanish Federation of Food and Beverage Industries (FIAB) against the resolution of September 29, 2016, issued by the Competition Chamber of the National Commission of Markets and Competition in file S/DC/0570/15 DIA/EROSKI, by which the non-initiation of sanctioning proceedings was agreed and the actions followed as a result of the complaint filed by FIAB and PROMARCA were archived. The defendant Administration has been a party in the proceedings, represented and defended by the State Attorney; and the entities International Food Distributor (DIA) and EROSKI S. COOP. (EROSKI) have intervened as co-defendants, both represented by Procurator Mr. Antonio Ortega Fuentes.</w:t>
      </w:r>
    </w:p>
    <w:p>
      <w:r>
        <w:t xml:space="preserve">JURISPRUDENCE  </w:t>
        <w:br/>
        <w:t xml:space="preserve">FACTUAL BACKGROUND  </w:t>
        <w:br/>
        <w:t xml:space="preserve">FIRST.- Once the appeal was filed and the appropriate procedures prescribed by the Law of Jurisdiction were followed, the plaintiff was summoned to formalize the complaint, which was done through a written document in which, after presenting the facts and legal grounds deemed applicable, it concluded by requesting a judgment to "(i) annul the Resolution of the CNMC Council dated September 29, 2016, issued within the framework of file S/DC/0570/15 DIA/EROSKI SUPPLY, by which the non-initiation of a sanctioning procedure is declared and the actions are archived; (ii) as a consequence of the foregoing, order the CNMC to reopen the procedure and adequately investigate the market power of the reported parties and the effects of the reported practices in the relevant markets, once these are delimited in accordance with existing precedents in the matter, to assess whether it is appropriate to initiate sanctioning proceedings for violation of Law 15/2007, as a consequence of the adoption and implementation of the joint purchasing agreement of DIA and EROSKI; and (iii) impose the costs of the present administrative litigation appeal on the defendants."  </w:t>
        <w:br/>
        <w:t xml:space="preserve">SECOND.- The State Attorney and the co-defendant entities responded to the complaint with respective writings in which they requested that a judgment be issued confirming the appealed act in all its aspects.  </w:t>
        <w:br/>
        <w:t xml:space="preserve">THIRD.- Pending the appeal for scheduling for voting and ruling when it was due, the hearing was set for February 15, 2023, on which it took place. The Honorable Mr. Francisco de la Peña Elías has been the rapporteur, who expresses the opinion of the Chamber.  </w:t>
        <w:br/>
        <w:t xml:space="preserve">LEGAL GROUNDS  </w:t>
        <w:br/>
        <w:t xml:space="preserve">FIRST.- Through this process, the acting entity challenges the resolution of September 29, 2016, issued by the Competition Chamber of the National Commission of Markets and Competition in file S/DC/0570/15 DIA/EROSKI, the dispositive part of which was as follows: "Declare the non-initiation of sanctioning proceedings and proceed to archive the actions followed as a consequence of the complaint filed by FIAB and PROMARCA, considering that there are no indications of infringement of Law 15/2007, of July 3, on the Defense of Competition in the reported actions." As background, the resolution summarizes the events that preceded its issuance as follows: "FIRST.- On June 24, 2015, the Competition Directorate (DC) of the CNMC became aware through information published in various media (Pages 3 to 8 of the File) of the cooperation agreement signed between INTERNATIONAL FOOD DISTRIBUTOR, S.A. (DIA) and EROSKI S. COOP. (EROSKI) to negotiate jointly with large suppliers.  </w:t>
        <w:br/>
        <w:t xml:space="preserve">SECOND.- On July 3, 2015, in order to assess the content of the aforementioned agreement, the DC sent a request for information to DIA and EROSKI (Pages 9 to 13 and 14 to 18). The DC received responses on the 23rd of the same month (confidential pages 169 to 319 and pages 320 to 328, for DIA; and confidential pages 33 to 157 and pages 158 to 165 for EROSKI).  </w:t>
        <w:br/>
        <w:t xml:space="preserve">THIRD.- Based on the information provided in those responses, the DC made requests for information to some of the suppliers included in the aforementioned agreement between October 5 and November 5, 2015 (pages 329 to 440). Such requests were responded to between October 16 and December 7, 2015.  </w:t>
        <w:br/>
        <w:t xml:space="preserve">FOURTH.- On October 22, 2015, the DC made a new request for information to DIA and EROSKI, which was responded to by DIA on November 3, 2015 (confidential pages 1882 to 1883 and pages 1884 to 1885) and by EROSKI on November 5, 2015 (confidential pages 1890 to 1891 and pages 1892 to 1893).  </w:t>
        <w:br/>
        <w:t xml:space="preserve">FIFTH.- On November 25, 2015, a letter from FIAB (Federation of Food and Beverage Industries) and PROMARCA (Spanish Association of Brand Products) was submitted to the DC in which possible behaviors constituting an infringement of the provisions of Articles 1, 2, and 3 of Law 15/2007, of July 3, on the Defense of Competition (LDC) by DIA and EROSKI in relation to the aforementioned cooperation agreement were reported, and the adoption of precautionary measures was requested under Article 54 of the LDC (pages 1934 to 1994). The complainants consider that certain clauses of the agreement incur in some of the behaviors prohibited by Article 1 of the LDC, in particular: price fixing (Article 1.1.a), limitation of investments in innovation or promotion (Article 1.1.b), obligation to apply similar conditions to different performances (Article 1.1.c), and subordination of the conclusion of contracts with both to the acceptance of payments and commercial conditions that are unrelated to the supply agreement with each distributor (Article 1.1.e). Alongside this, the complaint considers that the application of the agreement would lead to behaviors that could be considered an abuse of a dominant position contrary to Article 2 of the LDC, as well as an infringement of the provisions of Article 3 of the LDC in connection with Articles 15, 16.2, and 16.3 of Law 3/1991, of January 10, on Unfair Competition (BOE January 10).  </w:t>
        <w:br/>
        <w:t xml:space="preserve">SIXTH.- On January 27, 2016, the DC made a new request for information to DIA and EROSKI (pages 2078 and 2083) responded to by DIA on February 8 (confidential pages 2114 to 2118 and pages 2119 to 2120) and by EROSKI on February 10 (confidential pages 2121 to 2123 and pages 2124 to 2127).  </w:t>
        <w:br/>
        <w:t xml:space="preserve">SEVENTH.- On April 6, 2016, a letter from DIA (confidential pages 2140 to 2158 and pages 2159 to 2161) was received by the DC communicating (i) the introduction into the scope of the agreement of new aspects of the vertical relationship between DIA and EROSKI and the suppliers, and (ii) the expansion of the suppliers affected by the agreement. On April 8, 2016, the DC requested clarification from DIA regarding the mentioned modification (pages 2166 to 2168).  </w:t>
        <w:br/>
        <w:t xml:space="preserve">On April 8, 2016, a letter from EROSKI (confidential pages 2173 to 2189 and pages 2171 to 2172) was received by the DC communicating (i) the introduction into the scope of the agreement of new aspects of the vertical relationship between DIA and EROSKI and the suppliers, and (ii) the expansion of the suppliers affected by the agreement. On April 12, 2016, the DC requested clarification from EROSKI regarding the mentioned modification (pages 2190 to 2192). The responses to these clarifications were registered with the CNMC on April 18, 2016 (confidential pages 2195 to 2197 and 2198 to 2200, from DIA; and confidential pages 2201 to 2202 and 2203 to 2205, from EROSKI).  </w:t>
        <w:br/>
        <w:t xml:space="preserve">EIGHTH.- On May 6, 2016, a letter of extension of the complaint submitted by FIAB and PROMARCA was received by the DC (pages 2208 to 2247), in which new elements in support of their claim were provided.  </w:t>
        <w:br/>
        <w:t xml:space="preserve">NINTH.- On May 19, 2016, the DC submitted to the Competition Chamber of the CNMC its proposal to archive the actions.  </w:t>
        <w:br/>
        <w:t xml:space="preserve">TENTH.- The Competition Chamber of the CNMC deliberated and ruled on the matter in its meeting of September 29, 2016."  </w:t>
        <w:br/>
        <w:t xml:space="preserve">SECOND.- When addressing the determining facts of the sanctioning agreement, and when discussing the issue regarding the intervening parties, the appealed resolution refers to the plaintiff, FIAB, as an entity created in 1977 to represent the Spanish food and beverage industry, which as of the date of the resolution was composed of nearly fifty associations that group more than 5,000 companies. It highlights that it defends the interests of the affiliated associations in areas such as internationalization, R&amp;D+i, legislation and food safety, agricultural policy, environment, nutrition, training, taxation, and communication at the national, community, and international levels.  </w:t>
        <w:br/>
        <w:t xml:space="preserve">It also refers to the two reported entities, DIA and EROSKI.  </w:t>
        <w:br/>
        <w:t xml:space="preserve">Of the first, it states that it is an international company in the food distribution sector, household products, beauty, and health, operating in Spain, Portugal, Brazil, Argentina, and China, and whose main activity is the retail trade of daily consumer goods through self-service stores, either owned or franchised (DIA Market, DIA Maxi, La Plaza, DIA Fresh, Clarel, Max Descuento Cash&amp;Carry, Cada dia, Minipreço, Mais Perto, and El Arbol).  </w:t>
        <w:br/>
        <w:t xml:space="preserve">Regarding EROSKI, it states that it is a cooperative society founded in 1969, integrated into the Mondragón Corporation and dedicated to retail distribution, whose main branch of activity is the food sector, although it also has sports stores (Forum Sport), perfumeries (IF), opticians, travel agencies, and insurance.  </w:t>
        <w:br/>
        <w:t xml:space="preserve">Concerning its relationship with DIA, the resolution indicates that in 2015 the CNMC authorized DIA's acquisition of exclusive control over the assets linked to the operation of 160 retail distribution establishments of the EROSKI group (File C/0634/15 DIA/EROSKI-Assets).  </w:t>
        <w:br/>
        <w:t xml:space="preserve">It then proceeds to delineate the markets related to the reported practices, citing the following:  </w:t>
        <w:br/>
        <w:t>- The market for the retail distribution of daily consumer goods in self-service format. This market would include the retail distribution activity of daily consumer goods consisting of the sale to end consumers of a more or less diversified range of food and non-food products (drugstore, perfumery, home, hygiene, etc.) for daily consumption, in premises of various characteristics.</w:t>
      </w:r>
    </w:p>
    <w:p>
      <w:r>
        <w:rPr>
          <w:b/>
        </w:rPr>
        <w:t>[Pages 4–6]</w:t>
      </w:r>
    </w:p>
    <w:p>
      <w:r>
        <w:t>JURISPRUDENCE</w:t>
      </w:r>
    </w:p>
    <w:p>
      <w:r>
        <w:t>and surfaces, such as hypermarkets, supermarkets, proximity self-services, specialized stores, traditional shops, wholesale markets, service stations.</w:t>
        <w:br/>
        <w:t>- The upstream market for the supply of daily consumer goods, which would include the sale of everyday consumer goods by the producers themselves and whose customers are the wholesale and retail distributors of those products. And,</w:t>
        <w:br/>
        <w:t>- The cash &amp; carry distribution market, regarding which it literally states that "The distinction between the retail distribution of daily consumer goods and the cash &amp; carry format distribution lies in the fact that this second sales modality is essentially aimed at businesses and professionals other than final consumers. Generally, some form of identification is required to certify customers as businesses or professionals. The geographical dimension of this market is local or regional."</w:t>
        <w:br/>
        <w:t>Regarding the agreement signed by DIA and EROSKI, which is the subject of the complaint, the CNMC indicates that the objective of said agreement "... is to increase the competitiveness of the parties through joint negotiations with suppliers and thus obtain an improvement in their respective purchasing conditions. The agreement was signed on June 24, 2015, with an initial duration [not exceeding 5 years] from the date of signing, and with the possibility of automatic annual extensions indefinitely until either Party requests its termination. The agreement provides for the adhesion of new partners, although taking into account the implications this could have in terms of competition (clause 13.1.4)."</w:t>
        <w:br/>
        <w:t>It also highlights that "The suppliers affected by the Agreement are those listed in Annex 5.1 of the Agreement (folios 2149 and 2150, on behalf of DIA; and folios 2178 and 2179, on behalf of Eroski): ...", and that these suppliers "... belong to a diverse range of mass consumption product segments, excluding traditional fresh products and small local proximity producers."</w:t>
        <w:br/>
        <w:t>It also describes the functioning of the agreement, stating that regarding the determination of the overall volume of savings, "The parties will not exchange information among themselves, but will transmit it to a third party, referred to as the Consultant [CONFIDENTIAL], the Consultant will start from the information provided by the Parties regarding two concepts: (...)."</w:t>
        <w:br/>
        <w:t>Regarding the joint negotiations with suppliers, the agreement incorporates various clauses to ensure the confidentiality of the information, which the resolution transcribes with reference to the figure of the Consultant. It includes a reference to bilateral negotiations, of which it states that the exchange of information that violates competition defense rules is not part of its object; and to the evolution of the agreement.</w:t>
        <w:br/>
        <w:t>Based on all of this, and in light of the complaint and the grounds on which the complainants justify it, the CNMC conducts a legal-economic analysis of the agreement that leads it to conclude, after the reasoning it reflects, that "... this COMPETITION CHAMBER of the CNMC considers that the analyzed Agreement does not constitute a restrictive practice of competition prohibited by Article 1 of the LDC."</w:t>
        <w:br/>
        <w:t>And also, regarding a possible violation of Article 2, that "In light of the data previously exposed when describing the market power of the reported parties, this CHAMBER considers that there is no dominant position given, mainly, the market shares and the existing competitive environment in the national market; and as the Council of the defunct CNC has stated (S/0165/09 GRAN DISTRIBUCIÓN GALICIA), since the dominant position, either individual or joint, has not been proven, it is not possible for the reported conduct to constitute an infringement of abuse of dominant position according to Article 2 of the LDC."</w:t>
        <w:br/>
        <w:t>Finally, in response to what is stated in the complaint regarding the infringement of Article 3 of the LDC, and after recalling that such infringement requires the concurrence of two requirements jointly, the distortion of free competition and impact on the public interest, it declares that "... there is no impact on competition in the terms of Article 3 of the LDC," on the contrary, it maintains that "... in line with precedents of the CNMC (S/DC/0524/14 LIDL) and taking into account what has been argued in previous sections, the Agreement is likely to generate positive effects for consumers, significantly reducing the possibility of negatively impacting the general interest, which would constitute the third necessary requirement to appreciate an infringement of Article 3 of the LDC."</w:t>
        <w:br/>
        <w:t>THIRD.- Having outlined, in general terms, the content of the appealed resolution, it must be said that it has also been the subject of an appeal by the entity PROMARCA (Companies of Brand Products), also followed before this Section under number 570/16 and in which the grounds for appeal are exactly the same as those raised here.</w:t>
        <w:br/>
        <w:t>It must be said that this appeal has been resolved in a recent judgment dated June 28, 2023, whose considerations and conclusion are fully transferable to the present case.</w:t>
        <w:br/>
        <w:t>Well, we stated in that judgment the following:</w:t>
      </w:r>
    </w:p>
    <w:p>
      <w:r>
        <w:t>JURISPRUDENCE</w:t>
        <w:br/>
        <w:t>"THIRD.- Disagreeing with the appealed decision, the defendant raises the following grounds for appeal:</w:t>
        <w:br/>
        <w:t>a) Incorrect delimitation of the relevant product and geographic markets and, therefore, inadequate analysis of the reported practices.</w:t>
        <w:br/>
        <w:t>b) Incorrect assessment of the market power of DIA and EROSKI in the relevant product and geographic markets.</w:t>
        <w:br/>
        <w:t>c) Lack of assessment of the effects of the agreement between DIA and EROSKI in the relevant markets.</w:t>
        <w:br/>
        <w:t>On the contrary, the State Attorney argues that there are no grounds to initiate sanction proceedings because there are no restrictive practices of competition. For their part, DIA and Eroski argue the inadmissibility of the present appeal due to the lack of standing of the appellant and, subsidiarily, request its dismissal.</w:t>
        <w:br/>
        <w:t>FOURTH.- We will first examine the cause of inadmissibility raised by the legal representatives of DIA and EROSKI, considering that PROMARCA is not legitimized to file the referenced contentious-administrative appeal as it lacks the legitimate interest required for it under Article 19 of the LJCA.</w:t>
        <w:br/>
        <w:t>They argue that the fact that PROMARCA is one of the parties that filed the complaint that led to the appealed Resolution does not automatically grant it the status of interested party in the administrative procedure that the CNMC may initiate, much less standing to act before the contentious-administrative jurisdiction, and recalls that the Supreme Court has stated in successive judgments that the complainant is simply the party that informs the Administration of certain facts, which may or may not lead to an administrative procedure, so that the complainant, by merely being one, is not considered a party in the procedure, but must hold a legitimate interest in it (see, among others, the Supreme Court judgments of July 23, 1987, and July 3, 1990). They add, citing the Supreme Court Judgment of June 26, 2007: that, in cases concerning competition defense, while the reporting of prohibited conduct under competition rules is public and allowed for any person, the action to file a contentious-administrative process lacks this public character and, consequently, anyone wishing to challenge before the contentious-administrative jurisdiction must demonstrate the impact on legitimate rights and interests.</w:t>
        <w:br/>
        <w:t>Having stated the above, they conclude that for PROMARCA, as a complainant, to be considered legitimized to act before the contentious-administrative jurisdiction, it must hold a legitimate interest in the referenced procedure and that this legitimate interest cannot consist merely of PROMARCA's interest in compliance with competition defense rules, but that there must be a certain relationship with the object of the process, so that the success of the action generates a benefit for the appellant or, at least, the denial of a detriment and that, consequently, PROMARCA lacks any legitimate interest in the referenced contentious-administrative procedure as PROMARCA's interest does not go beyond mere defense of legality, so that any judgment issued in this procedure will not yield any benefit or detriment to it.</w:t>
        <w:br/>
        <w:t>The appellant states that, according to Article 5.1 of its Statutes, the aims of the association are: "To promote and defend the legitimate common interests of its associated companies, in the commercial and industrial sphere, acting for this purpose before any natural or legal person, association, public or private institution, national and international, including the Public Administration" and that, in compliance with its statutory purpose, PROMARCA did not act before the CNMC as "any person, interested or not," but in representation and defense of the associates listed, according to their express will, all of whom are manufacturers of brand products who are direct victims of the practices of the co-defendants that are the subject of the complaint before the CNMC. That a hypothetical favorable judgment from this Chamber would offer this Party the "advantage" of being able to rely on it against similar infringements of Competition Law that may be attempted by the co-defendants themselves or their competitors in the large distribution sector.</w:t>
        <w:br/>
        <w:t>It adds that to suggest that it should have been the manufacturers themselves who filed the present appeal defies all logic, considering the well-founded fear of commercial retaliation from the manufacturers (paragraph 109 of the Complaint) and that only through the most relevant sector associations -FIAB and PROMARCA- is it realistic and possible to materially discuss, as a direct manifestation of the right of access to justice, a resolution of archiving that is not only contrary to Law but also to those legitimate collective interests represented by PROMARCA, embodied in the complaint filed at the time and in the present litigation.</w:t>
        <w:br/>
        <w:t>Furthermore, it states that it is a recipient of the appealed Resolution, which expressly informs it of the available avenues for appeal (see pages 3 and 14).</w:t>
        <w:br/>
        <w:t>And that, according to the usual practice of competition authorities, the complainant is an interested party in the sanctioning procedure and therefore has standing to judicially challenge the administrative resolution adopted.</w:t>
        <w:br/>
        <w:t>For all these reasons, it concludes that it is necessary to acknowledge the legitimate interest of this Promarca and, therefore, that this procedure is admissible, as both this Court and the Supreme Court have consistently recognized when a complainant appeals the archiving of a complaint by the CNMC.</w:t>
        <w:br/>
        <w:t>Well, let us recall the jurisprudential doctrine contained in the Judgment of Chamber 3 of the Supreme Court, Section 6 of November 8, 2022 (ROJ: STS 3995/2022 - ECLI:ES:TS:2022:3995), which states: "In relation to this issue, it should be noted that the criterion of this Chamber, regarding the standing of the complainant to intervene in contentious-administrative processes followed against the decisions of the General Council of the Judiciary that order the archiving of complaints in which disciplinary action was requested, as well as those of initiated disciplinary procedures, has made the differentiation explained below. It has recognized that standing when what is sought is not the imposition of a sanction on the reported Judge but, solely and regardless of the outcome reached, that the Council carry out an investigation and verification activity within the framework of the powers legally conferred upon it. And it has denied such standing when the claim exercised is solely the imposition of a specific sanction on the Judge or Magistrate whose conduct has been reported.</w:t>
        <w:br/>
        <w:t>It should also be emphasized that the core of the jurisprudence that has declared this lack of standing is based on the fact that the imposition or not of a sanction on the reported judge does not produce any positive effect in the legal sphere of the complainant, nor does it eliminate any burden or encumbrance from that sphere (jurisprudence expressed, among others, in the judgment of March 25, 2003, and those cited therein, and in the subsequent judgments of December 12, 2012, and December 19, 2017)."</w:t>
        <w:br/>
        <w:t>Applying this doctrine to the case at hand, the cause of inadmissibility examined must be dismissed since what the appellant seeks in its complaint is precisely that "the CNMC be ordered to reopen the procedure and adequately investigate the market power of the reported parties and the effects of the reported practices in the relevant markets, once these are delineated in accordance with existing precedents in the matter, to assess whether it is appropriate to initiate sanction proceedings for infringement of Law 15/2007, as a consequence of the adoption and implementation of the joint purchasing agreement of DIA and EROSKI."</w:t>
        <w:br/>
        <w:t>FIFTH.- Having dismissed the cause of inadmissibility raised and focused on the object of debate, it is necessary to examine whether the resolution of the CNMC, which agrees not to initiate sanction proceedings and to archive the actions taken on the grounds that, once the appropriate investigative activity has been carried out, there are no restrictive practices of competition, is in accordance with the law.</w:t>
        <w:br/>
        <w:t>Prior to analyzing the issue under debate, this Section considers it appropriate to specify the limits of the powers of the judicial bodies regarding administrative decisions that agree that there are no grounds for initiating sanction proceedings. This has already been resolved by this same Section in the judgment delivered on December 17, 2013 (rec. no. 432/2012) in which we stated the following in the third legal basis:</w:t>
        <w:br/>
        <w:t>"THIRD: As pointed out by the State's defense, a preliminary issue that must be addressed in this case is related to delineating what the obligations of the competition authority are when a natural or legal person presents a complaint for anti-competitive practice, and more specifically whether there is an obligation on the part of that administration to investigate, the course that should be given to each complaint regarding the substance, and the extent of judicial review in these cases."</w:t>
        <w:br/>
        <w:t>The STPI of September 18, 1992, case T-24/90 Automec, addressed these issues with a doctrine that has remained unchanged over time.</w:t>
        <w:br/>
        <w:t>For its relevance and applicability to the present matter, paragraphs 73 to 81 of that resolution are reproduced, without the regulatory changes that have occurred since then affecting essentially the "ratio" of the doctrine contained in the cited resolution:</w:t>
        <w:br/>
        <w:t>"73. To define the obligations of the Commission in this context, it should be preliminarily noted that it is responsible for the application and orientation of community competition policy (see the judgment of the Court of Justice of February 28, 1991, Delimitis, C-234/89). This is the reason why paragraph 1 of Article 89 of the Treaty assigns it the mission of ensuring the application of the principles established by Articles 85 and 86 and that the provisions adopted based on Article 87 confer it broad powers.</w:t>
      </w:r>
    </w:p>
    <w:p>
      <w:r>
        <w:rPr>
          <w:b/>
        </w:rPr>
        <w:t>[Pages 7–9]</w:t>
      </w:r>
    </w:p>
    <w:p>
      <w:r>
        <w:t>JURISPRUDENCE</w:t>
      </w:r>
    </w:p>
    <w:p>
      <w:r>
        <w:t>74. The scope of the Commission's powers in the field of Competition Law must be examined in light of paragraph 1 of Article 89 of the Treaty, which, in this area, constitutes the concrete manifestation of the general oversight mission entrusted to the Commission by Article 155 of the Treaty. However, as the Court of Justice has pointed out within the framework of Article 169 of the Treaty (judgment of February 14, 1989, Star Fruit/Commission, 247/87, Rec. pp. 291 et seq., especially p. 301), this mission does not imply that the Commission is obliged to initiate proceedings aimed at proving possible violations of Community law.</w:t>
      </w:r>
    </w:p>
    <w:p>
      <w:r>
        <w:t>75. In this regard, the Court of First Instance points out that from the case law of the Court of Justice (judgment of October 18, 1979, GEMA, previously cited, pp. 3173 et seq., especially p. 3189), it follows that among the rights conferred to the complainants by Regulations No. 17 and No. 99/63, there is no right to obtain a Decision, in the sense of Article 189 of the Treaty, regarding whether or not the alleged infringement exists. It follows that the Commission cannot be obliged to rule on this matter, except when the subject of the complaint falls within its exclusive competences, as is the case with the revocation of an exemption granted under paragraph 3 of Article 85 of the Treaty.</w:t>
      </w:r>
    </w:p>
    <w:p>
      <w:r>
        <w:t>76. Since the Commission is not obliged to rule on whether or not an infringement exists, it cannot be compelled to carry out an investigation, as this could only aim to ascertain the evidence regarding whether or not an infringement exists that it is not obliged to declare. In this regard, it should be noted that, unlike what is provided for in the second sentence of paragraph 1 of Article 89 of the Treaty, in cases of requests submitted by Member States, Regulations No. 17 and No. 99/63 do not expressly require the Commission to initiate investigations into the complaints presented to it.</w:t>
      </w:r>
    </w:p>
    <w:p>
      <w:r>
        <w:t>77. In this regard, it should be noted that it is an inherent element of the exercise of administrative activity the competence, of the holder of a public service mission, to adopt all necessary organizational measures for the fulfillment of the mission entrusted to it, including the definition of priorities, within the framework established by law, when such priorities have not been defined by the legislator. This must be the case, especially when an authority has been entrusted with such a broad and general mission of oversight and control as that attributed to the Commission in the field of competition. Therefore, the fact that the Commission grants different degrees of priority to the cases submitted to it in the field of competition rules is in accordance with the obligations imposed on it by Community law.</w:t>
      </w:r>
    </w:p>
    <w:p>
      <w:r>
        <w:t>78. This viewpoint is not contrary to the judgments of the Court of Justice, of October 11, 1983 (210/81), previously cited, of March 28, 1985, CICCE (298/93, Rec. p. 1105), and of November 17, 1987, BAT and Reynolds/Commission (joined cases 142/84 and 156/84, Rec. p. 4487). Indeed, in the judgment Demo-Studio Schmidt, the Court of Justice considered that the Commission "had to examine the facts presented" by the complainant, without prejudging, however, the question of whether the Commission could refrain from conducting an investigation into the complaint, since, in that case, the Commission had examined the facts presented in the complaint and dismissed it for lack of evidence to conclude that an infringement existed. This question was also not raised in the subsequent cases CICCE (298/83, previously cited) and BAT and Reynolds (joined cases 142/84 and 156/84, previously cited).</w:t>
      </w:r>
    </w:p>
    <w:p>
      <w:r>
        <w:t>79. However, while the Commission cannot be compelled to carry out an investigation, the procedural guarantees provided in Article 3 of Regulation No. 17 and in Article 6 of Regulation No. 99/63 require it to carefully examine the factual and legal elements brought to its attention by the complainant, in order to determine whether such elements reveal conduct that may distort competition within the common market and affect trade between Member States (see the judgments of the Court of Justice of October 11, 1983, Demo-Studio Schmidt, of March 28, 1985, CICCE, and of November 17, 1987).</w:t>
      </w:r>
    </w:p>
    <w:p>
      <w:r>
        <w:t>80. When, as is the case here, the Commission has adopted a decision to archive the complaint, without conducting any investigation, the legality review that this Court must carry out aims to verify that the contested decision is not based on materially inaccurate facts, is not tainted by any error of law, nor by any manifest error of assessment or abuse of power.</w:t>
      </w:r>
    </w:p>
    <w:p>
      <w:r>
        <w:t>81. It is for the Court of First Instance, in light of these principles, to first verify whether the Commission conducted the examination of the complaint to which it was obliged, evaluating, with all necessary attention, the factual and legal elements presented by the complainant in its complaint and, secondly, whether the Commission correctly justified its decision to archive the complaint, invoking its power to "grant different degrees of priority in the initiation of proceedings on the matters submitted to it," on the one hand, and referring to the community interest of the matter as a criterion of priority, on the other." The previous doctrine raises and resolves a situation that goes even further than the reality underlying the present case, as it emphasizes on the one hand that there is no subjective right of the complainant to obtain a declaration on the existence or non-existence of the infringement, which implies that there is no legally enforceable duty that imposes on the Commission the obligation to initiate an investigation, and on the other hand, that the competition authority, for the correct exercise of the powers entrusted to it, may even establish degrees of priority in the investigations.</w:t>
      </w:r>
    </w:p>
    <w:p>
      <w:r>
        <w:t>In both cases, the aforementioned decisions, necessarily taken on the basis of a detailed examination of the facts and allegations made by the complainant, are subject to further judicial review, which excludes the assessment of the opportunity in making the decision, as it is limited to verifying that the contested decision is not based on materially inaccurate facts, is not tainted by any error of law, nor by any manifest error of assessment, nor by abuse of power.</w:t>
      </w:r>
    </w:p>
    <w:p>
      <w:r>
        <w:t>SIXTH. - In accordance with the doctrine set forth, we will examine whether the decision not to initiate sanction proceedings, adopted by the CNMC, is based on materially inaccurate facts, or is tainted by an error of law, or by a manifest error of assessment or by abuse of power. The decision to archive the complaint by the CNMC is preceded by a preliminary investigation conducted by the Competition Directorate of the CNMC, which carried out a comprehensive analysis of the reported situation.</w:t>
      </w:r>
    </w:p>
    <w:p>
      <w:r>
        <w:t>It is therefore necessary to analyze whether the contested decision is based on materially inaccurate facts, or is tainted by an error of law, or by a manifest error of assessment or by abuse of power, although this Section anticipates that it does not share the thesis of the appellant. This is because the contested resolution of the CNMC contains reasoning that cannot be classified as incurring in a manifest error of assessment, nor in arbitrariness nor constitutive of an abuse of power.</w:t>
      </w:r>
    </w:p>
    <w:p>
      <w:r>
        <w:t>The appellant insists in its complaint that the Resolution errs in assessing the geographic scope of the retail distribution of daily consumer goods in self-service format and the subsequent segmentation by product families of the upstream market for the supply of daily consumer goods. It argues that the market for the retail distribution of daily consumer goods in self-service format is local and claims that the contested resolution indicates that it may even have a national dimension, contrary to its own precedents and without justifying this assertion.</w:t>
      </w:r>
    </w:p>
    <w:p>
      <w:r>
        <w:t>Well, let us recall that the contested resolution expressly states that the exact delimitation of the local scope of this market should be carried out on a case-by-case basis, starting from the areas where the affected companies operate and taking into account (i) the type of sales surface and (ii) the characteristics of its environment. Thus, it points out that "However, at times, the possible national dimension of the market has also been taken into consideration due to the fact that competitive relationships between large retail chains are not limited to local competition, but there is a much broader geographical dimension. This is evidenced, for example, by the fact that, in the case of large retail chains, the assortment of goods is largely controlled centrally and, therefore, at least regarding the basic assortment, it is identical in each local market. Advertising, on the other hand, is also carried out at the national level."</w:t>
      </w:r>
    </w:p>
    <w:p>
      <w:r>
        <w:t>And having said the above, it states that, at the local level, the criterion used to measure market power is that of the surface area of the establishments. The economic impact study annexed to the reported Agreement does not provide this information municipality by municipality, although it contains an analysis of the impact from a global perspective.</w:t>
      </w:r>
    </w:p>
    <w:p>
      <w:r>
        <w:t>It explains that, if the national dimension of the market is taken into account, according to the information provided by the parties, and using the allocation criteria by type of establishment used in national precedents, the combined share of Eroski and DIA, based on surface area, rose in 2014 to [20-30]%. If we consider sales volume, the combined share rose in 2014 to [10-20]%. According to updated information from Kantar Worldpanel in January 2016, the combined market share at the national level in terms of value amounts to 14.1% (DIA 8.2% and Eroski 5.9%). According to that same source, there is a progressive reduction of the aforementioned share throughout 2015, as at the beginning of the year (January), it amounted to 15.1% (DIA 8.4%, Eroski 6.7%).</w:t>
      </w:r>
    </w:p>
    <w:p>
      <w:r>
        <w:t>And regarding competitors, according to Kantar Worldpanel data in January 2016, Mercadona had a share of 21.9%; Carrefour, 8.6%; Lidl 3.8% and Auchan 3.8% in terms of value. The six main operators in the retail distribution market, therefore, hold a share of 52.2% at the national level. According to the data provided in the economic report annexed to the Agreement, at the national level, the HHI index of the retail distribution market stood at the beginning of 2015 at [&lt; 1000].</w:t>
      </w:r>
    </w:p>
    <w:p>
      <w:r>
        <w:t>Regarding the market for the supply of daily consumer goods, the appellant claims that the CNMC, contradicting, without necessary justification, its own and European precedents, refers to the segmentation of this market into product categories, but without analyzing those categories and assuming the unilateral and unverified segmentation provided by the respondents into seven categories that are not mentioned in the contested Resolution under the pretext of confidentiality.</w:t>
      </w:r>
    </w:p>
    <w:p>
      <w:r>
        <w:t>The European Commission has indicated that in this market further segmentation by non-substitutable product families must be carried out, reaching between 19 and 23 different categories, citing as an example the case IV/M.1221 - Rewe/Meinl, Decision of February 3, 1999, and the case COMP/M.1684 - Carrefour/Promodès, Decision of January 25, 2000, among others, and that, in the present case, segmentation into 19 or 23 product categories must be carried out in reference to what is provided in precedents of the European Union, citing as reference the Decision of the Commission in the cases IV/M.1221 - Rewe/Meinl and COMP/M.1684 - Carrefour/Promodès.</w:t>
      </w:r>
    </w:p>
    <w:p>
      <w:r>
        <w:t>It claims that the CNMC has not investigated the certainty and veracity of the data provided by the respondents, merely referring to these as supposed evidence of the absence of market power and asserts that the contested resolution has caused harm to both PROMARCA and the food industry sector and consumers.</w:t>
      </w:r>
    </w:p>
    <w:p>
      <w:r>
        <w:t>Well, given the reasoning of the contested resolution, based on reports in the files and in national and European precedents, we do not perceive, consequently, a lack of motivation in the specific aspect now examined nor a manifest error. Furthermore, PROMARCA has not proven the harm caused by the reported agreement to the appellant, to the food industry sector, and to consumers.</w:t>
      </w:r>
    </w:p>
    <w:p>
      <w:r>
        <w:t>SEVENTH. - The appellant argues that the incorrect delimitation of the markets in the contested Resolution vitiates the annulability of any further analysis of market power and/or effects. It points out that the assessment of the market shares of the respondents in the relevant markets for the purposes of the reported practice does not correspond to reality and that the CNMC unjustifiably accepted an assessment of the market power of the respondents solely based on the economic report provided by them, kept confidential for years, and that contradicts the reality of the facts, existing precedents, and the actual share data in the relevant markets in Spain according to Kantar Worldpanel information. For this purpose, it provides a certificate from Kantar Worldpanel indicating that the combined share in 2016 was 20.1% (DIA 12% and Eroski 8.2%) and in 2015 was 20.8% (DIA 12.1% and Eroski 8.7%). It adds that, furthermore, the shares in local markets where there are overlaps that greatly exceed that percentage should be analyzed, as demonstrated by the CNMC Resolution of April 9, 2015, issued in file C/0634/15 DIA/EROSKI (Assets) in which the CNMC mentioned shares, in terms of sales surface, that were around [50-60]% in the area of influence of various municipalities where there were overlaps.</w:t>
      </w:r>
    </w:p>
    <w:p>
      <w:r>
        <w:t>Regarding the market power of the respondents, it states that it is hardly appreciable if the non-substitutable categories in which this market must be segmented according to existing precedents are not taken into account and reiterates that from the contested Resolution it is inferred that a segmentation of this market into seven categories (according to the economic report of the respondents) and not 19 or 23 as indicated by European precedents, and that only in one of those segments - it is not known which - would a share exceeding 15% be reached.</w:t>
      </w:r>
    </w:p>
    <w:p>
      <w:r>
        <w:t>It adds that it is unacceptable for the CNMC itself to indicate that in some of the repeated 7 categories the threshold of legality of the joint supply practice is exceeded and, however, this issue is not analyzed or investigated.</w:t>
      </w:r>
    </w:p>
    <w:p>
      <w:r>
        <w:t>In response to the appellant, it must be stated that the contested resolution differentiates, on the one hand, the local dimension and, on the other, the national. Thus, at the local level, the analysis to measure market power follows the criterion used in national and community precedents such as in file C/0600/14 DIN GRUPO EL ÁRBOL and in the Commission's Decisions in the community cases M.991 PROMODES/CASINO and M.1087 PROMODES/SIMAGO, that is, the criterion of the surface area of the establishments. Furthermore, it is noted that the economic impact study annexed to the agreement prepared by Compass Lexecon, although it does not provide this information municipality by municipality, does contain an analysis of the impact from a global perspective (confidential page 253) from which it is concluded: (i) that the activity of the parties in the reference market overlapped in a total of [3,000-3,500] municipalities; (ii) that only in a total of [200-250] municipalities, which represents [0-10]% of the total where the activity of the parties overlaps, the limits established in CNMC precedents, such as files C/0600/14 DIA/GRUPO EL ÁRBOL, and C/0634/15 DIA EROSKI (Assets), for the authorization of concentrations are exceeded. That is,</w:t>
        <w:br/>
        <w:t>- To have a combined share exceeding 30%</w:t>
        <w:br/>
        <w:t>- To be the addition of share less than or equal to 5 percentage points</w:t>
        <w:br/>
        <w:t>- To have the combined market share of the two main competitors equal to or greater than the combined share of the parties.</w:t>
      </w:r>
    </w:p>
    <w:p>
      <w:r>
        <w:t>In addition, the national dimension is taken into account, based on the information provided by the parties and using the allocation criteria by type of establishment used in national precedents, resulting in the combined share of Eroski and DIA, based on surface area, rising in 2014 to [20-30]%.</w:t>
      </w:r>
    </w:p>
    <w:p>
      <w:r>
        <w:rPr>
          <w:b/>
        </w:rPr>
        <w:t>[Pages 10–12]</w:t>
      </w:r>
    </w:p>
    <w:p>
      <w:r>
        <w:t>JURISPRUDENCE</w:t>
      </w:r>
    </w:p>
    <w:p>
      <w:r>
        <w:t>Regarding the sales volume, it is recorded that the joint share rose in 2014 to [10-20]% according to the information provided by Kantar Worldpanel that DIA submitted to the file, and that, according to the updated information from Kantar Worldpanel in January 2016, the joint market share at the national level in terms of value was 14.1% (DIA 8.2% and Eroski 5.9%), observing a progressive reduction of the aforementioned share throughout the year 2015, as in January it was 15.1% (DIA 8.4%, Eroski 6.7 as indicated on the website: http://www.kantarworldpanel.com/grocery-market-share/spain.</w:t>
      </w:r>
    </w:p>
    <w:p>
      <w:r>
        <w:t>Furthermore, the resolution being challenged referred to the shares held by the other competitors, also according to the data from Kantar Worldpanel: Mercadona had a share of 21.9%; Carrefour, 8.6%; Lidl 3.8% and Auchan 3.8% in terms of value, data that demonstrated how the six main operators in the retail distribution market (Mercadona, Carrefour, DIA, Eroski, Lidl, and Auchan) held a national share exceeding 50%, specifically reaching 53.2%. Well, the fact that Kantar Worldpanel subsequently certified that the data published on its website differs from the actual data does not allow us to conclude that the appealed resolution has incurred in manifest error.</w:t>
      </w:r>
    </w:p>
    <w:p>
      <w:r>
        <w:t>Moreover, it should be stated that the references made in the complaint to the judgment of the National Court of April 15, 2020, which dismisses the contentious administrative appeal filed by DIA, do not have consequences in the present procedure since the object of the sanctioning files opened against DIA by MAPAMA was not the Cooperation Agreement signed in 2015 between DIA and Eroski to jointly negotiate with large suppliers, but the infringements committed in the supply contracts for food products in force between DIA and the manufacturers, in the period after September 2015 when the sanctioned entity unilaterally decided to make alterations to some of the previously agreed conditions and as a consequence of the collaboration agreement and without the acceptance of the other party.</w:t>
      </w:r>
    </w:p>
    <w:p>
      <w:r>
        <w:t>EIGHTH. - The appellant rejects that, in the present case, the Agreement between DIA and EROSKI could generate beneficial effects for the final consumer. It adds that there was an evident risk of exchange of sensitive information between competitors as a result of the implementation of the agreement, as highlighted by both the complainants and various suppliers.</w:t>
      </w:r>
    </w:p>
    <w:p>
      <w:r>
        <w:t>To respond to this ground of appeal, it is worth recalling that the appealed resolution takes as a reference the analysis scheme proposed by the "Guidelines on the applicability of Article 101 of the Treaty on the Functioning of the European Union to horizontal cooperation agreements," specifying that it cannot be considered that the Agreement analyzed here has the object of restricting competition (Paragraph 205 of the Guidelines), and therefore the analysis of its effects must proceed in the terms provided in Paragraph 207, which states: "Joint purchasing arrangements that do not restrict competition by object must be analyzed in their legal and economic context taking into account their actual and probable effects on competition. The analysis of the restrictive effects on competition generated by a joint purchasing arrangement must include the negative effects in both the purchasing and selling markets." Furthermore, Paragraph 201 of the aforementioned Guidelines establishes that: "if the parties have a considerable degree of market power (which does not necessarily have to be equivalent to a dominant position) in the selling market, it is likely that the lower purchase prices achieved through the joint purchasing arrangement do not benefit consumers."</w:t>
      </w:r>
    </w:p>
    <w:p>
      <w:r>
        <w:t>It explains that the analysis of the economic report annexed to the Agreement attempts to demonstrate the absence of market power in the vast majority of municipalities affected by it, using the methodology employed by the CNMC for the control of concentrations. And that, however, since it is an agreement between two companies and not a concentration operation, the analysis must be carried out in light of the criteria established in paragraph 208 of the Guidelines, according to which "it is unlikely that there is market power if the parties to the joint purchasing arrangement have a joint market share that does not exceed 15% in the purchasing markets and also a joint market share that does not exceed 15% in the selling markets." It cannot be considered that the Agreement analyzed here has the object of restricting competition (Paragraph 205 of the Guidelines), and therefore the analysis of its effects must proceed in the terms provided in Paragraph 207:</w:t>
      </w:r>
    </w:p>
    <w:p>
      <w:r>
        <w:t>Having said that, the economic report attached to the Agreement indicates that in [40-50]% of the municipalities where the retail distribution activity of daily consumer goods of the parties overlaps, they have a market share exceeding 15%, thus exceeding the threshold established in the aforementioned paragraph 208.</w:t>
      </w:r>
    </w:p>
    <w:p>
      <w:r>
        <w:t>Thus, based on the market share held in each municipality by the parties jointly, the municipalities where both are present can be classified as follows:</w:t>
        <w:br/>
        <w:t>- In [50-60]% of the municipalities, the joint share is below 15%.</w:t>
        <w:br/>
        <w:t>- In [10-20]% of the municipalities, the joint share is between 15 and 30%.</w:t>
        <w:br/>
        <w:t>- In [30-40]% of the municipalities, the joint share exceeds 30%.</w:t>
      </w:r>
    </w:p>
    <w:p>
      <w:r>
        <w:t>It adds that in accordance with paragraph 209, exceeding the 15% share does not automatically indicate that the Agreement produces restrictive effects on competition, although it does make it necessary to evaluate its effects in the market: "A market share that exceeds one or both thresholds does not automatically indicate that it is likely that the joint purchasing arrangement will produce restrictive effects on competition. When a joint purchasing arrangement is not covered by this regulatory safeguard, it will be necessary to evaluate in detail its effects in the market encompassing, among others, factors such as market concentration and the possible negotiating power of strong suppliers."</w:t>
      </w:r>
    </w:p>
    <w:p>
      <w:r>
        <w:t>The economic report annexed to the Agreement reveals that at the national level the HHI index (Herfindahl-Hirschman Index) of the retail distribution market stood at the beginning of 2015 at [700-800] (folio 280), which according to the criteria of the European Commission is below the threshold at which competition risks may arise. It recalls that paragraph 19 of the Guidelines on the assessment of horizontal concentrations under the Council Regulation on the control of concentrations between companies (Official Journal C 31 of February 5, 2004) states in this regard that "it is unlikely that the Commission will detect horizontal competition problems in a market that after the concentration has an HHI below 1000. In general, it is not necessary to carry out a detailed analysis of such markets."</w:t>
      </w:r>
    </w:p>
    <w:p>
      <w:r>
        <w:t>Furthermore, the resolution rejects the risk that the establishment of a most-favored-customer clause, such as that which the Agreement effectively implies, poses for competition, facilitating price alignment and indirect coordination among distributors since there is not a high degree of market concentration.</w:t>
      </w:r>
    </w:p>
    <w:p>
      <w:r>
        <w:t>Regarding the supply market, the appealed resolution reasons that, according to paragraph 202 of the Guidelines, one of the risks that such agreements may pose is that excessive market power in the purchasing market may force suppliers to reduce the range or quality of products, as well as investment in launching innovations, but that recent studies have indicated that there is no evidence to establish a direct link between the increase in purchasing power of distributors and a potential reduction in innovation and variety of products available to consumers, as stated in the European Commission's 2014 report entitled "The economic impact of new distribution on variety and innovation in the food sector in the EU. Final report." It adds that the threshold established by the Guidelines from which it is considered that the market power of the parties may pose risks to competition is 15% (paragraph 208) and the parties in the agreement only have a joint share slightly above that threshold in one of the segments.</w:t>
      </w:r>
    </w:p>
    <w:p>
      <w:r>
        <w:t>As for the "cash &amp; carry distribution market," it is considered that the agreement does not pose risks for competition in this market as the joint share at the aforementioned national level is below [0-10]%. Therefore, in accordance with paragraph 208 of the Guidelines in fine: "if the joint market shares of the parties do not exceed 15% in both the purchasing and selling markets, it is likely that the conditions of Article 101, paragraph 3, are met."</w:t>
      </w:r>
    </w:p>
    <w:p>
      <w:r>
        <w:t>In light of this, the challenged resolution reasons that the market power held jointly by DIA and Eroski in both the upstream and downstream markets is not sufficiently high for the agreement to pose risks to competition.</w:t>
      </w:r>
    </w:p>
    <w:p>
      <w:r>
        <w:t>And that, consequently, the negotiating power that suppliers maintain remains sufficient to counteract the strengthening of purchasing power by DIA and Eroski. It adds that while it is true that in certain municipalities the parties may hold a joint market share in the retail distribution market that slightly exceeds the 15% limit set by the Guidelines, and from which it is advisable to evaluate the effects of the Agreement on the competitive environment of the market (paragraph 209 of the Guidelines), it must be taken into account that, according to the information provided, the joint market share held by DIA and Eroski in the supply market amounts nationally to [0-10]%. In the various affected segments, the joint share always remains below the aforementioned threshold of 15%, with a single exception in one of them, where that value is slightly exceeded. Therefore, it can be stated, in light of the information provided, that the negotiating power that suppliers maintain remains sufficient to counteract the strengthening of purchasing power by DIA and Eroski.</w:t>
      </w:r>
    </w:p>
    <w:p>
      <w:r>
        <w:t>The resolution continues to explain that, from the perspective of the vertical relationship between DIA and Eroski, on the one hand, and the respective suppliers, on the other, and in accordance with paragraph 196 of the Guidelines, the joint market share of DIA and Eroski in the supply market for goods would be covered by the exemption provided in Regulation (EU) No. 330/2010 of the Commission, of April 20, 2010, regarding the application of Article 101, paragraph 3, of the Treaty on the Functioning of the European Union to certain categories of vertical agreements and concerted practices, whose Article 3 establishes that the exemption provided in Article 2 thereof shall apply provided that: "the supplier's market share does not exceed 30% of the relevant market in which it sells the contractual goods or services and that the buyer's market share does not exceed 30% of the relevant market in which it purchases the contractual goods or services" and that regardless of the market share of each of the affected suppliers, in none of the segments that would comprise the supply market does DIA and Eroski jointly exceed that threshold of 30%. It is also worth highlighting the potential positive effects for competition of such agreements (such as lower purchase prices or reduced transaction costs), under certain market conditions and the impact that such agreements may have on promoting innovation or increasing the diversity of products offered by suppliers, also mentioned in paragraph 208 of the Guidelines.</w:t>
      </w:r>
    </w:p>
    <w:p>
      <w:r>
        <w:t>NINTH.- Regarding the risk of information exchange, the appealed resolution states that an exchange of information as provided in the Agreement may, under certain circumstances, present risks for competition (paragraph 58 of the Guidelines) but that, nevertheless, the possibility that the safeguard mechanisms provided by the Agreement may prevent the information exchange from leading to collusive outcomes must be considered, specifying that the agreement includes various clauses to ensure the confidentiality of the information such as the existence of a Consultant acting as a filter in the information exchanges between the Parties, so that once the information sent by the parties is received and processed, it will only transmit aggregated figures; the configuration by the Consultant of a "Clean Data Room" to ensure that the data provided is kept in the strictest confidentiality; the channeling of negotiations with each of the suppliers through two negotiators for each party, and their submission to a specific confidentiality commitment, the limitation of joint negotiations to the set of issues included in the Joint Negotiation Scope, obliging the negotiators to inform the supplier representatives at the beginning of each session that they are not authorized to discuss any other issue in the presence of the other Party, so that, ultimately, the information received by the parties is aggregated and the mechanisms provided in the agreement ensure confidentiality.</w:t>
      </w:r>
    </w:p>
    <w:p>
      <w:r>
        <w:t>TENTH. - For all the above reasons, it is not perceived that the CNMC has incurred in a misuse of its powers regarding the decision not to initiate sanction proceedings concerning the analyzed complaint, proceeding, consequently, to dismiss the present contentious-administrative appeal with the imposition of costs on the appellant party.</w:t>
      </w:r>
    </w:p>
    <w:p>
      <w:r>
        <w:t>The conclusion must be the same in this case given, we insist, the identity of the assumptions and the grounds for appeal put forward by the plaintiff entities, which determines that the appeal is likewise dismissed.</w:t>
      </w:r>
    </w:p>
    <w:p>
      <w:r>
        <w:t>FOURTH.- The costs of this instance shall be borne by the plaintiff party in application of what is provided in Article 139.1 of the Law regulating the Contentious-Administrative Jurisdiction.</w:t>
      </w:r>
    </w:p>
    <w:p>
      <w:r>
        <w:t>HAVING REGARD to the cited articles and others of general and pertinent application,</w:t>
      </w:r>
    </w:p>
    <w:p>
      <w:r>
        <w:t>WE DECREE</w:t>
      </w:r>
    </w:p>
    <w:p>
      <w:r>
        <w:t>To dismiss the contentious-administrative appeal filed by the Attorney Dª Consuelo Rodríguez Chacón on behalf of the Spanish Federation of Food and Beverage Industries (FIAB) against the resolution of September 29, 2016, issued by the Competition Chamber of the National Commission of Markets and Competition in file S/DC/0570/15 SUPPLY DIA/EROSKI, by which the non-initiation of sanction proceedings and the archiving of the actions followed as a consequence of the complaint filed by FIAB and PROMARCA was agreed.</w:t>
      </w:r>
    </w:p>
    <w:p>
      <w:r>
        <w:t>With the imposition of costs on the plaintiff party.</w:t>
      </w:r>
    </w:p>
    <w:p>
      <w:r>
        <w:t>This judgment, which will be notified in the manner provided by Article 248 of the Organic Law of the Judiciary, is subject to cassation appeal, which must be prepared before this Chamber within 30 days from the day following its notification; in the preparation document of the appeal, compliance with the requirements established in Article 89.2 of the Jurisdiction Law must be evidenced justifying the objective cassation interest presented.</w:t>
      </w:r>
    </w:p>
    <w:p>
      <w:r>
        <w:t>What we pronounce, command,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