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https://www.cnmc.es/expedientes/sdc057416</w:t>
      </w:r>
    </w:p>
    <w:p>
      <w:r>
        <w:t>Pages translated : 11</w:t>
      </w:r>
    </w:p>
    <w:p/>
    <w:p>
      <w:r>
        <w:rPr>
          <w:b/>
        </w:rPr>
        <w:t>[Pages 1–3]</w:t>
      </w:r>
    </w:p>
    <w:p>
      <w:r>
        <w:t>JURISPRUDENCE</w:t>
        <w:br/>
        <w:t>Roj: SAN 2610/2021 - ECLI:ES:AN:2021:2610</w:t>
        <w:br/>
        <w:t>Id Cendoj:28079230062021100259</w:t>
        <w:br/>
        <w:t>Body: National Court. Administrative Litigation Chamber</w:t>
        <w:br/>
        <w:t>Venue: Madrid</w:t>
        <w:br/>
        <w:t>Section: 6</w:t>
        <w:br/>
        <w:t>Date: 31/05/2021</w:t>
        <w:br/>
        <w:t>Case Number: 286/2017</w:t>
        <w:br/>
        <w:t>Resolution Number:</w:t>
        <w:br/>
        <w:t>Procedure: Ordinary procedure</w:t>
        <w:br/>
        <w:t>Rapporteur: MARIA JESUS VEGAS TORRES</w:t>
        <w:br/>
        <w:t>Type of Resolution: Judgment</w:t>
        <w:br/>
        <w:t>N A T I O N A L C O U R T</w:t>
        <w:br/>
        <w:t>Administrative Litigation Chamber</w:t>
        <w:br/>
        <w:t>SECTION SIX</w:t>
        <w:br/>
        <w:t>Case Number: 0000286 /2017</w:t>
        <w:br/>
        <w:t>Type of Appeal: ORDINARY PROCEDURE</w:t>
        <w:br/>
        <w:t>General Registry Number: 02348/2017</w:t>
        <w:br/>
        <w:t>Claimant: UNION OF BULLFIGHTERS</w:t>
        <w:br/>
        <w:t>Procurator: Ms. CARMEN GARCÍA RUBIO</w:t>
        <w:br/>
        <w:t>Defendant: NATIONAL COMMISSION ON MARKETS AND COMPETITION</w:t>
        <w:br/>
        <w:t>State Attorney</w:t>
        <w:br/>
        <w:t>Rapporteur: Mr. MARIA JESUS VEGAS TORRES</w:t>
        <w:br/>
        <w:t>J U D G M E N T No.:</w:t>
        <w:br/>
        <w:t>Madam President:</w:t>
        <w:br/>
        <w:t>Ms. BERTA SANTILLAN PEDROSA</w:t>
        <w:br/>
        <w:t>Honorable Judges:</w:t>
        <w:br/>
        <w:t>Mr. FRANCISCO DE LA PEÑA ELIAS</w:t>
        <w:br/>
        <w:t>Mr. SANTOS GANDARILLAS MARTOS</w:t>
        <w:br/>
        <w:t>Mr. MARIA JESUS VEGAS TORRES</w:t>
        <w:br/>
        <w:t>Mr. RAMÓN CASTILLO BADAL</w:t>
        <w:br/>
        <w:t>Madrid, on the thirty-first of May two thousand twenty-one.</w:t>
        <w:br/>
        <w:t>HAVING SEEN the present administrative litigation appeal number 286/2017 filed by Procurator Ms. Carmen García Rubio, on behalf of UNION OF BULLFIGHTERS, against the Resolution dated February 2, 2017, issued by the Competition Chamber of the National Commission on Markets and Competition (File NUM000, UNION OF BULLFIGHTERS). The defendant Administration has been a party in the proceedings, represented and defended by the State Attorney.</w:t>
        <w:br/>
        <w:t>FACTUAL BACKGROUND</w:t>
        <w:br/>
        <w:t>FIRST. - The appeal was filed and the appropriate procedures provided by the Law on Jurisdiction were followed, the claimant was summoned to formalize the claim, which was verified by means of a written document in which, after presenting the facts and legal grounds deemed applicable, concluded by requesting that a judgment be issued declaring:</w:t>
        <w:br/>
        <w:t>"1st- The nullity of full right of the challenged resolution, under Article 47.1 a) of Law 39/2015, of October 1, for considering it injurious to the fundamental right to strike that assists my client.</w:t>
        <w:br/>
        <w:t>2nd- The nullity of full right of the challenged resolution, under Article 47.1 a) of Law 39/2015, of October 1, for considering it injurious to the fundamental right of freedom of association that assists my client.</w:t>
        <w:br/>
        <w:t>3rd- Subsidiarily, the removal, in the literal wording of the operative part of the appealed resolution, of the expression "significantly," for considering that the conduct of UT, by its nature, lacks the capacity to distort competition in the markets for the purposes of the LDC.</w:t>
        <w:br/>
        <w:t>4th- In any case, the restoration of my client in the integrity of their rights through the following express pronouncements:</w:t>
        <w:br/>
        <w:t>4.1- The lack of standing of the defendant to restrict or condition the exercise of the right to strike of UT, in its recognized condition as a trade union association.</w:t>
        <w:br/>
        <w:t>4.2- The non-subjection of the activity of UT, in its recognized condition as a trade union association, to the scope of application of the LDC, particularly regarding the exercise of the constitutional right to strike in defense of the interests of the workers it represents.</w:t>
        <w:br/>
        <w:t>4.3- The undue and illegitimate exclusion of the protection of the constitutional right to strike, by the CNMC, regarding the strike calls of UT that seek to enforce compliance by companies with a basic labor right of workers such as the receipt of wages.</w:t>
        <w:br/>
        <w:t>4.4- The undue and illegitimate exclusion of the protection of the constitutional right to strike, by the CNMC, regarding the strike calls made by UT insofar as they may be primarily aimed at defending rights claimed by affiliated workers.</w:t>
        <w:br/>
        <w:t>4.5- The undue and illegitimate consideration by the CNMC that the actual impact of a legal strike on the activity of the company, causing the suspension of a bullfighting event, would convert the strike, by its effects, into a violation of Article 1 of the LDC.</w:t>
        <w:br/>
        <w:t>4.6- The undue consideration by the CNMC that the claim of the so-called "image rights" that the organizing companies of bullfighting events owe to the bullfighters due to the television broadcast of their performances, when such rights were negotiated through a commercial company, would not be protected by the right to strike.</w:t>
        <w:br/>
        <w:t>4.7- The undue consideration by the CNMC, underlying the previous criterion, that the claim for strictly wage amounts would also not be protected by the right to strike when the claiming bullfighters had contracted their services to perform in bullfighting events through commercial companies."</w:t>
        <w:br/>
        <w:t>SECOND. - The State Attorney responded to the claim with a written document in which it requested that a judgment be issued confirming the challenged acts in all their aspects.</w:t>
        <w:br/>
        <w:t>THIRD. - Since the receipt of the appeal for evidence was not agreed upon, the parties were given the opportunity to argue on the grounds of inadmissibility raised by the State Attorney, which having been verified, the proceedings were concluded and pending designation for deliberation, voting, and judgment, for which purpose the day April 28 of the current year was set, on which it took place.</w:t>
        <w:br/>
        <w:t>The rapporteur has been the Honorable Ms. Dña. Jesús Vegas Torres, who expresses the opinion of the Chamber.</w:t>
        <w:br/>
        <w:t>LEGAL GROUNDS</w:t>
        <w:br/>
        <w:t>FIRST. - Through this process, the acting entity challenges the Resolution dated February 2, 2017, issued by the Competition Chamber of the National Commission on Markets and Competition (File NUM000, UNION OF BULLFIGHTERS) by which it was resolved:</w:t>
        <w:br/>
        <w:t>"To declare that it has not been proven in the present Sanctioning File NUM000 the commission by the UNION OF BULLFIGHTERS of an infringement typified in Article 1 of Law 15/2007 of July 3, on the Defense of Competition and consequently and in full assumption of the Report and Proposal for Resolution that was raised to it by the Directorate of Competition on December 7, since the instructed conduct, consisting of the issuance of collective recommendations to members, within the framework of the global strategy of UT for calling and uncalling strikes, as a mechanism of pressure and negotiation to resolve situations of individual non-payments with associated bullfighters, lacks the capacity, by its object or effects, to significantly distort competition in the affected markets."</w:t>
        <w:br/>
        <w:t>As procedural antecedents of interest for resolving the litigation, the following should be highlighted, in view of the documents that make up the administrative file:</w:t>
        <w:br/>
        <w:t>(1) On June 30, 2015, a written document from the Director-Manager of the Competition Defense Agency of Andalusia (ADCA) was received by the National Commission on Markets and Competition (CNMC), informing of the complaint filed by a law firm against UNION OF BULLFIGHTERS (UT), for alleged conduct prohibited by the ADCA, for which the competent body to know of these actions is this Directorate of Competition (page 359).</w:t>
        <w:br/>
        <w:t>(3) The complaint states that UT had approached the City Council of Puerto de Santamaría informing them of the initiation of procedures for calling a strike in the aforementioned bullring, as a pressure measure to seek the collection of a debt that the contracting company of the bullring, UTE Puerto de Santamaría 2014, had with the bullfighter Secundino. This would have resulted in the limitation of competition by preventing UTE Puerto de Santamaría from carrying out its activity (pages 2 to 13).</w:t>
        <w:br/>
        <w:t>(4) On July 14, 2015, the Directorate of Competition initiated preliminary investigation proceedings, under file number NUM001 (page 358).</w:t>
        <w:br/>
        <w:t>(5) The Directorate of Competition sent requests for information to UT in order to provide copies of all communications, circulars, and instructions that had been generally directed to its members during the period 2013-2015 as well as copies of all communications directed to city councils and contracting companies of bullrings during the period 2013-2015.</w:t>
        <w:br/>
        <w:t>(6) On January 29, 2016, the Directorate of Competition initiated sanctioning proceedings against UT, under file number NUM000, to which the actions carried out in the preliminary proceedings DP/0101/15 were incorporated, due to the existence of rational indications of the commission of an infringement of Article 1 of the LDC, consisting of the issuance of collective recommendations to its members, of a restrictive nature of competition in the different affected areas, aimed at encouraging these members to boycott certain bullfighting events, as a pressure element for the collection of debts that certain organizing companies of bullfighting events maintain with the members of UT (pages 14 to 15).</w:t>
        <w:br/>
        <w:t>(7) The Directorate of Competition sent requests for information to UT regarding the agreements adopted by UT concerning non-payments to the bullfighters associated with UT; the number of members differentiated by categories: bullfighters, novilleros, and rejoneadores; the contact postal address data of certain bullfighting professionals related to the investigated facts and about the category of the bullrings where UT had made strike calls, as well as the number of bullfighting events held in Spain during the period 2012-2015 and the estimate of the total income generated in those bullfighting events. It also requested data from UT about the participation of bullfighters associated with UT in bullfighting events in 1st and 2nd category bullrings, as well as information about strike calls from UT that were going to be broadcast on television in 2012-2015.</w:t>
        <w:br/>
        <w:t>(8) The Directorate of Competition, in view of the instructed proceedings, considered in the Specification of Facts (PCH) that "the global strategy of the UNION OF BULLFIGHTERS considers that the global strategy of UT for calling and uncalling strikes, as a mechanism of pressure and negotiation to resolve situations of individual non-payments with associated bullfighters, would not have had the capacity to significantly distort the competitive dynamics of the affected markets nor to significantly penalize bullfighters not associated with UT."</w:t>
        <w:br/>
        <w:t>(9) Notified to the interested party the PCH, it submitted a written document of allegations.</w:t>
        <w:br/>
        <w:t>(10) Once the instruction phase was closed, the Directorate General of Competition, in view of the allegations and the response to them, considers that "the proven facts and the legal qualification of the same established in the PCH have not been significantly altered, so its conclusions must be maintained that in the present case 'it has not been possible to prove that the conduct of the UNION OF BULLFIGHTERS, consisting of the issuance of collective recommendations to members, within the framework of the global strategy of UT for calling and uncalling strikes, as a mechanism of pressure and negotiation to resolve situations of individual non-payments with associated bullfighters, therefore it could not be proven that this conduct constitutes an infringement typified in Article 1 of the LDC,' proposing 'that it be declared that it has not been proven in the present file the commission by UNION OF BULLFIGHTERS of an infringement typified in Article 1 of Law 15/2007, of July 3, on the Defense of Competition.'"</w:t>
        <w:br/>
        <w:t>(11) Once the proposal for Resolution was notified to UT, it submitted a written document of allegations.</w:t>
      </w:r>
    </w:p>
    <w:p>
      <w:r>
        <w:rPr>
          <w:b/>
        </w:rPr>
        <w:t>[Pages 4–6]</w:t>
      </w:r>
    </w:p>
    <w:p>
      <w:r>
        <w:t>JURISPRUDENCE</w:t>
        <w:br/>
        <w:t>(12) The Competition Chamber of the National Commission on Markets and Competition issued a Resolution on February 2, 2017, which is the subject of challenge in the present proceedings.</w:t>
      </w:r>
    </w:p>
    <w:p>
      <w:r>
        <w:t>The Directorate General of Competition considers the UNION OF BULLFIGHTERS as the sole interested party in the file, which is constituted, as established in its Statutes, as "a Trade Union Association whose essential purpose is the defense of the interests and to safeguard the prestige of the bullfighting festival in general and the profession of bullfighter in particular, in its different categories of bullfighter, novillero, and rejoneador." "It represents the collective interests of bullfighters, novilleros, and rejoneadores of different professional levels in a transversal manner (both great figures, as well as medium-profile bullfighters and beginners)."</w:t>
      </w:r>
    </w:p>
    <w:p>
      <w:r>
        <w:t>It adds that, "according to the information provided by UT, in 2015 there were a total of 145 active bullfighters associated with UT, representing 7.15% of the total of 2,026 active bullfighters listed in the General Register of bullfighting professionals of the Ministry of Education, Culture and Sports (MECD). By categories, the active bullfighters associated with UT represent 18.6% compared to the total of registered active bullfighters in the MECD. The associated novilleros account for 0.57% of the total registered in the MECD, and the rejoneadores associated with UT represent 0.07% compared to the total registered in the MECD (pages 233 to 234). According to UT, 48% of the bullfighters (matadores de toros, rejoneadores, and novilleros) participating in 2015 in bullfighting events in first-category bullrings were affiliated with UT."</w:t>
      </w:r>
    </w:p>
    <w:p>
      <w:r>
        <w:t>Regarding the affected markets, it is noted that, based on the Resolution of the defunct National Competition Commission (CNC), dated March 22, 2013, in file NUM002, the CNC considered that within the scope of the organization of bullfighting shows, several vertically related markets could be distinguished.</w:t>
      </w:r>
    </w:p>
    <w:p>
      <w:r>
        <w:t>A first block of markets would be configured by the commercial relationships between bullfighters, livestock farms, bullrings, and companies organizing bullfighting shows, through which bullrings hire livestock farms and bullfighters (along with their crew) to participate in a certain number of bullfighting shows, whether within a fair or individual bullfighting events.</w:t>
      </w:r>
    </w:p>
    <w:p>
      <w:r>
        <w:t>A second block of markets, vertically related to the previous one, would encompass the marketing of tickets for attendance at the bullfighting shows organized in the bullring, as well as the marketing of the television broadcasting rights of such bullfighting shows.</w:t>
      </w:r>
    </w:p>
    <w:p>
      <w:r>
        <w:t>Therefore, it is concluded that, for the purposes of the present file, the affected product markets by the investigated behaviors will include both blocks of markets, although the investigated behaviors are concentrated in the market that encompasses the relationships between the organizers of bullfighting shows and the bullfighting professionals.</w:t>
      </w:r>
    </w:p>
    <w:p>
      <w:r>
        <w:t>As for the geographical market, it is considered to have a national geographical dimension, given that the demand is imminently national and, moreover, the commercial exploitation of these activities is based on the national markets in which specific regulations and competition conditions apply.</w:t>
      </w:r>
    </w:p>
    <w:p>
      <w:r>
        <w:t>SECOND.- The contested resolution, gathering the proven facts and the assessments contained in the PCH and in the Proposal Report, records the agreements adopted by the UNION OF BULLFIGHTERS regarding the situation of unpaid wages to associated bullfighters by the promoting and organizing companies of bullfighting shows and examines the regulatory framework for the organization of Bullrings, established by Royal Decree 145/1996, of February 2, as well as the data related to the number of strike calls concerning the different categories of bullrings and the estimates on the broadcasts of bullfighting events and revenues from ticket sales and audiovisual rights derived from the celebration of bullfighting shows at the national level and, prior to analyzing the possible competitive nature of what it calls the "strategy" of the UNION OF BULLFIGHTERS, examines whether in this case, given that the right to strike is a fundamental right enshrined in Article 28 CE, the exemption provided for in Article 4 of the LDF is applicable.</w:t>
      </w:r>
    </w:p>
    <w:p>
      <w:r>
        <w:t>It recognizes the active legitimacy of UT to call strikes in defense of the interests of its affiliates, the labor nature of the claims raised in the strikes, and concludes that the calls and cancellations of strikes, as a pressure element, would not in itself have a anticonceptive object for the purposes of Article 1 LDC, to the extent that this conduct, in what does not affect image rights, is framed in the exercise by the UNION OF BULLFIGHTERS, as the representative association of bullfighters, of the collective right to call strikes but that, however, could result in restrictions on competition due to their effects because.</w:t>
      </w:r>
    </w:p>
    <w:p>
      <w:r>
        <w:t>(i) It could have given a competitive advantage to the associated bullfighters in the markets of commercial relationships between bullfighters and organizing companies of bullfighting events compared to non-associated bullfighters.</w:t>
      </w:r>
    </w:p>
    <w:p>
      <w:r>
        <w:t>(ii) It could have resulted in the limitation of competition "by preventing the organizers of bullfighting events from developing their activity" to the extent that "the suspension of a bullfighting event motivated by a strike call will affect the economic activity of the organizing company of the bullfighting event, as it stops receiving the ticket revenues that may correspond, and as a consequence of this, in the vertically related markets with the marketing of bullfighting shows, competition could be limited, violating Article 1.1 LDC."</w:t>
      </w:r>
    </w:p>
    <w:p>
      <w:r>
        <w:t>However, it agrees with the Directorate General of Competition that, in the examined case, the analyzed strategy would not have the capacity to significantly distort the competitive dynamics of the affected markets nor to significantly penalize non-affiliated bullfighters.</w:t>
      </w:r>
    </w:p>
    <w:p>
      <w:r>
        <w:t>Specifically, regarding the event organizers, because, given that in the period 2012-2015 there was no suspension of bullfighting events, their activity would have been threatened but they would not have been affected by the strike calls made by the UNION OF BULLFIGHTERS.</w:t>
      </w:r>
    </w:p>
    <w:p>
      <w:r>
        <w:t>And regarding the repercussions on non-associated bullfighters and on the economic activity of the organizers of bullfighting events in the considered markets, because taking into account that the strike calls made have been concentrated in 3rd and 4th category Bullrings, where the revenues are significantly lower than those in 1st and 2nd category bullrings, as well as the reduced number of affected events in relation to the total number of bullfighting events held each year in Spain (less than 5%), which in turn affects the weight in the market of the potentially affected revenues by the calls and cancellations of strikes.</w:t>
      </w:r>
    </w:p>
    <w:p>
      <w:r>
        <w:t>THIRD.- Disagreeing with the contested resolution, the legal representation of the UNION OF BULLFIGHTERS states that, although formally its operative part exonerates the appellant from liability, the conclusion reached by the CNMC is the direct and inseparable result of a manifestly contradictory legal reasoning and that, if maintained, would seriously compromise, if not prevent, the future exercise by the plaintiff of its constitutional rights of Trade Union Freedom and Strike.</w:t>
      </w:r>
    </w:p>
    <w:p>
      <w:r>
        <w:t>For the reasons stated, it challenges those legal grounds that collide with the aforementioned rights, as well as the inclusion in its ruling of the expression "significantly," considering that the conduct judged in the administrative file has no suitability or capacity, either significant or insignificant, to distort competition for the purposes of Article 1 of the LDC, as neither its agent nor the judged conduct are included in the scope of application of the LDC.</w:t>
      </w:r>
    </w:p>
    <w:p>
      <w:r>
        <w:t>That said, it states that the contested resolution, by fully adopting the criteria maintained in the preceding PR, considers that the strike calls processed by UT, although validly and legitimately formalized and being lawful in their object, are potentially anticompetitive agreements, although the limited significance that in terms of competition such calls have had in the affected markets leads to not considering them as constitutive of an infringement typified in Article 1 of the LDC, a conclusion it rejects because, in its opinion, the strike calls made by a union (a quality recognized in UT), with the legal formalities, in defense of labor rights of the affiliated workers (a condition recognized in the bullfighters) can never be an anticompetitive practice for the purposes of the LDC, regardless of the effects that such calls, or the final impact of each strike on the affected workplace, may produce in the market.</w:t>
      </w:r>
    </w:p>
    <w:p>
      <w:r>
        <w:t>It adds that Article 1 of the LDC only prohibits agreements or concerted practices between companies, but does not prohibit, nor can it prohibit, agreements between workers, nor their collective representation, aimed at claiming their own labor interests, improving or protecting working and salary conditions, through the exercise of their constitutionally recognized right to strike and that the strike that respects the limits of the Constitution and the laws regulating this fundamental right is outside the subjective and objective scope of the prohibition of said Article 1 LDC because:</w:t>
      </w:r>
    </w:p>
    <w:p>
      <w:r>
        <w:t>a) The UT, to the extent that it limits its functions to the strictly union scope, as is the case of exercising the right to strike in defense of the labor rights of the workers it represents, cannot have the status of an economic operator (company or association of companies) for the purposes of its inclusion in the scope of application of Article 1 of the LDC, which is why it is inappropriate to qualify the simple and legitimate "calls to strike" as "collective recommendations" and refers to "commercial relationships between bullfighters (workers) and companies organizing events)."</w:t>
      </w:r>
    </w:p>
    <w:p>
      <w:r>
        <w:t>b) In any case, Article 28.2 of the Spanish Constitution protects the collective and individual exercise of the right to strike by unions and workers, without the need for this constitutional provision to operate as an exclusive law for the purposes of Article 4 LDC.</w:t>
      </w:r>
    </w:p>
    <w:p>
      <w:r>
        <w:t>c) The assessment of whether certain strike calls by a union, individually or jointly considered, are protected under Article 28.2 of the Spanish Constitution or in the jurisprudence of the TC that develops and configures the right to strike, no longer corresponds to the Administration (CNMC) or the ordinary legislator, but to the bodies of the social jurisdiction and, ultimately, to the Constitutional Court.</w:t>
      </w:r>
    </w:p>
    <w:p>
      <w:r>
        <w:t>It denounces that neither the contested resolution nor the proposal for resolution reaches a conclusion on whether, in the analyzed case, Article 4 LDC is applicable or not, according to which "the prohibitions of this chapter shall not apply to behaviors resulting from the application of a Law," although it can be inferred from its reasoning a negative response.</w:t>
      </w:r>
    </w:p>
    <w:p>
      <w:r>
        <w:t>Furthermore, it states that bullfighters are workers on behalf of the organizing entrepreneur of the event, integrating a special labor relationship regulated in the Workers' Statute, detailed by the National Bullfighting Collective Agreement. That the CNMC itself recognizes the legitimacy of UT, in its condition as a union association, to make strike calls, the condition of employees of the bullfighters, and the labor nature of their relationship with the organizing companies of bullfighting events, so it assumes that the right to strike would be part of the rights recognized to bullfighting professionals within the framework of their special labor relationship, specifying, next, that what is analyzed in the file is not the legality of the strike calls, but "the compatibility with Article 1 of the LDC of the underlying global strategy of UT in using the call and cancellation of strikes as a mechanism to negotiate the resolution of individual unpaid wages to its affiliates, and not to improve the current or future working conditions in a specific bullring, to conclude next (PR I-55) that this global strategy of UT would be outside the protection of the right to strike, to the extent that it would go beyond what is provided in constitutional jurisprudence, as it does not seek to improve the current or future working conditions of bullfighting professionals, nor is it a protest with repercussions in other spheres or areas." Thus, it denounces that, in the opinion of the CNMC, the right to strike would not protect strikes aimed at resolving unpaid wages to workers, as the satisfaction of outstanding salary debts does not imply improving economic or working conditions.</w:t>
      </w:r>
    </w:p>
    <w:p>
      <w:r>
        <w:t>To dismantle this argument, the appellant presents the characterization of the right to strike by the Constitutional Court, contained in STC 11/1981, and acknowledges that the legality of the strike motivated by the claim of unpaid wages had never been questioned before but that there are numerous rulings from the social jurisdiction in whose factual background it is stated that a strike was initially called due to the non-payment of wages by employers and subsequently the dismissal of those workers occurred, which rule in favor of the workers.</w:t>
      </w:r>
    </w:p>
    <w:p>
      <w:r>
        <w:t>In any case, the appellant states that the strikes called by UT pursued not only the fulfillment of the obligation to pay outstanding wages but also, indirectly, had a deterrent and preventive purpose against future non-compliance and that they were protected by the right to strike.</w:t>
      </w:r>
    </w:p>
    <w:p>
      <w:r>
        <w:t>It questions that the call and cancellation of strikes is referred to as "underlying global strategy" and that the conduct of the UNION OF BULLFIGHTERS is analyzed outside the protection of the right to strike and that, in application of Article 1 LDC, it enters to assess whether such conduct can be considered anticompetitive either by its object or by its effects and that the contested resolution is contradictory in that the CNMC applies the LDC to UT by considering that its conduct is not protected by the fundamental right to strike, to subsequently, once Article 1 LDC is applied, consider that the object of UT's conduct is not anticompetitive as it is framed in the exercise of the right to strike by UT.</w:t>
      </w:r>
    </w:p>
    <w:p>
      <w:r>
        <w:t>Moreover, the appellant denies that the calls and cancellations of strikes constitute an anticompetitive conduct by their effects and, specifically, regarding the alleged competitive advantage of associated bullfighters over non-associated ones to UT and the alleged impact on the right of association recognized in Article 20 CE, states that the LDC protects competition between companies and not between employees and that, consequently, it is not appropriate to speak of "competitive advantage" among bullfighters, much less within the framework of supposed "commercial relationships" between the workers-bullfighters and the organizing entrepreneurs of bullfighting events. It adds that it is absurd to reproach a supposed competitive advantage for some workers who, with their effort, constitute and financially sustain a union organization with their dues and therefore benefit from their actions (not only in terms of collection management; also in others such as regulatory ordering of the sector, negotiation and management of collective agreements, etc.) compared to other workers who, indifferent, do not participate in the support of the union organization and yet are equally benefited, for example, from the general effectiveness of a</w:t>
      </w:r>
    </w:p>
    <w:p>
      <w:r>
        <w:rPr>
          <w:b/>
        </w:rPr>
        <w:t>[Pages 7–9]</w:t>
      </w:r>
    </w:p>
    <w:p>
      <w:r>
        <w:t>JURISPRUDENCE</w:t>
        <w:br/>
        <w:t>Collective Agreement negotiated by UT that recognizes them minimum wages per performance along with other rights against the companies and which, on the other hand, does not prevent those bullfighters not affiliated with UT from relying on other types of union or legal structures that provide them with the necessary service to seek the collection of their debts, but that, in any case, it cannot be claimed that UT is obliged to provide a service for those who voluntarily choose not to be a member of that organization.</w:t>
      </w:r>
    </w:p>
    <w:p>
      <w:r>
        <w:t>Furthermore, it argues that, in reality, it is precisely the bullfighters not affiliated with UT who would find competitive advantages over the affiliated bullfighters, as a result of UT's "strategy" of strikes because in several of the calls made, the payment of wages owed to bullfighters not affiliated with UT has been claimed; because in no case has UT imposed, on the occasion of the agreements for the cancellation of a strike, any other condition than that related to the method of payment of the amounts owed, because the strike called against an employer constitutes a union action that can benefit all bullfighting workers owed salary debts, regardless of their affiliation or not to a union and finally, because the bullfighters affiliated with UT, under equal artistic conditions or cachet with other non-affiliated bullfighters, will face greater difficulties in being re-hired for new bullfighting events, at least in those organized by the same organizing employers of events affected by the strike calls.</w:t>
      </w:r>
    </w:p>
    <w:p>
      <w:r>
        <w:t>It also rejects that the strikes called by the UTE could have resulted in limiting competition by preventing the organizers of bullfighting events from carrying out their activity, in particular, the suspension of a bullfighting event, affecting the economic activity of the organizing company of the event to the extent that it stops receiving the income from ticket sales and television rights that correspond, and that as a consequence, competition in the vertically related markets with the commercialization of bullfighting shows could be limited, violating Article 1.1 of the LDC.</w:t>
      </w:r>
    </w:p>
    <w:p>
      <w:r>
        <w:t>It argues that this conclusion is based on the consideration that the call for strikes by UT is not protected by Article 28.2 of the Constitution, considering that the strikes called by UT, which it individually recognizes as lawful, would cease to be lawful if they had caused the suspension of an event, that is, if the bullfighting workers had effectively exercised their right to strike by ceasing to provide the contracted work, which is contrary to the constitutional configuration of the right to strike, since it will always interfere with the activity of the company.</w:t>
      </w:r>
    </w:p>
    <w:p>
      <w:r>
        <w:t>And it adds that the reasoning of the contested resolution also affects the collective right to strike of UT itself, as a union that represents and collectively defends its labor interests to the extent that it would limit its exercise to the mere calling of a strike without the possibility of it causing effects on the activity of the company.</w:t>
      </w:r>
    </w:p>
    <w:p>
      <w:r>
        <w:t>The appellant alleges what it considers to be the improper positioning of the CNMC in relation to the so-called "image rights" and with the hiring of bullfighters through a commercial company. To this end, it explains that none of the strikes called by UT have been motivated by the non-payment of "image rights" to the bullfighters and specifies that, in any case, these are additional remunerations that the bullfighter receives from the organizing company when the contracted show is broadcast by a television operator (in any of the technical modalities of broadcasting; recently also internet platforms), which is usually agreed upon in the very performance contract signed between the employer and the bullfighter, which implies the recognition that the agents of the bullfighting sector make of the labor nature of the economic content of the image rights. It adds that, except for very specific exceptions, there is no direct negotiation in the bullfighting sector between the bullfighter and the television operator, but rather that the latter only negotiates with the organizing employer of the event.</w:t>
      </w:r>
    </w:p>
    <w:p>
      <w:r>
        <w:t>However, it acknowledges that, in the event that the bullfighter negotiated their image rights directly with the television operator, whether or not there is an intermediary company, it would be a relationship unrelated to the labor relationship that binds the bullfighter to the organizing employer of the event, and therefore, the remuneration that the audiovisual operator pays to the bullfighter would not have the character of salary or salary supplement, and its eventual non-payment could not be claimed through the exercise of the right to strike, but this is not the case at hand.</w:t>
      </w:r>
    </w:p>
    <w:p>
      <w:r>
        <w:t>In any case, the appellant concludes by stating that the so-called image rights of the bullfighters received directly from the organizing company of the event, whether contracted directly by the bullfighter or through a commercial company, have a labor nature, constituting their non-payment a salary breach whose claim must find protection in the right to strike proclaimed in Article 28.2 of the Spanish Constitution and that the same protection should be granted to the strike call by UT in demand for the payment of strict salaries to bullfighters who have contracted their services through a commercial company.</w:t>
      </w:r>
    </w:p>
    <w:p>
      <w:r>
        <w:t>To conclude, it denounces that the violation of the fundamental right to strike necessarily entails the infringement by the CNMC of the union freedom of UT, as the legal reasoning adopted by the contested resolution decisively compromises the future exercise of a part of the essential content of union action such as the exercise of the right to strike in defense of the labor interests of the workers that UT represents.</w:t>
      </w:r>
    </w:p>
    <w:p>
      <w:r>
        <w:t>FOURTH.- The State Attorney, in his written response to the claim, opposes, as a preliminary matter, the inadmissibility of the present appeal under Article 69 b) in relation to Article 119 LJCA, due to lack of active legitimacy of the UNION OF BULLFIGHTERS as it challenges a resolution that favors it, being thus that the interest it seeks to assert in the lawsuit is that without changing the meaning of the resolution, it is entered to know about the legal grounds that the resolution has developed to reach such a pronouncement.</w:t>
      </w:r>
    </w:p>
    <w:p>
      <w:r>
        <w:t>He adds that, in the case examined, the allegations of the appellant contained in its claim cannot be accepted to substantiate its legitimacy, since from the claims it exercises, requesting a change in the criteria contained in the resolution, it cannot be inferred that it obtains an evident advantage in its legal sphere.</w:t>
      </w:r>
    </w:p>
    <w:p>
      <w:r>
        <w:t>Furthermore, subsidiarily, in the event that the lack of legitimacy of the appellant in the present appeal is not accepted, he requests the dismissal of the appeal since the appellant's claim exceeds the scope and object of the contentious-administrative appeal, which must be directed to annul the operative part of the contested administrative act and not just its legal grounds.</w:t>
      </w:r>
    </w:p>
    <w:p>
      <w:r>
        <w:t>FIFTH.- Having presented the terms of the debate, we must resolve, as a preliminary matter, the accusation of inadmissibility raised by the State Attorney.</w:t>
      </w:r>
    </w:p>
    <w:p>
      <w:r>
        <w:t>To this end, it is appropriate to recall the jurisprudential doctrine contained in the TS section 1st Order of June 5, 2019 (ROJ: ATS 6479/2019 - ECLI:ES:TS:2019:6479 A), Appeal: 124/2019, regarding the legitimacy to appeal in cassation by those who have obtained a favorable judgment in the instance, whose grounds, for what is now of interest, we transcribe below:</w:t>
      </w:r>
    </w:p>
    <w:p>
      <w:r>
        <w:t>"THIRD.- We must start from the basis that the Constitutional Court, in the judgment cited by the appellant (STC No. 157/2003), which orders that a reform appeal filed against an order of free dismissal and filing of proceedings in preliminary proceedings, filed by the accused), has declared that the inadmissibility of an appeal against a judicial resolution based solely on the fact that it can only be filed against the pronouncements contained in the operative part of it incorporates a motivation that does not meet the requirements derived from the fundamental right to effective judicial protection of art. 24.1 CE, as it implies the inadmissibility of a legally established appeal without cause for it. That is the reason why, in that judgment, the Constitutional Court took into account that the order of dismissal included considerations about the possible infringement of ethical norms by the accused that could cause him harm in the extrapenal sphere.</w:t>
      </w:r>
    </w:p>
    <w:p>
      <w:r>
        <w:t>In this sense, the Constitutional Court specifies that the existence of the interest or harm that allows access to the appeal must be examined concretely, without being able to be rejected for abstract or principled reasons, linked to the content of the operative part of the judicial resolution. The Constitutional Court's judgment states:</w:t>
      </w:r>
    </w:p>
    <w:p>
      <w:r>
        <w:t>"[...] it is perfectly imaginable the existence of cases in which the statements of the judicial resolution, contained in its legal reasoning, generate harm for the appellant, regardless of the content of such operative part. And, on this basis, there is no reason to deny, in general, that the appeal route can be used to challenge those statements, under the pretext of a supposed conception of appeals as limited to those claims aimed at altering the operative part of the appealed judicial resolution, a limited conception that finds no legal foundation to support it, especially considering that with it the possibilities of effective judicial protection of the legitimate rights and interests of individuals are being restricted and, consequently, affecting a fundamental right of theirs, recognized in art. 24.1 CE."</w:t>
      </w:r>
    </w:p>
    <w:p>
      <w:r>
        <w:t>And this has not been a punctual and isolated pronouncement of the Constitutional Court. On the contrary, similar paths are followed by STC No. 16/2011, which insists on the possibility of appealing an acquittal judgment issued in the Criminal Jurisdiction (even though it ended up dismissing that amparo appeal in light of the circumstances concurrent in the specific case examined).</w:t>
      </w:r>
    </w:p>
    <w:p>
      <w:r>
        <w:t>FOURTH.- The dialectical path opened by STC No. 157/2003 has been followed, albeit in a limited and case-by-case manner, by different judgments from the other Chambers of this Supreme Court.</w:t>
      </w:r>
    </w:p>
    <w:p>
      <w:r>
        <w:t>FIFTH.- Certainly, the constitutional doctrine previously mentioned (which is at the base of the jurisprudential pronouncements we have just noted) is specifically referred to the criminal sphere, but there are no conclusive reasons to exclude a priori and categorically the projection of that doctrine to other sectors of the Legal System.</w:t>
      </w:r>
    </w:p>
    <w:p>
      <w:r>
        <w:t>SIXTH.- For our part, we consider that, albeit in a limited and exceptional manner, that possibility of appealing in cassation favorable judgments can also be deployed in the contentious-administrative jurisdiction, especially concerning the specific area of sanctioning administrative law.</w:t>
      </w:r>
    </w:p>
    <w:p>
      <w:r>
        <w:t>In this sense, while keeping in mind the nuances and caveats that are avoidable when projecting the principles and guarantees of the criminal order to the sanctioning administrative sphere (nuances that have been repeatedly pointed out by constitutional doctrine and by our jurisprudence), we cannot ignore the trend towards convergence of both areas concerning the basic guarantees -substantive and procedural- of those affected, which prevents the unconditional denial of the application of the doctrine expressed in STC No. 157/2003 when judicially reviewing, in contentious-administrative jurisdiction, the sanctioning power of the Administration.</w:t>
      </w:r>
    </w:p>
    <w:p>
      <w:r>
        <w:t>However, it is important for these purposes to insist on the precision that one thing is to admit -as we do in this order- the exceptional possibility of appealing in cassation favorable judgments and, specifically, those relating to the sanctioning administrative sphere, when the circumstances justifying such exception are present and another very different thing -which we categorically reject- is to assert that, for this reason, the general doctrine on the lack of legitimacy to appeal by those who have obtained a favorable judicial resolution has been set aside. On the contrary, the general doctrine on the irrecurribility in cassation of favorable judgments by those who have won the lawsuit remains in force and must be ratified once again. Neither from the aforementioned STC No. 157/2003, nor from any other, can a sort of general and absolute legitimacy to appeal favorable judicial resolutions by those who have won the lawsuit due to their disagreement with the legal reasoning of those be extracted.</w:t>
      </w:r>
    </w:p>
    <w:p>
      <w:r>
        <w:t>A good example of this is STC No. 27/2009 of January 26, which rejects the legitimacy to appeal by a political party that had not been a party nor condemned in the concerned judgment, although some of its members had been. Against the assertion of the appellant party in amparo that it had legitimacy because the statements contained in the judgment undermined its public consideration, the Constitutional Court reasons in this judgment that such statements do not allow for sustaining the "direct burden" to which the legitimacy to appeal is linked.</w:t>
      </w:r>
    </w:p>
    <w:p>
      <w:r>
        <w:t>It is also illustrative, in this regard, the very recent judgment of the First Chamber of the Supreme Court of March 13, 2019, appeal No. 1232/2016 h, which denies the legitimacy of the notary who authorized a deed of sale to judicially challenge the resolution of the DGRN that partially confirmed the negative qualification that prevented the registration of that deed. Starting from Article 328.4 of the Mortgage Law (which recognizes legitimacy to the notary authorizing the title to judicially appeal the resolution of the DGRN when it affects a right or interest of which he is the holder), the First Chamber establishes in this judgment that the legitimizing interest to appeal is not identified with the mere defense of legality or disagreement with the decision of the hierarchical superior. Nor can it consist -the Chamber adds- in the desire to be right, or not to be disavowed by the DGRN, nor in the simple defense of the professional prestige of the affected notary. On the contrary -the First Chamber asserts- it must be a more objective right or interest, such as "an eventual civil or disciplinary liability"; with the understanding that a mere allegation or generic invocation of the possibility of claiming civil liability if the DGRN confirmed the denial of registration is not enough, as this would equate to admitting in any case the legitimacy of the notary, given that it is difficult to deny that "in abstract" the client could claim some economic harm derived from the impossibility of registering the deed authorized by the notary. Thus, the Chamber states:</w:t>
      </w:r>
    </w:p>
    <w:p>
      <w:r>
        <w:t>"In our case, to justify his legitimacy, the notary invoked as interests affected by the resolution he intended to challenge, his professional prestige and a hypothetical civil liability towards his clients if the registration of the deed was not carried out. The impact of the resolution subject to challenge on the prestige of the notary does not justify, as we have already stated, his legitimacy to challenge it. Nor does the abstract risk of liability of the notary towards his clients. It is necessary that, in light of the concurrent circumstances, a concrete risk is shown that such liability action against the notary will be asserted, of which there is no record in our case."</w:t>
      </w:r>
    </w:p>
    <w:p>
      <w:r>
        <w:rPr>
          <w:b/>
        </w:rPr>
        <w:t>[Pages 10–11]</w:t>
      </w:r>
    </w:p>
    <w:p>
      <w:r>
        <w:t>JURISPRUDENCE</w:t>
        <w:br/>
        <w:t>Finally, but no less important, we must note that this Third Chamber has also echoed that same restrictive approach in the judgment of July 17, 2012 (RC 2702/2009). In it, while recognizing in principle the possibility of challenging favorable judgments, the Chamber rejects the application of the indicated doctrine to the case examined, establishing in its Legal Foundation Third the following:</w:t>
        <w:br/>
        <w:t>"6.- The doctrine contained in STC 157/2003 is inapplicable. In it, legitimacy to appeal judicial resolutions is indeed recognized regardless of the content of their operative part, but only insofar as their legal reasoning causes harm to the appellant; and in the case adjudicated in that amparo appeal, harm was appreciated because the resolution intended to be appealed, despite having ordered the free dismissal in a criminal process, expressed in its legal reasoning an unfavorable judgment for the appellant in the ethical aspect (as stated in its legal foundation ninth).</w:t>
        <w:br/>
        <w:t>The same cannot be said of the resolution of the DGRN that has been challenged in the current jurisdictional process, since the differences that may exist regarding the interpretation of mortgage legislation between that Directorate and the appellant cannot be classified as harm or moral disqualification of the latter."</w:t>
        <w:br/>
        <w:t>Therefore, the legitimacy to appeal a favorable judicial resolution must continue to be characterized as an exceptional possibility and subject to a case-by-case assessment. The general rule remains, we insist, that the appeal is directed against the ruling, and that the burden must be related to the pronouncement or operative part of the judgment.</w:t>
        <w:br/>
        <w:t>SEVENTH. - The issue, therefore, focuses on discerning in what limited cases procedural legitimacy to appeal may be recognized in our contentious-administrative jurisdiction for someone who, after all, has obtained in the instance a favorable ruling, entirely annulatory of the challenged sanctioning administrative act in the process.</w:t>
        <w:br/>
        <w:t>Well, although this is a question strongly linked to the circumstantial assessment of each matter in which the problem arises, we can affirm that, in principle, legitimacy to challenge favorable judgments does not exist when the appellant is guided in such an endeavor solely by subjective assessments, among which -by way of example- we can cite issues such as their disagreement with the legal reasons presented by the judicial body of the instance, or the desire to be right linked to the defense of professional prestige.</w:t>
        <w:br/>
        <w:t>Simple conjectures about potential harmful consequences (for example, hypothetical civil or disciplinary liabilities) that could arise for the interested party as a result of what is stated in the legal reasoning of the favorable judgment intended to be challenged are also not sufficient grounds for this purpose.</w:t>
        <w:br/>
        <w:t>For that legitimacy to be recognized (in the terms and with the scope we have specified in the First Foundation), it will be necessary that in the examined case there are sufficient substantial circumstances so as not to be able to dismiss, a priori, the existence of a real, certain, and current burden for the appellant, in their personal or patrimonial sphere, that derives directly and objectively from the legal reasoning of that favorable judgment. With the understanding that the referred burden must derive directly from statements in the judgment that have certain and accredited specific data or assessments, it is not sufficient for this purpose to claim the existence of the burden based solely on mere discursive or hypothetical arguments that the judgment may contain.</w:t>
        <w:br/>
        <w:t>Therefore, since in the formal structure of contentious-administrative judgments there is no specific section dedicated to the declaration of proven facts -unlike criminal judgments- it will be inevitable to examine each judicial resolution on a case-by-case basis, in order to clarify whether its legal reasoning incorporates a declaration with the expressed force that allows, in that case, to recognize the interested party's legitimacy to appeal in cassation.</w:t>
        <w:br/>
        <w:t>We understand that this doctrine is applicable to the case examined in which the legitimacy of the UNION OF BULLFIGHTERS to appeal the resolution that orders the archiving of the sanctioning procedure initiated against it is raised and which, therefore, is filed against its legal grounds.</w:t>
        <w:br/>
        <w:t>Well, according to the jurisprudential doctrine exposed, to recognize the appellant's legitimacy to appeal in this case, it is necessary to examine the legal reasoning of the challenged resolution in order to determine whether the statements contained in it prevent or not the a priori dismissal of the existence of a real, certain, and current burden for the appellant UNION OF BULLFIGHTERS, which derives directly and objectively from it, without the mere assertion of the existence of the burden based solely on mere discursive or hypothetical arguments that the judgment may contain being sufficient for this purpose.</w:t>
        <w:br/>
        <w:t>In the case we are examining, the appellant states that, even though the challenged resolution orders the archiving of the sanctioning file, it incurs a manifest violation of the rights of freedom of association and strike that assist the UNION OF BULLFIGHTERS under Article 28 of the Constitution, unduly restricting the exercise of these fundamental rights to the point of making them illusory, which constitutes a burden that legitimizes it to seek its judicial revocation recognized in its condition as a union of bullfighters.</w:t>
        <w:br/>
        <w:t>However, we understand that the burden referred to does not meet the requirements demanded by the jurisprudential doctrine exposed since the statements contained in the challenged resolution lack sufficient effectiveness to directly and immediately produce the invoked harm, that is, we are not facing a real, certain, and current burden for the appellant derived from the legal reasoning of the challenged resolution, which, ultimately, does not violate or restrict in a certain, direct, and current manner the rights of freedom of association and strike that assist the UNION OF BULLFIGHTERS.</w:t>
        <w:br/>
        <w:t>Moreover, the hypothetical initiation by the CNMC of another sanctioning file for the same facts and conduct that determined the now archived one would not constitute a certain, immediate, and current harm since the eventual sanction that could result from it would not derive from the legal reasoning now challenged but from the sanctioning resolution that would be issued in that case, after the processing of the corresponding procedure and which, in any case, would be subject to appeal before this jurisdiction, so that at most, we would be facing a merely hypothetical harm that does not grant legitimacy to appeal in the present case.</w:t>
        <w:br/>
        <w:t>SIXTH. - What has been stated in the previous Foundations determines the inadmissibility of the present appeal due to lack of active legitimacy of the appellant, with express imposition of costs to the acting party.</w:t>
        <w:br/>
        <w:t>HAVING SEEN the cited articles and others of general and pertinent application,</w:t>
        <w:br/>
        <w:t>WE DECREE</w:t>
        <w:br/>
        <w:t>To declare the inadmissibility of the present contentious-administrative appeal promoted by the Attorney Dª Carmen García Rubio, on behalf and representation of the UNION OF BULLFIGHTERS, against the Resolution dated February 2, 2017 issued by the Competition Chamber of the National Commission on Markets and Competition (File NUM000, UNION OF BULLFIGHTERS), with the imposition of costs to the appealing party.</w:t>
        <w:br/>
        <w:t>This judgment is subject to cassation appeal that must be prepared before this Chamber within 30 days from the day following its notification; in the preparation document of the appeal, compliance with the requirements established in Article 89.2 of the Law of Jurisdiction must be accredited justifying the objective cassation interest presented.</w:t>
        <w:b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