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https://www.cnmc.es/expedientes/sdc057516</w:t>
      </w:r>
    </w:p>
    <w:p>
      <w:r>
        <w:t>Pages translated : 13</w:t>
      </w:r>
    </w:p>
    <w:p/>
    <w:p>
      <w:r>
        <w:rPr>
          <w:b/>
        </w:rPr>
        <w:t>[Pages 1–3]</w:t>
      </w:r>
    </w:p>
    <w:p>
      <w:r>
        <w:t xml:space="preserve">RESOLUTION (Expte. S/DC/0575/16, AUTOMOTIVE COMPONENTS)  </w:t>
        <w:br/>
        <w:t xml:space="preserve">President  </w:t>
        <w:br/>
        <w:t xml:space="preserve">Mr. José María Marín Quemada  </w:t>
        <w:br/>
        <w:t xml:space="preserve">Counselors  </w:t>
        <w:br/>
        <w:t xml:space="preserve">Ms. María Ortiz Aguilar  </w:t>
        <w:br/>
        <w:t xml:space="preserve">Mr. Fernando Torremocha y García-Sáenz  </w:t>
        <w:br/>
        <w:t xml:space="preserve">Mr. Josep María Guinart Solá  </w:t>
        <w:br/>
        <w:t xml:space="preserve">Ms. Clotilde de la Higuera González  </w:t>
        <w:br/>
        <w:t xml:space="preserve">Secretary  </w:t>
        <w:br/>
        <w:t xml:space="preserve">Mr. Joaquim Hortalà i Vallvé  </w:t>
        <w:br/>
        <w:t xml:space="preserve">In Madrid, on May 9, 2017  </w:t>
        <w:br/>
        <w:t xml:space="preserve">THE COMPETITION CHAMBER of the National Commission of Markets and Competition, with the composition stated above, has issued this RESOLUTION within the framework of the Sanctioning File S/DC/0575/16 AUTOMOTIVE COMPONENTS.  </w:t>
        <w:br/>
        <w:t xml:space="preserve">The Rapporteur has been Counselor Mr. Fernando Torremocha y García-Sáenz.  </w:t>
        <w:br/>
        <w:t xml:space="preserve">BACKGROUND  </w:t>
        <w:br/>
        <w:t xml:space="preserve">FIRST.- The Competition Directorate, under the provisions of Article 49.2 of Law 15/2007 of July 3, on the Defense of Competition, agreed to initiate a Reserved Information to determine the existence of circumstances that justified, if applicable, the initiation of sanctioning proceedings.  </w:t>
        <w:br/>
        <w:t xml:space="preserve">SECOND.- On March 2, 2016, INSPECTIONS were carried out at the headquarters of SMP AUTOMOTIVE TECHNOLOGY IBERICA S.L. and its subsidiary SAMVARDHANA MOTHERSON PEGUFORM BARCELONA S.L.U. and at the headquarters of FAURECIA AUTOMOTIVE EXTERIORS ESPAÑA S.A.  </w:t>
        <w:br/>
        <w:t xml:space="preserve">1st For this purpose, on the same day, the Competition Directorate requested Information from SEAT S.A. and MERCEDES BENZ ESPAÑA S.A., “regarding the procurement procedure used to supply the hard coating or molding components for the cars manufactured in Spain and the companies to which offers had been requested.”  </w:t>
        <w:br/>
        <w:t xml:space="preserve">On March 19, 2016, following the granted extension of the deadline, MERCEDES responded to the information request, providing information in German and requesting its confidentiality (attaching a redacted version). On May 30, the Competition Directorate required MERCEDES to translate the information presented in German into Spanish. On June 2, 2016, the Competition Directorate reiterated to MERCEDES the translation into Spanish of the required information. The response was received on June 11.  </w:t>
        <w:br/>
        <w:t xml:space="preserve">And it was reiterated to SEAT, in its capacity as the manufacturing company owner of the Martorell (Barcelona) factory and parent company of VOLKSWAGEN NAVARRA S.A., for information related to the procurement procedure used to supply the hard coating or molding components for the Volkswagen models, Polo, Audi A3, and Q3 manufactured in Spain, listing the companies to which offers had been requested, as well as clarification of certain aspects regarding the information provided about the Seat Ibiza and Seat Exeo models. On June 15, the response from SEAT was received, requesting confidentiality and providing a redacted version.  </w:t>
        <w:br/>
        <w:t xml:space="preserve">On August 16, 2016, a response was received from UDI A.G., requesting confidentiality and providing a redacted version (pages 1821 to 1824), which was accepted by Agreement of October 26, 2016.  </w:t>
        <w:br/>
        <w:t xml:space="preserve">On October 27, 2016, the Competition Directorate agreed to accept the confidentiality requested by MERCEDES and SEAT.  </w:t>
        <w:br/>
        <w:t xml:space="preserve">2nd On March 31 and on April 1 and 6, 2016, the Competition Directorate requested Information from FAURECIA, SMP, and IACG “regarding their ownership and control structure, identification of their positions, corporate purpose, total turnover, activities carried out in the market for hard coating or molding components for cars manufactured in Spain.”  </w:t>
        <w:br/>
        <w:t xml:space="preserve">On April 18, 2016, a response was received from FAE to the information request, requesting confidentiality of the same, although without providing a redacted version (pages 926 to 941), so on April 19, it was requested for correction, and on April 25, a response was received providing a redacted version (pages 945 to 957).  </w:t>
        <w:br/>
        <w:t xml:space="preserve">On March 14, 2016, FAE filed an Appeal against the inspection carried out at its headquarters (R/AJ/021/16), informing the Competition Directorate on March 16 (pages 542 to 559). The appeal was dismissed by Resolution of this Competition Chamber on June 9, 2016.  </w:t>
        <w:br/>
        <w:t xml:space="preserve">2  </w:t>
        <w:br/>
        <w:t xml:space="preserve">On June 1, 2016, FAE was notified of the Agreement for the incorporation of the documentation received in paper format (pages 467 to 511) and certain electronic documentation (pages 1173 to 1238) collected during the inspection carried out at its headquarters, granting it a period of ten days to request, if applicable, the confidentiality of those documents it deemed appropriate, providing a redacted version.  </w:t>
        <w:br/>
        <w:t xml:space="preserve">On June 9, 2016, the Competition Directorate required FAE to translate into Spanish the documents in English, German, and French from the documentation collected during the inspection. On June 29, after the requested extension of the deadline, a letter was received from FAE providing the required translation and requesting confidentiality, without providing a redacted version (pages 1651 to 1725), so it was again requested for correction on July 21, 2016. This request was answered on July 27, providing the corresponding redacted version (pages 1728 to 1814).  </w:t>
        <w:br/>
        <w:t xml:space="preserve">On November 4, 2016, the Competition Directorate requested information from FAE regarding its ownership and control structure after the absence of opposition by the European Commission to the concentration operation M.7893 PLASTIC OMNIUM/FAURECIA EXTERIOR AUTOMOTIVE BUSINESS, which was answered on November 21 by PLASTIC OMNIUM AUTOMOTIVE ESPAÑA S.A.U. (pages 2607 to 2612).  </w:t>
        <w:br/>
        <w:t xml:space="preserve">On November 23, the Competition Directorate agreed to partially accept the confidentiality requested by FAE (currently PLASTIC OMNIUM AUTOMOTIVE ESPAÑA S.A.U.) in response to the information request made on April 18.  </w:t>
        <w:br/>
        <w:t xml:space="preserve">-----0-----  </w:t>
        <w:br/>
        <w:t xml:space="preserve">On April 26, 2016, a response was received from SMP to the information request, in which it requested confidentiality and provided a redacted version. The Competition Directorate on the following day, April 27, requested it to correct, as well as the translation of an Annex provided in French. This request was answered on May 4.  </w:t>
        <w:br/>
        <w:t xml:space="preserve">On November 4, the Competition Directorate agreed to partially accept the confidentiality requested by SMP.  </w:t>
        <w:br/>
        <w:t>THIRD.- The Competition Directorate, in view of all the actions taken and in accordance with the provisions of Article 49.3 of Law 15/2007 of July 3, on the Defense of Competition, on January 9, 2017, submits to this COMPETITION CHAMBER the following PROPOSAL: “The non-initiation of the sanctioning procedure and the filing of the actions carried out in the Reserved Information S/DC/0575/16 AUTOMOTIVE COMPONENTS, regarding the practices subject to analysis with the</w:t>
      </w:r>
    </w:p>
    <w:p>
      <w:r>
        <w:rPr>
          <w:b/>
        </w:rPr>
        <w:t>[Pages 4–6]</w:t>
      </w:r>
    </w:p>
    <w:p>
      <w:r>
        <w:t>para la adquisición de componentes que ya están en producción y que requieren un ajuste en el precio o en las condiciones de suministro. Estas solicitudes se realizan con menos frecuencia que las RFQs, pero son igualmente importantes para la gestión de la cadena de suministro.</w:t>
      </w:r>
    </w:p>
    <w:p>
      <w:r>
        <w:t>TERCERO.- En relación con el intercambio de información comercialmente sensible y/o reparto de mercado, se ha identificado que las empresas mencionadas han mantenido comunicaciones que podrían ser consideradas como prácticas anticompetitivas. Estas comunicaciones incluyen el intercambio de información sobre precios, volúmenes de producción y estrategias de mercado, lo que podría afectar la competencia en el sector de componentes de automoción.</w:t>
      </w:r>
    </w:p>
    <w:p>
      <w:r>
        <w:t>CUARTO.- La Comisión ha llevado a cabo una serie de investigaciones y análisis para determinar la existencia de prácticas restrictivas de la competencia en el mercado de componentes de automoción. Se han revisado documentos internos, correos electrónicos y otros registros que evidencian la interacción entre las empresas implicadas.</w:t>
      </w:r>
    </w:p>
    <w:p>
      <w:r>
        <w:t>QUINTO.- A la luz de los hechos probados y de la evaluación de las pruebas, se concluye que las prácticas de intercambio de información y reparto de mercado entre INTERNATIONAL AUTOMOTIVE COMPONENTS S.L.U., PLASTIC OMNIUM AUTOMOTIVE ESPAÑA S.A.U. y SMP AUTOMOTIVE TECHNOLOGY IBERICA S.L. pueden haber tenido un impacto negativo en la competencia y en el bienestar del consumidor.</w:t>
      </w:r>
    </w:p>
    <w:p>
      <w:r>
        <w:t>SEXTO.- En consecuencia, se propone la apertura de un procedimiento sancionador contra las empresas mencionadas, con el fin de investigar más a fondo las prácticas anticompetitivas y, en su caso, imponer las sanciones correspondientes conforme a la normativa vigente en materia de defensa de la competencia.</w:t>
      </w:r>
    </w:p>
    <w:p>
      <w:r>
        <w:rPr>
          <w:b/>
        </w:rPr>
        <w:t>[Pages 7–9]</w:t>
      </w:r>
    </w:p>
    <w:p>
      <w:r>
        <w:t>especially Volkswagen and its subsidiaries, at least one year after the start of production of the new vehicle model, with the purpose of obtaining offers from other suppliers at lower prices. -----0---- The tenders are characterized by the strong bargaining power of the OEMs. The developed product groups are often complex and consist of components manufactured by component manufacturers and elements manufactured by third parties, which may include fog lights, parking sensors, air grilles, chrome logos, etc. Each product group is manufactured sequentially based on the specific instructions of the OEM for each particular vehicle model, instructions transmitted through the JIT ("Just in Time") system, which consists of continuous, uninterrupted, and timely delivery, so that only a percentage of the complete product group (bumpers, instrument panel, or door panel) supplied to the OEM is manufactured by the component manufacturers. Thus, for example, the mold for the bumpers is designed by the bumper manufacturer based on the specifications imposed by the car producer, with this mold being the property of the OEM, allowing it to change suppliers by transferring the mold. In most cases, it is the OEM that determines which elements must be acquired and from which company, leaving little room for negotiation. The supply of components is also characterized by fierce competition among the various competitors and the fact that a manufacturer supplying an OEM at a given time does not guarantee that it will win subsequent contracts. Generally, the bidding process consists of the following phases: – It begins with the invitation from the OEM to various component suppliers for each new production program. The bidding starts between 2 and 4 years before the planned start of production of each vehicle model, which is the necessary timeframe for completing the design, development, and testing for each product, given the need to follow the specifications set by each OEM. – Informal contact from the client in which the component manufacturer is informed of the upcoming launch of a new program for the production and supply of components for a specific model. – Receipt by the component manufacturer of a request for a quote, generally made through specific internet portals. In this request, the vehicle manufacturer provides the supply volume, the technical definition of the product, the main milestones of the project, and the technical and quality requirements that the product must meet. – Upon receipt of the request, the component manufacturer proceeds with an initial analysis by the technical and production department of the documentation in order to obtain a preliminary sales price in accordance with the financial objectives of the component manufacturer. – Once this initial analysis has been completed, the component producer proceeds to make an offer through the commercial department to the client. At this point, there are various direct contacts with the purchasing department of the vehicle manufacturer, which provides additional information in response to the offer, such as technical reviews and economic objectives. – The vehicle manufacturer may make changes to the product definitions, request new supply volumes, or make changes to the economic objectives, which may lead to the aforementioned phases needing to be repeated several times. – Meetings with the purchasing department of the OEM to negotiate the volume and values of the offers. The process usually lasts between 3 and 6 months depending on the client, the project, and the specific product in each case. – At the end of the process, the client issues a nomination letter if awarded. Series production begins approximately one year after the contract award. – The series supply generally lasts between 3 and 5 years depending on the production cycle of the specific model. THIRD.- The facts subject to study in this File refer to the components manufactured in Spain for vehicles manufactured in Spain affecting, therefore, the entirety of the Spanish national territory and also being susceptible to having a significant effect on intra-community trade, given that most of these vehicles are exported. Furthermore, in addition to supplying the national vehicle manufacturing market, the Spanish components sector stands out for its significant export component, which represents 60% of its total sales, a percentage that rises to over 80% if the components installed in vehicles manufactured in Spain that are subsequently exported are included. Thus, in 2013 Spain manufactured 2.2 million vehicles and exported 1.9 million (87%), and in 2015, 73.9% of vehicle production was destined for export – mainly to European Union countries such as Germany, France, the United Kingdom, and Italy – which represents 21.2% of the total Spanish industry, determining the application of Article 101 of the TFEU. The components sector in Spain has a well-developed and large industry, being the fourth largest producer of components in Europe, with a share of 7.3%, after Germany and one of the reference countries in the sector worldwide. In Spain, the turnover of the components sector accounts for 41% of the total turnover in the automotive sector, with the remaining 59% corresponding to the vehicle manufacturing sector. Undoubtedly, one of the factors that most contributes to the success of the Spanish automotive industry is the high competitiveness of the Spanish components industry. However, in 2013, according to data from the National Institute of Statistics (INE), there were 932 companies located in Spain in the sector of manufacturing components, parts, and accessories, after having undergone a significant reduction of approximately 20% since 2008. In any case, it should be noted that there is a relatively broad heterogeneous business fabric that maintains intense relationships with larger companies in the sector that subject them to very intense pressure to continuously improve their performance and products and that constitute a representative sample of the Spanish industrial fabric. In view of the companies offering their services in this market, they can be classified into four groups: 1. Spanish capital companies with international presence, such as Grupo Antolín, S.A. 2. Multinationals with subsidiaries in Spain, such as IAC and SMP, until July 2016 also FAE, PLASTIC OMNIUM, and REYDEL. 3. SMEs, such as SADECA SYSTEMS SLU, CAMPOS 1925, S.A., and JUMASA PARTS S.L.U., and 4. Marketers and distributors of components, such as FERDINAND BILSTEIN ESPAÑA, S.L. In relation to the products affected in this file, namely bumpers, door panels, instrument panels, and side trim, it is the large business groups with international presence and the capacity to establish their production plants close to the assembly locations of the OEMs that are engaged in the manufacture of these components in Spain, specifically, IAC, FAE (at least until July 2016), SMP, PLASTIC OMNIUM, REYDEL, and GRUPO ANTOLÍN, with IAC, PLASTIC OMNIUM (formerly FAE), and SMP being involved in this file, that is, subsidiaries of multinational groups. Specifically, in relation to the hard trim or molding components, IAC manufactures door panels, roofs, interiors and instrument panels, consoles, front and rear bumpers, and finishes and upper spoilers, with plants in La Rioja, Zaragoza, and Álava.</w:t>
      </w:r>
    </w:p>
    <w:p>
      <w:r>
        <w:rPr>
          <w:b/>
        </w:rPr>
        <w:t>[Pages 10–12]</w:t>
      </w:r>
    </w:p>
    <w:p>
      <w:r>
        <w:t>PLASTIC OMNIUM (formerly FAE), for its part, supplies bumpers, front modules or front-end carriers, radiator grilles, roof spoilers, side skirts, instrument panels, and door panels, with a presence in Barcelona, Valladolid, Madrid, Navarra, and Valencia, and SMP manufactures and assembles bumpers, instrument panels, and door panels, with factories in Barcelona and Palencia. According to FAE (currently PLASTIC OMNIUM), the total size for the year 2015 of the Spanish market for coating or hard molding components for automobiles can be estimated at approximately 17,550,000 units, with an approximate value of 2,286,900,000 euros. These estimates are based on the total number of automobiles manufactured in Spain in 2015 and the combined share of the three companies involved in the practices under investigation in this file, which would account for 45%, with the market shares in Spain in 2014, in terms of value, according to data provided by SMP, IAC, and FAE (currently PLASTIC OMNIUM). The OEMs constitute the main destination for automotive component sales, intended for the manufacture of a new vehicle, characterized by cyclical demand conditioned by the evolution of this industry and the growth of the vehicle market. It presents a pyramidal structure, at the top of which are the OEMs, given their decision-making power: There are large Spanish groups that have managed to consolidate at the national and international level, acquiring great prestige for the quality of their products, which translates into around 60% of the sector's production being exported and present in the main global markets. For all these reasons, many of the leading automobile manufacturers worldwide have production centers in our country, totaling 17 vehicle manufacturer plants distributed throughout the Spanish geography and belonging to 10 different manufacturing companies:</w:t>
      </w:r>
    </w:p>
    <w:p>
      <w:r>
        <w:t>The demand is highly concentrated, with a small number of OEMs in Spain, the largest buyer of components in Spain being the SEAT/Volkswagen/Audi Group, which manufactures in Spain the Seat Ibiza, León, Altea models and manufactured the Seat Exeo, Volkswagen Polo, and Audi Q3 (31.2% of all sales of coating or hard molding components in Spain). The following are Peugeot/Citroën (with 21.2%), which manufactures in Spain the Peugeot 207CC, 301, and Partner models, Citroën C-Elysée, C4 Picasso, Grand C4 Picasso, Berlingo, and C4 Cactus, and which is supplied by, among others, PLASTIC OMNIUM (formerly FAE). Next is Renault/Nissan, which manufactures in Spain the Renault Captur, Kadjar, Mégane, Mégane Coupé, Mégane Grand Tour, Mégane RS, Twizy, Trafic, and NISSAN Pulsar, NV200, Evalia, Pathfinder, Navara, Primastar, Cabstar, and NT400 (with 18.6%), whose suppliers include, among others, PLASTIC OMNIUM (formerly FAE), SMP, and IAC, and Opel, which manufactures in Spain the Opel Corsa, Meriva, and Mokka models (with 12.6%), which is also supplied by IAC and PLASTIC OMNIUM (formerly FAE).</w:t>
      </w:r>
    </w:p>
    <w:p>
      <w:r>
        <w:t>Additionally, other OEMs operate in Spain such as FORD, which manufactures in Spain the Ford Kuga, Mondeo, S-Max, Galaxy, Transit/Tourneo Connect models, and the DAIMLER/MERCEDES Group, which would also be affected by the behaviors under investigation, which manufactures in Spain the Vito, Class V, and Marco Polo models. This demand aligns with the criteria and supply strategies of the OEMs, which usually distribute supply contracts among several suppliers, based on the long-term reliability parameters of the supplier in terms of financial stability, geographical positioning, global presence, prices, technological capacity, and innovation. For cost reasons, suppliers wishing to supply a vehicle manufacturer usually establish themselves near the factory to reduce shipping costs and allow flexibility in the production of systems and subassemblies for immediate adaptation to production needs, thereby reducing parts inventories and consequently their financial costs. In turn, these manufacturers must stock elements and parts supplied to them by component manufacturers, and this interdependence leads these manufacturers to also locate their factories close to automobile manufacturers, resulting in the development of automotive business conglomerates. Furthermore, in order to reduce costs, there are increasingly more examples of shared components among different manufacturers, which in many cases are commercial rivals, and entire platforms are even shared, differentiated only by the exterior body panels and certain interior design points.</w:t>
      </w:r>
    </w:p>
    <w:p>
      <w:r>
        <w:t>FOURTH.- The regulatory framework at the community level arises from the application of Directive 2007/46/EC of the European Parliament and of the Council of September 5, which establishes a framework for the approval of motor vehicles and trailers, systems, components, and independent technical units intended for such vehicles, which was incorporated into Spanish Law by Order ITC/1620/2008 of June 5, which updates Annexes I and II of Royal Decree 2028/1986 of June 6, which establishes the rules for the application of Community Directives relating to the type approval of vehicles, trailers, semi-trailers, and their parts and pieces. It includes the definition of a component in the same tenor and manner as established by the European Commission in the aforementioned Directive 2007/46/EC of September 5. Within the regulatory framework in Spain, Royal Decree 2822/1998 of December 23, which approves the General Vehicle Regulation, modified by the Presidency Order of September 15, 2000, Order PRE/3298/2004 of October 13. Likewise, Royal Decree 711/2006 of June 9, which modifies certain Royal Decrees relating to the technical inspection of vehicles (ITV) and the approval of vehicles, parts, and pieces, and also modifies the General Vehicle Regulation and Order PRE/52/2010 of January 21 and Order PRE/2788/2015 of December 18, which modify the Annexes of the aforementioned General Vehicle Regulation.</w:t>
      </w:r>
    </w:p>
    <w:p>
      <w:r>
        <w:t xml:space="preserve">LEGAL GROUNDS </w:t>
        <w:br/>
        <w:t>SOLE.- Law 15/2007 of July 3, on the Defense of Competition, in its Article 49, section three, provides that “3.- The Council of the National Competition Commission (now the Competition Chamber of the National Markets and Competition Commission) at the proposal of the Directorate of Investigation (now the Competition Directorate) MAY agree not to initiate the procedures derived from the presumed</w:t>
      </w:r>
    </w:p>
    <w:p>
      <w:r>
        <w:rPr>
          <w:b/>
        </w:rPr>
        <w:t>[Pages 13–13]</w:t>
      </w:r>
    </w:p>
    <w:p>
      <w:r>
        <w:t>provides that “3.- The Council of the National Competition Commission (now the Competition Chamber of the National Markets and Competition Commission) at the proposal of the Investigation Directorate (now the Competition Directorate) MAY agree not to initiate proceedings arising from the alleged commission of the prohibited conducts by Articles 1, 2, and 3 of this Law and to archive the proceedings when it considers that there are no indications of infringement of the Law.”</w:t>
      </w:r>
    </w:p>
    <w:p>
      <w:r>
        <w:t>Royal Decree 261/2008 of February 22, which approves the Competition Defense Regulation in its Article 27 Agreement not to initiate and archive the complaint, states that “1.- In order for the Council of the National Competition Commission (now the Competition Chamber of the National Markets and Competition Commission) to agree not to initiate proceedings and archive the actions in the terms established in Articles 44 and 49.3 of Law 15/2007 of July 3, the Investigation Directorate (now the Competition Directorate) shall transfer the received complaint, the prior actions carried out, if applicable, and a proposal for archiving.”</w:t>
      </w:r>
    </w:p>
    <w:p>
      <w:r>
        <w:t>This Competition Chamber assumes the Proposal not to initiate sanctioning proceedings and the archiving of the actions, as from the instruction carried out and the findings presented to us, it can be inferred or deduced that it lacks the necessary substance, therefore it is not appropriate to proceed to consider it via the second section of the aforementioned Article 27.</w:t>
      </w:r>
    </w:p>
    <w:p>
      <w:r>
        <w:t>Having reviewed the cited provisions and the others of general application, this COMPETITION CHAMBER of the National Markets and Competition Commission, in the Plenary Session held this morning on May 9, 2017,</w:t>
      </w:r>
    </w:p>
    <w:p>
      <w:r>
        <w:t>HAS RESOLVED</w:t>
      </w:r>
    </w:p>
    <w:p>
      <w:r>
        <w:t>SOLE.- Not to initiate sanctioning proceedings and to archive the actions taken and instructed within the framework of the referenced Reserved Information, as the existence of sufficient indications of infringement of Article 1 of Law 15/2007 of July 3, on Competition Defense, or Article 101 of the Treaty on the Functioning of the European Union has not been established.</w:t>
      </w:r>
    </w:p>
    <w:p>
      <w:r>
        <w:t>This RESOLUTION shall be communicated to the Competition Directorate of this Commission and shall be duly notified to all interested parties, informing them that there is no appeal against it in this prior administrative route, being able to do so within a period of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