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https://www.cnmc.es/expedientes/sdc057916</w:t>
      </w:r>
    </w:p>
    <w:p>
      <w:r>
        <w:t>Pages translated : 116</w:t>
      </w:r>
    </w:p>
    <w:p/>
    <w:p>
      <w:r>
        <w:rPr>
          <w:b/>
        </w:rPr>
        <w:t>[Pages 1–3]</w:t>
      </w:r>
    </w:p>
    <w:p>
      <w:r>
        <w:t xml:space="preserve">RESOLUTION  </w:t>
        <w:br/>
        <w:t xml:space="preserve">(Expte. S/DC/0579/16 FINANCIAL DERIVATIVES)  </w:t>
        <w:br/>
        <w:t xml:space="preserve">COMPETITION CHAMBER  </w:t>
        <w:br/>
        <w:t xml:space="preserve">President  </w:t>
        <w:br/>
        <w:t xml:space="preserve">Mr. José María Marín Quemada  </w:t>
        <w:br/>
        <w:t xml:space="preserve">Counselors  </w:t>
        <w:br/>
        <w:t xml:space="preserve">Ms. María Ortiz Aguilar  </w:t>
        <w:br/>
        <w:t xml:space="preserve">Mr. Josep Maria Guinart Solà  </w:t>
        <w:br/>
        <w:t xml:space="preserve">Ms. Clotilde de la Higuera González  </w:t>
        <w:br/>
        <w:t xml:space="preserve">Ms. María Pilar Canedo Arrillaga  </w:t>
        <w:br/>
        <w:t xml:space="preserve">Secretary of the Council  </w:t>
        <w:br/>
        <w:t xml:space="preserve">Mr. Joaquim Hortalà i Vallvé  </w:t>
        <w:br/>
        <w:t xml:space="preserve">In Madrid, on February 13, 2018.  </w:t>
        <w:br/>
        <w:t>The Competition Chamber of the National Commission of Markets and Competition (CNMC), with the composition expressed, has issued this Resolution in the case S/DC/0579/16 FINANCIAL DERIVATIVES, initiated by the Directorate of Competition against CAIXABANK, S.A., BANCO SANTANDER, S.A., BANCO DE SABADELL, S.A. and BANCO BILBAO VIZCAYA ARGENTARIA, S.A. for alleged infringement of Article 1 of Law 15/2007, of July 3, on the Defense of Competition (LDC) as well as Article 101 of the Treaty on the Functioning of the European Union (TFEU), consisting of agreements or concerted practices between the aforementioned companies for the setting of prices and exchange of sensitive commercial information related to the contracting of interest rate derivatives used as hedging instruments for the risk of syndicated loans.</w:t>
      </w:r>
    </w:p>
    <w:p>
      <w:r>
        <w:t xml:space="preserve">I. BACKGROUND ....................................................................................... 4  </w:t>
        <w:br/>
        <w:t xml:space="preserve">II. THE PARTIES ............................................................................................ 14  </w:t>
        <w:br/>
        <w:t xml:space="preserve">III. MARKET CHARACTERIZATION .......................................................... 14  </w:t>
        <w:br/>
        <w:t xml:space="preserve">1. Affected market .................................................................................... 14  </w:t>
        <w:br/>
        <w:t xml:space="preserve">1.1 Project finance and syndicated loans ............................................. 14  </w:t>
        <w:br/>
        <w:t xml:space="preserve">1.2 Financial derivatives: hedging against interest rate risk ............ 17  </w:t>
        <w:br/>
        <w:t xml:space="preserve">1.3 Cost or valuation of financial derivatives .................................... 23  </w:t>
        <w:br/>
        <w:t xml:space="preserve">1.4 Guarantees of syndicated loans in project finance ..................... 26  </w:t>
        <w:br/>
        <w:t xml:space="preserve">2. Regulatory framework ....................................................................... 27  </w:t>
        <w:br/>
        <w:t xml:space="preserve">IV. ESTABLISHED FACTS ....................................................................... 29  </w:t>
        <w:br/>
        <w:t xml:space="preserve">1. Explanations from the involved entities regarding the contracting of derivatives .......................................................................................... 29  </w:t>
        <w:br/>
        <w:t xml:space="preserve">2. The regulation of financial derivatives in the documents formalized by the involved entities. ................................................................. 45  </w:t>
        <w:br/>
        <w:t xml:space="preserve">3. Analysis of the financial derivative operations conducted by the involved entities .................................................................................. 49  </w:t>
        <w:br/>
        <w:t xml:space="preserve">4. The arbitration award in the procedure between CAIXABANK and GRUPO VAPAT .................................................................................. 64  </w:t>
        <w:br/>
        <w:t xml:space="preserve">V. LEGAL GROUNDS ............................................................................... 64  </w:t>
        <w:br/>
        <w:t xml:space="preserve">FIRST. COMPETENCE TO RESOLVE .................................................... 64  </w:t>
        <w:br/>
        <w:t xml:space="preserve">SECOND. OBJECT OF THE RESOLUTION AND APPLICABLE REGULATIONS ... 65  </w:t>
        <w:br/>
        <w:t xml:space="preserve">THIRD. PROPOSAL FOR RESOLUTION FROM THE INSTRUCTING BODY 66  </w:t>
        <w:br/>
        <w:t xml:space="preserve">FOURTH. ASSESSMENT OF THE COMPETITION CHAMBER .................. 67  </w:t>
        <w:br/>
        <w:t xml:space="preserve">4.1 Delimitation of the conduct constituting an infringement.  </w:t>
        <w:br/>
        <w:t xml:space="preserve">Illegality ..................................................................................................... 67  </w:t>
        <w:br/>
        <w:t xml:space="preserve">4.2 Definition of relevant market and geographical dimension of the conduct .......................................................................................... 84  </w:t>
        <w:br/>
        <w:t xml:space="preserve">4.3 Unique and continuous nature of the conduct and its duration ... 86  </w:t>
        <w:br/>
        <w:t xml:space="preserve">4.4 Effects of the conduct in the market ............................................ 88  </w:t>
        <w:br/>
        <w:t xml:space="preserve">4.5 Liability of the involved entities ................................................... 97  </w:t>
        <w:br/>
        <w:t xml:space="preserve">FIFTH. OTHER ALLEGATIONS AND ISSUES RAISED IN THE COUNCIL PHASE .......................................................................................... 100  </w:t>
        <w:br/>
        <w:t xml:space="preserve">5.1 Allegations regarding the violation of the defense rights of the parties. ............................................................................................. 100  </w:t>
        <w:br/>
        <w:t xml:space="preserve">5.2 Mitigating circumstances of liability ........................................... 106  </w:t>
        <w:br/>
        <w:t xml:space="preserve">5.3 On the possible liability of executives, per Article 63.2 of the LDC ......................................................................................................... 108  </w:t>
        <w:br/>
        <w:t xml:space="preserve">5.4 Request for confidentiality ........................................................... 109  </w:t>
        <w:br/>
        <w:t xml:space="preserve">SIXTH. DETERMINATION OF THE SANCTION .................................... 110  </w:t>
        <w:br/>
        <w:t xml:space="preserve">6.1 Criteria set forth by the Supreme Court ................................. 110  </w:t>
        <w:br/>
        <w:t xml:space="preserve">6.2 Criteria for determining the sanction: general assessment of the conduct ........................................................................................... 111  </w:t>
        <w:br/>
        <w:t xml:space="preserve">6.3 Criteria for individual assessment of the conduct ................... 113  </w:t>
        <w:br/>
        <w:t xml:space="preserve">6.4 Type of sanction and adequacy of the sanction ....................... 113  </w:t>
        <w:br/>
        <w:t>VI. RESOLVES .......................................................................................... 115</w:t>
      </w:r>
    </w:p>
    <w:p>
      <w:r>
        <w:rPr>
          <w:b/>
        </w:rPr>
        <w:t>[Pages 4–6]</w:t>
      </w:r>
    </w:p>
    <w:p>
      <w:r>
        <w:t>I. BACKGROUND</w:t>
        <w:br/>
        <w:t>1. On June 19, 2015, in light of the documentation made known to the Directorate of Competition (DC) by the company INVERSIONES EMPRESARIALES VAPAT, S.L.U. (parent company of the VAPAT Group), regarding the actions of four banking entities in relation to financial derivative contracts for hedging interest rate risk in syndicated loans (folios 13 to 1474), the DC agreed to initiate a reserved inquiry, in accordance with the provisions of section 2 of Article 49 of the LDC (folio 12). Among the information submitted by Grupo VAPAT were:</w:t>
        <w:br/>
        <w:t>• The hedging contracts entered into between the companies of that Group and four banks: CAIXABANK, S.A. (hereinafter, CAIXABANK), BANCO SANTANDER, S.A. (SANTANDER), BANCO DE SABADELL, S.A. (SABADELL), and BANCO BILBAO VIZCAYA ARGENTARIA, S.A. (BBVA).</w:t>
        <w:br/>
        <w:t>• Documentation related to the report commissioned by Grupo VAPAT to an independent financial expert regarding this type of financial derivative contracts.</w:t>
        <w:br/>
        <w:t>• Emails exchanged with the aforementioned banks in which various companies of the VAPAT Group requested specific data on certain hedging operations or the periodic valuations of their portfolios, which were denied; the names of possible traders involved in the operations; and the hedging contracts with derivatives entered into during a specific period in which, according to the complainant, the prices of the contracts would not have been manipulated.</w:t>
        <w:br/>
        <w:t>2. On July 23, 2015, a letter from Grupo VAPAT and its subsidiary companies Bajoz Eólica S.L. (BAJOZ), Hornija Eólica S.L. (HORNIJA), CyL Energía Eólica S.L.U. (CYL), and Esquilvent S.L. (ESQUILVENT) was received by the National Commission of Markets and Competition (CNMC), denouncing BBVA, CAIXABANK, SANTANDER, and SABADELL for conduct prohibited by the LDC, consisting of the concerted falsification of the prices of financial derivative contracts used as hedging for the interest rate risk of syndicated loans for financing large-scale projects in the renewable energy sector. Along with their complaint, Grupo VAPAT provided documentation related to the operations corresponding to its four subsidiaries (hereinafter, complainant's operations).</w:t>
        <w:br/>
        <w:t>3. Prior to this, in April 2014, according to the information provided by CAIXABANK, SABADELL, and BBVA, Grupo VAPAT had filed a criminal complaint regarding the contract of the CYL operation against two employees of SABADELL and the heads of the Treasury and Capital Markets departments of this entity, CAIXABANK, and BBVA, for fraudulent practices in the contracting of these derivative products. The defense of the employees of SABADELL requested the dismissal and archiving of the proceedings, and on May 20, 2015, a provisional dismissal order and archiving of these was issued, which was subject to a reform appeal and a subsidiary appeal by CYL. By order of August 18, 2015, the reform appeal was dismissed, and the appeal was admitted for processing. According to a letter from VAPAT dated December 22, 2016, on November 13, 2015, the Provincial Court of Madrid dismissed said appeal. Against the dismissive order, Grupo VAPAT filed an incident of nullity of proceedings, which was not admitted (folios 3205 to 3206, 3220 to 3224, 3867 to 3868, 5695 to 5767, 5673 to 5674, and 41767 to 41769).</w:t>
        <w:br/>
        <w:t>4. In view of the above, SABADELL (folios 3868 to 3869) and BBVA (folio 21968) requested, based on Article 46 of the LDC, the suspension of the present procedure due to criminal prejudiciality.</w:t>
        <w:br/>
        <w:t>5. Furthermore, the companies of Grupo VAPAT have maintained various arbitration proceedings with CAIXABANK regarding the validity of the hedging contracts (folio 3206). The CNMC is aware of the existence of an arbitration award adopted on November 11, 2016 (confidential folios 40202 to 40366).</w:t>
        <w:br/>
        <w:t>6. On July 28, 2015, the DC requested information from CAIXABANK, SANTANDER, SABADELL, and BBVA (folios 1475-1490) requiring:</w:t>
        <w:br/>
        <w:t>• A list of the derivative contracts signed between the years 2006 to 2012 and used as hedging for interest rate risk in syndicated loan operations, indicating specific data about them.</w:t>
        <w:br/>
        <w:t>• A copy of the derivative contracts signed with the subsidiary companies of Grupo VAPAT.</w:t>
        <w:br/>
        <w:t>• A certified copy of the entry ticket for the derivative operations of the aforementioned contracts.</w:t>
        <w:br/>
        <w:t>• An explanation of the contracting process for the reference derivative operations.</w:t>
        <w:br/>
        <w:t>• Indication of the departments responsible for this type of operations.</w:t>
        <w:br/>
        <w:t>• A copy of the Derivatives Procedure Manual, and the internal regulations governing the operation of these financial products.</w:t>
        <w:br/>
        <w:t>• Various explanations regarding definitions related to derivative operations.</w:t>
        <w:br/>
        <w:t>• Detailed information on certain operations, including copies of communications with the respective clients and with the other intervening banks (whether in electronic, written, or audio format).</w:t>
        <w:br/>
        <w:t>7. Following requests for extensions from CAIXABANK (folios 3155 to 3157) and SABADELL (3175 and 3176) and the granting by the DC of 5 more days, in accordance with the provisions of Article 49 of Law 30/1992, of November 26, on the Legal Regime of Public Administrations and the Common Administrative Procedure (folios 3173 to 3174 and 3197 to 3198, respectively), on September 16, 2015, the response from CAIXABANK was received at the CNMC, and on September 23, the incomplete response from SABADELL, which the entity completed by letter dated June 21, 2016 (confidential folios 21995 to 23337 and folios 23338 to 23359).</w:t>
        <w:br/>
        <w:t>8. On September 23 and 24, 2015, letters from BBVA and SANTANDER were received at the CNMC respectively, communicating that, due to internal coordination problems within the entities, the information request had not been sent to the responsible persons, with the former requesting a new sending of the request and a new deadline to respond, and the latter communicating that the response would be sent as soon as possible (folio 4887). On the same September 23, the DC proceeded to send the letter to BBVA granting a new deadline of 10 days for its response (folios 4882 to 4884). Finally, on October 6 and 8, 2015, the responses to the information request made on July 28 were received at the CNMC from SANTANDER (folios 4919 to 5154, 5432 to 5478, and confidential folios 4888 to 4918, 5155 to 5431, 5479 to 5648), and BBVA (folios 5695 to 5781, 5783 to 6083, 6088 to 6153, 6396 to 6503, 6962 to 6975, and confidential folios 5673 to 5694, 5782, 6084 to 6087, 6154 to 6395, 6504 to 6961) respectively. The DC requested the companies a censored version which they submitted on April 22, 2016, from SANTANDER (folios 7949 to 7986), and on June 17, 2016, from BBVA (folios 21964 to 21994).</w:t>
        <w:br/>
        <w:t>9. On December 17, 2015, the DC requested Grupo VAPAT to provide the Term Sheets associated with the operations of its subsidiaries BAJOZ and HORNIJA dated March 26, 2010, ESQUILVENT dated July 14, 2010, and CYL dated August 8, 2011 (folios 7238 to 7241), with this information being provided on January 5, 2016 (folios 7244 to 7334).</w:t>
        <w:br/>
        <w:t>10. On December 17, 2015, the DC requested information from the Bank of Spain regarding the syndicated loans granted in Spain between 2007 and 2015 (folios 7241-7242). The response was received in the CNMC registry on January 11, 2016 (folios 7335-7337).</w:t>
        <w:br/>
        <w:t>11. On January 13, 2016, the DC requested the Official Credit Institute (ICO) information on the functioning of syndicated loan negotiations and the associated hedging instruments, given the participation of this body in some of the financing operations provided with the complaint (folios 7338-7341). The response was received at the CNMC on February 3, 2016 (folios 7343-7352).</w:t>
        <w:br/>
        <w:t>12. On April 5, 2016, the DC agreed to initiate sanctioning proceedings against CAIXABANK, SANTANDER, SABADELL, and BBVA, for</w:t>
      </w:r>
    </w:p>
    <w:p>
      <w:r>
        <w:rPr>
          <w:b/>
        </w:rPr>
        <w:t>[Pages 7–9]</w:t>
      </w:r>
    </w:p>
    <w:p>
      <w:r>
        <w:t>a la solicitud de confidencialidad presentada por BBVA como inadmisible.</w:t>
      </w:r>
    </w:p>
    <w:p>
      <w:r>
        <w:t>17. El 30 de junio de 2016, la DC acordó la incoación de un nuevo expediente sancionador contra CAIXABANK, SANTANDER, SABADELL y BBVA, por una presunta infracción del artículo 1 de la LDC y del 101 del TFUE, consistente en acuerdos o prácticas concertadas entre las citadas empresas para la fijación de precios e intercambio de información comercial sensible en relación con la contratación de derivados de tipos de interés utilizados como instrumentos de cobertura del riesgo de préstamos sindicados (folios 1-2).</w:t>
      </w:r>
    </w:p>
    <w:p>
      <w:r>
        <w:t>18. En el transcurso de la instrucción del expediente, la DC recibió diversas alegaciones y documentación por parte de las entidades incoadas, así como de otras empresas que habían sido requeridas de información. La DC analizó toda la información recibida y realizó las diligencias necesarias para esclarecer los hechos objeto de investigación.</w:t>
      </w:r>
    </w:p>
    <w:p>
      <w:r>
        <w:t>19. Finalmente, la DC emitió un informe en el que se concluyó que existían indicios suficientes para considerar que las entidades mencionadas habían incurrido en prácticas anticompetitivas, por lo que se propuso la imposición de sanciones económicas a las mismas, así como la adopción de medidas correctivas para restablecer la competencia en el mercado de derivados de tipos de interés.</w:t>
      </w:r>
    </w:p>
    <w:p>
      <w:r>
        <w:rPr>
          <w:b/>
        </w:rPr>
        <w:t>[Pages 10–12]</w:t>
      </w:r>
    </w:p>
    <w:p>
      <w:r>
        <w:t>denying confidentiality of the DC of May 11 (folio 18682). On June 21, 2016, the Competition Chamber of the CNMC resolved to archive the appeal (R/AJ7140/16 BBVA), in view of the agreement of the Competition Directorate of June 6, 2016, which declared the data and documents whose confidentiality was the subject of controversy as provisionally confidential.</w:t>
      </w:r>
    </w:p>
    <w:p>
      <w:r>
        <w:t>17. On October 24, 2016, and December 27, 2016, the CNMC received written allegations from SABADELL regarding the initiation agreement (respectively, folios 24555 to 24604 and folios 41771 to 42019). Likewise, on December 1 and 13, 2016, the CNMC received written allegations regarding the initiation agreement of CAIXABANK (folios 40524 to 40561 and confidential folios 40562 to 40906), and SANTANDER (folios 41639 to 41668 and 41692 to 41696 and confidential folios 41669 to 41691).</w:t>
      </w:r>
    </w:p>
    <w:p>
      <w:r>
        <w:t>18. The Statement of Facts (PCH), in accordance with the provisions of Article 33.1 of the Competition Defense Regulation, approved by Royal Decree 261/08, of February 22 (RDC), was notified by the DC on January 13, 2017, to CAIXABANK, SABADELL, and SANTANDER through the electronic headquarters of the CNMC (folios 42649 to 42768, 42879 to 42996, 43104 to 43214, respectively), and was made available to BBVA on the same date through the electronic headquarters of the CNMC (folios 42424 to 42425), although, due to technical problems cited by that entity, it was notified in person on January 17, 2017 (folio 43217), on which date, on the other hand, VAPAT acknowledged receipt of the administrative notification of the PCH (folios 42247 to 42313).</w:t>
      </w:r>
    </w:p>
    <w:p>
      <w:r>
        <w:t>19. Following the notification of the PCH, the DC became aware that, in the printed and digital edition of January 25, 2017, of a national newspaper, a news article had been published informing about the notification of the PCH to the banks involved, referring to its content, as well as details of the investigation. The DC, on the same date of January 25, 2017, sent a communication to all parties in the file informing them of this fact and reminding them that it constituted a breach of the duty of secrecy provided for in Article 43 of the LDC (folios 43257 to 43280).</w:t>
      </w:r>
    </w:p>
    <w:p>
      <w:r>
        <w:t>20. On February 8, 2017, a written submission from the four financial entities proposing the Conventional Termination of the procedure was entered into the CNMC registry, also presenting a proposal for commitments in accordance with the provisions of Articles 52 of the LDC and 39 of the RDC (folios 43286 to 43300). In relation to this proposal, in view of all that had been acted upon in the file and the information contained therein, the DC agreed not to initiate proceedings aimed at the conventional termination, considering that the substantive conditions allowing, in general terms and according to what is established in paragraph 23 of the Communication of the former National Competition Commission, not to agree to the initiation of the conventional termination were met. The agreement denying the conventional termination was notified to BBVA, CAIXABANK, and SANTANDER on March 3, 2017, through the electronic headquarters (folios 44525 to 44539), by fax to SABADELL (folios 44540 to 44544), and by administrative mail to VAPAT (folios 44545 to 44547).</w:t>
      </w:r>
    </w:p>
    <w:p>
      <w:r>
        <w:t>21. On February 8, 2017, the written allegations to the PCH from CAIXABANK (folios 43304 to 43372), SANTANDER (folios 43452 to 43467), and SABADELL (folios 43487 to 43538) were entered into the CNMC. On February 11, 2017, the allegations from BBVA were entered (folios 44180 to 44260), and on February 15, 2017 – therefore out of time – those from VAPAT (folios 44335 to 44348). In application of Article 50.3 of the LDC, CAIXABANK and SANTANDER requested the taking of documentary evidence consisting of the incorporation into the file of an economic report from a consultancy (folios 44434 and 44553). This was submitted by SABADELL on March 2, 2017, and by SANTANDER on March 14, 2017, being incorporated into the file (folios 44500 to 44522 and folios 44554 to 44575). Likewise, BBVA requested the taking of documentary evidence consisting of the incorporation into the file of the economic report from a consultancy and the “Draft Order ECC/…/2015, regarding the information and classification obligations of financial products of the Ministry of Economy and Competitiveness” submitted along with its written allegations dated February 11, 2017 (folio 44228). Both documents were incorporated into the file (folios 44231 to 44242 and 44243 to 44260, respectively).</w:t>
      </w:r>
    </w:p>
    <w:p>
      <w:r>
        <w:t>22. On March 30, 2017, the DC, by virtue of the provisions of Article 33.1 of the RDC, agreed to close the instruction phase of the reference file, which was notified to the interested parties. On March 31, 2017, the interested parties were notified of the Proposal for Resolution provided for in Article 50.4 of the LDC (folios 44606 to 44775).</w:t>
      </w:r>
    </w:p>
    <w:p>
      <w:r>
        <w:t>23. On April 20, 2017, the written allegations to the Proposal for Resolution submitted by SANTANDER, SABADELL, and CAIXABANK (confidential folios 46405-46448, 46464-46590, and 46612-46866) were entered, and on April 24, the written submission from BBVA (confidential folios 46883-47031), requesting the taking of evidence and complementary actions before the Council (confidential folios 46438, 46508-46511, 46665-46666, and 47011-47013), as well as the holding of a hearing (confidential folios 46407 and 46439, 46506, 46665-46666, and 47014-47020). On the same dates, the entities sent their responses to the request regarding the turnover for the purposes of Article 63 of the LDC (confidential folios 46452-46460, 46594-46608, 46870-46879, 47035-47045), with SABADELL completing, on April 25, 2017, the previously provided information on turnover (confidential folios 47049 to 47057). On the other hand, on April 26, 2017, the written allegations from VAPAT (confidential folios 47060-47097) were entered into the CNMC requesting the taking of evidence and complementary actions before the Council (confidential folios 47097).</w:t>
      </w:r>
    </w:p>
    <w:p>
      <w:r>
        <w:t>24. On April 26, 2017, under the provisions of Article 50.5 of the LDC and Article 34.2 of the RDC, the DC submitted its Report and Proposal for Resolution to the Council of the CNMC and sent the file to it for resolution (confidential folios 47099 to 47265).</w:t>
      </w:r>
    </w:p>
    <w:p>
      <w:r>
        <w:t>25. On May 11, 2017, a written submission from CAIXABANK was entered into the CNMC informing of a news article published in the printed and digital edition of January 25, 2017, of a national newspaper regarding the notification of the PCH and requesting actions from the Council of the CNMC in this regard under Article 43 of the LDC. The Secretariat of the Council of the CNMC, on June 9, 2017, sent a letter to the interested parties reminding them of the duty of secrecy, reserving the exercise of any judicial or administrative actions that may correspond.</w:t>
      </w:r>
    </w:p>
    <w:p>
      <w:r>
        <w:t>26. On June 20, 2017, the Competition Chamber of the CNMC agreed, in accordance with Article 37.2 c) of the LDC, to send the Proposal Report to the European Commission, which took place on the same June 20, 2017, which resulted in the suspension of the maximum deadline for resolving the file as of that date, being notified to the interested parties (folios 47395-47405). After the deadline established in the agreement of June 20 had passed, the agreed suspension was lifted on July 21, 2017, being communicated to the parties and continuing the computation of the deadline for issuing a resolution (folios 47753-47764).</w:t>
      </w:r>
    </w:p>
    <w:p>
      <w:r>
        <w:t>27. Access to the file has been requested after its elevation to the Council and viewed by CAIXABANK (May 19, 2017), BBVA (May 19, 2017), SABADELL (June 1, 2017), and VAPAT (July 21, 2017).</w:t>
      </w:r>
    </w:p>
    <w:p>
      <w:r>
        <w:t>28. On June 28, 2017, a written submission of complementary allegations from SABADELL (folios 47422-47425) was entered into the CNMC. And on August 3, 2017, a written submission of complementary allegations from VAPAT (folios 47772-47776) was entered into the CNMC.</w:t>
      </w:r>
    </w:p>
    <w:p>
      <w:r>
        <w:t>29. On September 21, 2015, the Competition Chamber adopted an agreement for the taking of evidence and complementary actions, which was notified to the interested parties, as well as the suspension of the maximum deadline for resolution during the necessary time for receiving the requested reports and incorporating their results into the file, and the subsequent ten-day period for the formulation of allegations by the interested parties (folios 47786-47813).</w:t>
      </w:r>
    </w:p>
    <w:p>
      <w:r>
        <w:t>30. BANCO SABADELL (folios 47834-47841) and VAPAT (folios 47858-47866), on September 29, 2017, and CAIXABANK, on October 3, submitted allegations to the Agreement of complementary actions. Likewise, CAIXABANK accessed the file on September 27, 2017.</w:t>
      </w:r>
    </w:p>
    <w:p>
      <w:r>
        <w:t>31. On December 5, 2017, a Report from the Bank of Spain was entered into the CNMC, resulting from the agreement for the taking of evidence adopted by the Competition Chamber on September 21, 2015 (folios 47892-47903).</w:t>
      </w:r>
    </w:p>
    <w:p>
      <w:r>
        <w:t>32. On December 11, 2017, once the Report from the Bank of Spain was incorporated into the file, the interested parties were notified of the agreement of December 7 for the evaluation of evidence and the formulation of allegations.</w:t>
      </w:r>
    </w:p>
    <w:p>
      <w:r>
        <w:rPr>
          <w:b/>
        </w:rPr>
        <w:t>[Pages 13–15]</w:t>
      </w:r>
    </w:p>
    <w:p>
      <w:r>
        <w:t>that they consider appropriate, if applicable, regarding the result of the evidence presented (folios 47906-47916).</w:t>
      </w:r>
    </w:p>
    <w:p>
      <w:r>
        <w:t>After all interested parties accessed the file and BANCO SABADELL requested an extension of the deadline on December 21, 2017, which was granted, all interested parties submitted allegations; on December 22, 2017, BBVA (folios 47994-48006) and BANCO SANTANDER (folios 48010-48016) submitted their allegations, followed by BANCO SABADELL (folios 48020-48031) and VAPAT (folios 48048-48049) on December 28, and CAIXABANK (folios 48074-48080) on December 29.</w:t>
      </w:r>
    </w:p>
    <w:p>
      <w:r>
        <w:t>33. On December 29, 2017, all interested parties were notified of the lifting of the suspension of the maximum deadline to resolve the file, effective from that same day, once the deadline derived from the Agreement on the practice of evidence and complementary actions adopted by the Chamber on September 21, 2017, had elapsed (folios 48084-48095).</w:t>
      </w:r>
    </w:p>
    <w:p>
      <w:r>
        <w:t>34. On January 10, 2018, BANCO DE SABADELL sent to the CNMC a Judgment issued on December 26, 2017, by the Court of First Instance No. 99 of Madrid, which dismisses a lawsuit filed against said entity regarding the nullity of an interest rate hedging contract called "zero-cost collar" (folios 48107-48116). Along with the aforementioned judgment, BANCO DE SABADELL submitted a written statement of allegations regarding it (folios 48101-48106).</w:t>
      </w:r>
    </w:p>
    <w:p>
      <w:r>
        <w:t>35. On January 10, 2018, the Competition Chamber adopted an agreement requiring the involved companies to provide the total turnover for the year 2017, before the application of VAT or related taxes (folios 48133-48135). With the aforementioned agreement, the procedure's deadline was suspended, and the suspension was subsequently lifted by an agreement dated January 23, 2018, effective the same day (folio 10515). On January 23, 2018, responses were received from BANCO DE SABADELL (folios 48161-48163), CAIXABANK (folios 48184-48186), and BANCO SANTANDER (folios 48201-48202) to the aforementioned information request. Subsequently, on January 26, a response was received from BBVA (folios 48229-48233).</w:t>
      </w:r>
    </w:p>
    <w:p>
      <w:r>
        <w:t>36. The Competition Chamber of the CNMC Council deliberated and ruled on the matter in its meeting on February 13, 2018.</w:t>
      </w:r>
    </w:p>
    <w:p>
      <w:r>
        <w:t>37. The interested parties in this file are:</w:t>
        <w:br/>
        <w:t>• INVERSIONES EMPRESARIALES VAPAT, S.L.U.</w:t>
        <w:br/>
        <w:t>• CAIXABANK, S.A.</w:t>
        <w:br/>
        <w:t>• BANCO SANTANDER, S.A.</w:t>
        <w:br/>
        <w:t>• BANCO DE SABADELL, S.A.</w:t>
        <w:br/>
        <w:t>• BANCO BILBAO VIZCAYA ARGENTARIA, S.A.</w:t>
      </w:r>
    </w:p>
    <w:p>
      <w:r>
        <w:t>II. THE PARTIES</w:t>
        <w:br/>
        <w:t>The interested parties in this file, as stated in the PCH of the DC, are as follows:</w:t>
        <w:br/>
        <w:t>Complainant: INVERSIONES EMPRESARIALES VAPAT, S.L.U. (VAPAT)</w:t>
        <w:br/>
        <w:t>VAPAT is a Madrid-based company, parent of the VAPAT Group, whose main activity is the promotion, construction, and operation of wind parks and infrastructures (folio 1492). It has wind facilities in various locations in Spain and ranks among the top ten wind companies in the national territory. VAPAT has the following subsidiary companies: Parques Eólicos San Lorenzo, S.L.U., Bajoz Eólica S.L., Hornija Eólica S.L., CyL Energía Eólica S.L.U., and Esquilvent S.L. (folio 1505).</w:t>
      </w:r>
    </w:p>
    <w:p>
      <w:r>
        <w:t>Respondents:</w:t>
        <w:br/>
        <w:t>CAIXABANK, SABADELL, BBVA, and SANTANDER are four of the main financial entities in the country. SANTANDER, in May 2013, carried out the merger by absorption of BANESTO (Banco Español de Crédito), an entity it had already controlled since the 1990s, with the commercial name remaining operational until December 2013. Therefore, references to BANESTO appearing in the documentation in the file should be understood as referring to SANTANDER.</w:t>
      </w:r>
    </w:p>
    <w:p>
      <w:r>
        <w:t>III. MARKET CHARACTERIZATION</w:t>
        <w:br/>
        <w:t>The behaviors analyzed in this file occur in the contracting of interest rate derivatives used as hedging instruments for the risk of syndicated loans intended for project finance. For a better understanding of the file, the market in which the investigated behavior takes place is first presented, followed by the regulatory framework of reference.</w:t>
      </w:r>
    </w:p>
    <w:p>
      <w:r>
        <w:t>1. Affected Market</w:t>
        <w:br/>
        <w:t>It is appropriate to explain the concepts of project finance, syndicated loans, and financial derivatives in the context of these loans.</w:t>
      </w:r>
    </w:p>
    <w:p>
      <w:r>
        <w:t>1.1 Project Finance and Syndicated Loans</w:t>
        <w:br/>
        <w:t>Project financing or project finance refers to the financing mechanisms typically used to carry out large-scale projects. In these cases, the guarantee on which lenders rely to finance the project mainly depends on the project's ability to generate income capable of repaying the incurred debt and providing a return on the invested capital, since—unlike traditional corporate finance—the debt in project finance is considered secured solely by the company created to manage the project, and not by a legal entity that may have other sources of income apart from those generated by the project. This company will operate with a high level of indebtedness relative to its own resources, ensuring the repayment of the financing from the cash flows generated and from the project's assets.</w:t>
      </w:r>
    </w:p>
    <w:p>
      <w:r>
        <w:t>Due to the high amount of loans that finance this type of project, long-term syndicated loans are typically used, that is, loans in which several financial institutions (lenders) participate, providing a borrower with lendable funds under common terms and conditions, and consequently, with common documentation. Since it is granted by a group of syndicated banks, the syndicated loan allows for risk diversification and the execution of high-value operations that would otherwise be difficult to carry out. According to information provided by SABADELL, between 2001 and 2016, 667 syndicated loan operations were conducted in Spain (folio 24585). This type of syndicated financing is referred to as senior credit or senior debt due to its dominant position in the priority of the company's credits.</w:t>
      </w:r>
    </w:p>
    <w:p>
      <w:r>
        <w:t>Despite the participation of several financial institutions in the loan, one of them assumes the role of agent bank, which administers the loan on behalf of the syndicate. Its tasks are primarily related to the administration, operational management, and coordination of the syndicated loan with the other entities. It may be one of the lenders in the syndicate or a third party (folio 7344).</w:t>
      </w:r>
    </w:p>
    <w:p>
      <w:r>
        <w:t>The syndication of a loan among several banks constitutes a temporary mechanism for associating those entities to distribute the participation in granting it. The financing is structured through the financing contract, multilaterally signed by the banks and the client, in which the basic conditions of the financing for the construction and commissioning of the project are established. Prior to its signing, the parties agree on a Term Sheet that outlines the bases of the future financing. According to information in the file, the selection of the syndicate banks (or lenders) corresponds to the loan applicant (or borrower); exceptionally, it may be entrusted to the agent bank, but always with the borrower's consent. The borrower will generally seek the participation of entities with which they already have a relationship (folio 7343).</w:t>
      </w:r>
    </w:p>
    <w:p>
      <w:r>
        <w:t>The main cost for the borrower of a syndicated loan1 is the interest that must be paid on the portion of the loan drawn. The interest rate of the loan 1 Apart from agency fees, drawdown fees, commitment fees, etc., and the legal expenses associated with this type of loan.</w:t>
      </w:r>
    </w:p>
    <w:p>
      <w:r>
        <w:rPr>
          <w:b/>
        </w:rPr>
        <w:t>[Pages 16–18]</w:t>
      </w:r>
    </w:p>
    <w:p>
      <w:r>
        <w:t>the loan is usually variable and is formed with a reference interest rate (e.g., six-month Euribor or three-month Libor) plus a margin or spread as the lender's remuneration. The margin or spread is the most important remuneration factor for the lender and, therefore, the main element of negotiation for the borrower. Its amount is influenced by factors such as the implicit risk levels in the operation, the degree of competitiveness and liquidity in the market at the time of the loan agreement, the lender's return on capital, etc.</w:t>
      </w:r>
    </w:p>
    <w:p>
      <w:r>
        <w:t>The participation of the involved entities in syndicated loan operations held in Spain between 2006 and 2016 is reflected in the two tables below, provided by SABADELL (confidential folio 42033). Table 1 reflects the percentage of syndicated loans (associated or not with project finance) in which at least one of the involved entities participated.</w:t>
      </w:r>
    </w:p>
    <w:p>
      <w:r>
        <w:t>Table 1. Percentage of operations with syndicated loans in Spain in which at least one of the involved entities has participated (in terms of units) 2</w:t>
        <w:br/>
        <w:t>2006 2007 2008 2009 2010 2011 2012 2013 2014 2015 2016**</w:t>
        <w:br/>
        <w:t>Participates some member of the syndicate [40-50%] [50-60%] [50-60%] [60-70%] [70-80%] [70-80%] [70-80%] [70-80%] [80-90%] [90-100%] [70-80%]</w:t>
        <w:br/>
        <w:t>Carried out by the syndicate* [0-10%] [0-10%] [0-10%] [0-10%] [0-10%] [0-10%] [0-10%] [0-10%] [0-10%] [0-10%] [0-10%]</w:t>
      </w:r>
    </w:p>
    <w:p>
      <w:r>
        <w:t>Table 2 reflects the participation of each of the four entities in project finance with syndicated loans.</w:t>
      </w:r>
    </w:p>
    <w:p>
      <w:r>
        <w:t>Table 2. Participation of each of the involved entities in syndicated project finance loans in terms of units in Spain (% of the total) 3</w:t>
        <w:br/>
        <w:t>Entity 2006 2007 2008 2009 2010 2011 2012 2013 2014 2015 2016**</w:t>
        <w:br/>
        <w:t>SABADELL [20-30%] [30-40%] [10-20%] [20-30%] [20-30%] [30-40%] [30-40%] [10-20%] [20-30%] [40-50%] [50-60%]</w:t>
        <w:br/>
        <w:t>BBVA [20-30%] [30-40%] [20-30%] [30-40%] [40-50%] [40-50%] [50-60%] [50-60%] [10-20%] [50-60%] [30-40%]</w:t>
        <w:br/>
        <w:t>ICO [0-10%] [10-20%] [0-10%] [10-20%] [20-30%] [20-30%] [10-20%] [20-30%] [0-10%] [20-30%] [10-20%]</w:t>
        <w:br/>
        <w:t>BANESTO* [0-10%] [0-10%] [10-20%] [30-40%] [30-40%] [20-30%] [10-20%] [0-10%] [0-10%] [0-10%] [0-10%]</w:t>
        <w:br/>
        <w:t>CAIXABANK [0-10%] [20-30%] [20-30%] [30-40%] [50-60%] [30-40%] [50-60%] [50-60%] [80-90%] [40-50%] [30-40%]</w:t>
        <w:br/>
        <w:t>SANTANDER [30-40%] [30-40%] [10-20%] [40-50%] [30-40%] [30-40%] [10-20%] [40-50%] [40-50%] [80-90%] [40-50%]</w:t>
      </w:r>
    </w:p>
    <w:p>
      <w:r>
        <w:t>As can be seen, according to the data from Table 2, during the period of the infringement, all four defendants participated simultaneously in more than [30-40]% of the project finance operations financed with syndicated loans, although this average increased to nearly [40-50]% following the acquisition of Banesto by SANTANDER in 2013. The percentage increases significantly when considering operations in which at least three of the defendants participated simultaneously, with an average of nearly [40-50]% for the entire infringement period, over [60-70]% since 2013, and even more when considering operations in which at least two of the defendants participated, with a total average exceeding [70-80]% and [90-100]% since 2013.</w:t>
      </w:r>
    </w:p>
    <w:p>
      <w:r>
        <w:t>1.2 Financial derivatives: hedging against interest rate risk</w:t>
        <w:br/>
        <w:t>In syndicated loans structured as project finance, as evidenced in the file, the banks in the syndicate usually request the client to contract a financial hedging instrument to protect all or part of the nominal amount of the loan, in order to cover possible deviations in interest rates that could negatively affect the ability to repay the loan and therefore the viability of the project (folio 7345). Contracting the hedging instrument against interest rate risk is a reasonable practice from both the bank's and the client's perspective, as it ultimately aims to avoid default on the credit.</w:t>
      </w:r>
    </w:p>
    <w:p>
      <w:r>
        <w:t>In general, the hedging instrument is usually a financial derivative. It is a financial product whose value is based on the price of another financial asset, referred to as the underlying product. Derivatives are classified based on the underlying asset (interest rate derivatives, equity derivatives, currency derivatives, etc.), the type of contract (options, futures4, forwards5, swaps, etc.6), the purpose (speculation or hedging), and the place of negotiation and contracting (organized markets7 or unorganized, also known as over the counter or OTC8).</w:t>
      </w:r>
    </w:p>
    <w:p>
      <w:r>
        <w:t>In the case at hand, the main financial derivatives used (collars and swaps) have as their underlying product the reference interest rate used in the syndicated loan, which is why they are also often referred to as interest rate collars or interest rate swaps. It is common practice for the banks participating in the syndicated loan to themselves provide clients with this interest rate risk coverage in exchange for a price or premium9, but in principle, nothing would prevent other banks outside the lending syndicate from providing this coverage in whole or in part. According to the ICO, the way to obtain profits by the providers of derivatives is through margins, calculated as the difference between the price obtained by the provider of the derivative in the market (given the entity's rating and its market knowledge) and the level at which it subsequently sells it to the client and which the client accepts (folio 7347).</w:t>
      </w:r>
    </w:p>
    <w:p>
      <w:r>
        <w:t>1.2.1. Hedging interest rate risk with collars</w:t>
        <w:br/>
        <w:t>An interest rate collar is a customized derivative that incorporates two types of interest rate options known as cap and floor10. An interest rate option is a transaction whereby one party (the buyer), by paying a premium to the other party (the seller), acquires the right to take (buy) or lend (sell) a deposit for a nominal amount at a certain fixed or variable interest rate (exercise price) on a future date (exercise date).</w:t>
      </w:r>
    </w:p>
    <w:p>
      <w:r>
        <w:t>To understand the collar in the context of syndicated loans, it is necessary to separately explain the two interest rate options that comprise it.</w:t>
        <w:br/>
        <w:t>- In the cap, the client (the one receiving the syndicated loan) pays a premium to the seller of the option (a financial entity, which may be one of the banks offering the loan, or a third party); in return, if on certain future dates, previously agreed upon, the interest rate of</w:t>
      </w:r>
    </w:p>
    <w:p>
      <w:r>
        <w:t>7 The derivatives that are the subject of buying and selling in organized financial markets are standardized contracts (same price and maturity for all participants), which makes these markets more transparent and very liquid.</w:t>
        <w:br/>
        <w:t>8 In these markets, derivatives that are tailored between banks or companies are contracted. In these OTC markets, most financial derivatives are contracted. They are usually used for hedging very specific risks of a company.</w:t>
        <w:br/>
        <w:t>9 According to the definition included in the Framework Contract for Financial Operations (CMOF), which we will refer to later, the premium is the amount that the buyer of a derivative must pay, in a single payment, to the seller as compensation for the obligations that the latter assumes.</w:t>
        <w:br/>
        <w:t>10 Strictly speaking, a cap and a floor are rather series of interest rate options (caplets or floorlets) temporally chained to cover a significant part of the duration of the project financed with the syndicated loan. However, this precision is not relevant to understand how caps and floors provide the sought protection against adverse movements in interest rates.</w:t>
      </w:r>
    </w:p>
    <w:p>
      <w:r>
        <w:rPr>
          <w:b/>
        </w:rPr>
        <w:t>[Pages 19–21]</w:t>
      </w:r>
    </w:p>
    <w:p>
      <w:r>
        <w:t>reference (for example, the six-month Euribor) exceeds the interest rate set as maximum (cap rate)11, the client acquires the right for the financial entity to pay them the difference between those two interest rates, multiplied by the nominal amount being covered against the rise in interest rates12.</w:t>
      </w:r>
    </w:p>
    <w:p>
      <w:r>
        <w:t>Therefore, the interest rate cap is a financial option that allows the client to protect themselves from potential increases in the interest rate of the loan they have received. When the interest rate of the loan rises above the cap, the client has to pay more interest on the loan, but simultaneously the cap option they have acquired provides them with an income that offsets the increase in the interest rate. In this way, in relation to the syndicated loan, the client would pay, at most, the interest rate agreed upon as the cap rate.</w:t>
      </w:r>
    </w:p>
    <w:p>
      <w:r>
        <w:t>- As for the floor, it is the opposite option, which protects against decreases in interest rates, and therefore the lending banks would be the beneficiaries. The financial entity pays the client a premium, while the client is obliged to the bank that, in the event that, on certain future dates, previously agreed upon by both, the reference interest rate (for example, the six-month Euribor) falls below the interest rate set as minimum (floor rate), the client will pay the bank the difference between those two interest rates, multiplied by the nominal amount being covered against the decrease in interest rates.</w:t>
      </w:r>
    </w:p>
    <w:p>
      <w:r>
        <w:t>Therefore, the interest rate floor is a financial option that allows banks to protect themselves from potential decreases in the interest rate of the credit they have granted. When the interest rate of the loan falls above the floor, the bank receives less interest from the loan, but simultaneously the floor option they have acquired provides them with an income that offsets the decrease in the interest rate. In this way, in relation to the syndicated loan, the lending bank would receive, at a minimum, the interest rate agreed upon as the floor rate.</w:t>
      </w:r>
    </w:p>
    <w:p>
      <w:r>
        <w:t>A collar is a combination of cap and floor options, in which the client who has received the loan buys the cap option, and the financial entity that has granted the credit buys the floor option, both in exchange for a premium. In this way, both protect themselves simultaneously against changes in the interest rate of the loan that are detrimental to each (increases for the client, decreases for the financial entity), at least from a certain level marked by the cap and floor rates.</w:t>
      </w:r>
    </w:p>
    <w:p>
      <w:r>
        <w:t>An example will help clarify how collars operate. In Figure 1, a simplified example of a collar on a reference interest rate is shown, where the cap rate is set at 5%, and the floor rate is set at 3.5%. We assume that the agreed nominal amount is 1,000 euros, and that the payments and collections generated by the collar are settled semi-annually. Let’s imagine that the variable reference rate rises over time as can be seen in the graph, so that at the date of contracting the collar (month zero, represented as 0M), the interest rate is 3.5%, and at the end of the life of the collar (in month 36, identified as 36M) it reaches a value of 6.5%. The settlements, which would take place every six months, would be as follows:</w:t>
      </w:r>
    </w:p>
    <w:p>
      <w:r>
        <w:t>- At 6 months, the variable reference rate is at 3%. Since it is below the floor rate, which is 3.5%, the client must pay the financial entity the difference between the two rates (0.5%) multiplied by the nominal amount of 1,000 euros, that is, 5 euros (in contrast, since the reference rate is below the cap rate, the bank does not have to pay anything to the client).</w:t>
      </w:r>
    </w:p>
    <w:p>
      <w:r>
        <w:t>- Between 12 and 24 months, the reference interest rate is above the floor and below or equal to the cap. Therefore, there is no settlement of the collar in favor of either party.</w:t>
      </w:r>
    </w:p>
    <w:p>
      <w:r>
        <w:t>- At 30 months, the reference interest rate (5.5%) has exceeded the cap rate. Therefore, the client receives from the bank the difference between the reference rate and the cap rate, multiplied by the nominal amount of 1,000 euros, that is, 0.5% of 1,000 euros, which implies an income for the client of 5 euros at that date (in contrast, since the reference interest rate is above the floor rate, the client does not have to pay anything to the bank).</w:t>
      </w:r>
    </w:p>
    <w:p>
      <w:r>
        <w:t>FIGURE 1. EXAMPLE OF COLLAR</w:t>
      </w:r>
    </w:p>
    <w:p>
      <w:r>
        <w:t>7.0%</w:t>
        <w:br/>
        <w:t>6.5%</w:t>
        <w:br/>
        <w:t>6.5%</w:t>
        <w:br/>
        <w:t>6.0%</w:t>
        <w:br/>
        <w:t>5.5% 5.0% 5.5%</w:t>
        <w:br/>
        <w:t>5.0%</w:t>
        <w:br/>
        <w:t>4.5%</w:t>
        <w:br/>
        <w:t>4.5%</w:t>
        <w:br/>
        <w:t>4.0%</w:t>
        <w:br/>
        <w:t>3.5% 4.0%</w:t>
        <w:br/>
        <w:t>3.5%</w:t>
        <w:br/>
        <w:t>3.0% 3.0%</w:t>
        <w:br/>
        <w:t>2.5%</w:t>
        <w:br/>
        <w:t>2.0%</w:t>
        <w:br/>
        <w:t>0M 6M 12M 18M 24M 30M 36M</w:t>
        <w:br/>
        <w:t>Cap rate Floor rate Variable reference rate</w:t>
      </w:r>
    </w:p>
    <w:p>
      <w:r>
        <w:t>Thanks to the collar, the client who has received the credit eliminates the risk of an increase in interest rates above the maximum agreed upon in the cap, while renouncing the possibility of benefiting from a decrease in interest rates below the minimum agreed upon in the floor13. The opposite happens with the bank:</w:t>
      </w:r>
    </w:p>
    <w:p>
      <w:r>
        <w:t>13 Let’s imagine that in month zero the bank has granted the client a loan of 1,000 euros for three years (36 months) at the variable interest rate shown in the graph, with semi-annual interest payments.</w:t>
      </w:r>
    </w:p>
    <w:p>
      <w:r>
        <w:t>it ensures that it will never receive less in interest from the credit than the floor, but renounces benefiting from an increase in rates above the cap14. Finally, both the bank and the client can be harmed or benefited by movements in the reference interest rate between the floor and the cap.</w:t>
      </w:r>
    </w:p>
    <w:p>
      <w:r>
        <w:t>1.2.2. Coverage of interest rate risk with swaps</w:t>
      </w:r>
    </w:p>
    <w:p>
      <w:r>
        <w:t>In the event that the parties of a syndicated loan wish to hedge against variations in the interest rate through an interest rate swap (in English interest rate swap or IRS), the bank or financial entity commits to pay the client the amount resulting from applying a variable interest rate (for example, the six-month Euribor) on the agreed nominal amount, and in return, the client commits to pay the bank an amount calculated on the same nominal amount but applying a fixed rate agreed upon for the swap. It is therefore an exchange of a variable interest rate for a fixed interest rate.</w:t>
      </w:r>
    </w:p>
    <w:p>
      <w:r>
        <w:t>In Figure 2, a simplified example of a swap is shown for which the fixed rate has been agreed at 2.5%, and in which the settlements are semi-annual. The reference interest rate is variable and evolves as can be seen in the graph, so that at the date of contracting the collar the interest rate is 1%, and at 36 months the reference rate is 4%. If we assume that the agreed nominal amount is 1,000 euros, the settlements that would take place every six months would be as follows:</w:t>
      </w:r>
    </w:p>
    <w:p>
      <w:r>
        <w:t>- At 6 months, the client receives from the bank the variable reference rate, which is at 1.5%, and pays the bank the 2.5% of the fixed rate. Since the variable rates are below the fixed rate set in the swap, the client must pay the financial entity the difference between the fixed rate and the variable rate multiplied by the nominal amount, that is, 10 euros.</w:t>
      </w:r>
    </w:p>
    <w:p>
      <w:r>
        <w:t>- At 18 months, the reference interest rate, which is what the bank pays the client, is 2.5%, which at that date is equal to the fixed rate of the swap. Therefore, the settlement is null, which implies that neither the client nor the bank has to pay.</w:t>
      </w:r>
    </w:p>
    <w:p>
      <w:r>
        <w:t>- At 30 months, the reference interest rate that the bank pays the client (3.5%) has exceeded the fixed rate set in the swap. Now it is the bank that pays the client the difference between the reference rate and the swap rate, multiplied by the nominal amount, that is, 10 euros.</w:t>
      </w:r>
    </w:p>
    <w:p>
      <w:r>
        <w:t>Between month 24 and month 30, the interest rate of the loan rises from 5% to 5.5%, which implies an interest payment from the client to the bank of 55 euros, 5 euros more than in month 24. However, since they have contracted the collar with a cap rate of 5%, it has already been seen in the main text that the bank has to pay the client 5 euros for the collar, so the client pays the bank 55 (for interest) – 5 (for the coverage) = 50 euros, the same amount as if the interest rate of the loan had remained at 5%.</w:t>
      </w:r>
    </w:p>
    <w:p>
      <w:r>
        <w:t>14 With the same loan as in the previous footnote, in month six the interest rate is at 3%, and therefore the bank will receive from the client 30 euros in interest, 5 euros less than it would have received if the interest rate had remained at the initial level of 3.5%. However, since they have contracted the collar with a floor rate of 3.5%, the client will pay the bank 5 euros for the collar, so the bank receives from the client 30 (for interest) + 5 (for the coverage) = 35 euros, the same amount as if the interest rate of the loan had remained at 3.5%.</w:t>
      </w:r>
    </w:p>
    <w:p>
      <w:r>
        <w:rPr>
          <w:b/>
        </w:rPr>
        <w:t>[Pages 22–24]</w:t>
      </w:r>
    </w:p>
    <w:p>
      <w:r>
        <w:t>FIGURE 2. EXAMPLE OF SWAP</w:t>
        <w:br/>
        <w:t>4.50%</w:t>
        <w:br/>
        <w:t>4.00%</w:t>
        <w:br/>
        <w:t>3.50% 3% 4%</w:t>
        <w:br/>
        <w:t>3.00% 3.50%</w:t>
        <w:br/>
        <w:t>2.50%</w:t>
        <w:br/>
        <w:t>2.00% 2.50%</w:t>
        <w:br/>
        <w:t>1.50% 2%</w:t>
        <w:br/>
        <w:t>1.00% 1.50%</w:t>
        <w:br/>
        <w:t>0.50% 1%</w:t>
        <w:br/>
        <w:t>0.00%</w:t>
        <w:br/>
        <w:t>0M 6M 12M 18M 24M 30M 36M</w:t>
        <w:br/>
        <w:t>Fixed swap rate Reference variable rate</w:t>
        <w:br/>
        <w:t>Thanks to the swap, a client who has received the loan at a variable interest rate eliminates the risk of an increase in interest rates above the maximum agreed in the swap, while renouncing the possibility of benefiting from a decrease in interest rates below that same interest rate. In practice, it is as if now, with the swap, the loan they received were at a fixed rate15. The opposite happens with the lending bank: it ensures that it will always receive, for the credit granted, the interest rate agreed in the swap.</w:t>
      </w:r>
    </w:p>
    <w:p>
      <w:r>
        <w:t>1.2.3. Financial derivatives: the hedging contract</w:t>
        <w:br/>
        <w:t>Derivative operations are usually formalized through framework contracts designed for this purpose by specialized associations. Specifically, in Spain, ISDA (International Swaps and Derivatives Association) framework contracts are used, and especially when contracting with Spanish entities, the Financial Operations Framework Contracts (CMOF) drafted by the Spanish Banking Association (AEB) and the Spanish Confederation of Savings Banks (CECA) (folio 7346).</w:t>
      </w:r>
    </w:p>
    <w:p>
      <w:r>
        <w:t>The documents in which the coverage is formalized are as follows:</w:t>
        <w:br/>
        <w:t>• Framework contract, which is the document prepared by the aforementioned associations and signed with pre-printed text.</w:t>
        <w:br/>
        <w:t>• Annex 1, in which the parties negotiate modifications to the generic clauses of the framework contract to adapt them to the specific needs of the contracting parties.</w:t>
      </w:r>
    </w:p>
    <w:p>
      <w:r>
        <w:t>15 Let us imagine that in month zero the bank has granted the client a loan of 1,000 euros for three years (36 months) at the variable reference interest rate, with semiannual interest payments on the loan. As seen in the figure, in month zero the interest rate is 1%. As we have seen, in month 30 the interest rate of the loan has risen to 3.5%, which implies an interest payment from the client to the bank of 35 euros. However, since they have contracted the swap at a fixed rate of 2.5%, it has already been seen in the main text that the bank has to pay the client 10 euros for the swap, so the client pays the bank 35 (for interest) – 10 (for the coverage) = 25 euros, which is the same amount as if the interest on the loan were calculated at a fixed rate of 2.5%.</w:t>
      </w:r>
    </w:p>
    <w:p>
      <w:r>
        <w:t>22</w:t>
      </w:r>
    </w:p>
    <w:p>
      <w:r>
        <w:t>• The confirmations, in which the economic terms of the financial operations are agreed upon and which are formally signed with each bank according to the respective framework contracts or CMOF, once the hedging operation is closed. This document contains the chosen swap/cap/floor rate, as well as the specific modalities that regulate it (start date of the operation and maturity date, partial settlements, premium and spread or margin, if any, and the agreed reference interest rates).</w:t>
      </w:r>
    </w:p>
    <w:p>
      <w:r>
        <w:t>Therefore, the only parts of the contract subject to negotiation are Annex 1 and the confirmation, although through Annex 1 any aspect of the framework contract could be modified (folio 7347).</w:t>
      </w:r>
    </w:p>
    <w:p>
      <w:r>
        <w:t>According to the information in the file, hedging contracts are usually bilateral. Although the coverage is offered by several entities, each must sign a different framework contract with the client. Furthermore, although not specified in the documentation, neither party could publicize the content thereof, except with the express consent of the other (folio 7347).</w:t>
      </w:r>
    </w:p>
    <w:p>
      <w:r>
        <w:t>According to the information in the file, the providers of the derivative can be financial entities already participating in the financing or a third party external to it (or a mix). If they are already participating in the loan, their participation in providing the coverage will usually be proportional to their participation in the credit16 (folio 7346). Each financial entity must assess its risk and may choose whether or not to formalize a hedging derivative if deemed necessary.</w:t>
      </w:r>
    </w:p>
    <w:p>
      <w:r>
        <w:t>1.3 Cost or valuation of financial derivatives</w:t>
        <w:br/>
        <w:t>According to the ICO, for the client of the coverage, the interest rate set in the derivative is crucial, as it determines the final cost of the derivative operation, so they will seek to obtain the most beneficial "price" possible (also referred to as quotation)17. However, they cannot have direct influence over the determination of its value, as the price that each counterparty offers is theoretically determined based on specific variables of each of them (folio 7349).</w:t>
      </w:r>
    </w:p>
    <w:p>
      <w:r>
        <w:t>Regarding the valuation of the derivative, according to information in the file, it first requires calculating the fair value of the financial options, which necessitates determining the mathematical model for estimating the expected value of the financial options18. Secondly, it is necessary to calculate zero-coupon rates, equivalent discount factors, and implicit rates that act as underlyings in the financial options.</w:t>
      </w:r>
    </w:p>
    <w:p>
      <w:r>
        <w:t>The moment when the value of the derivative is determined is, according to information in the file, very relevant, as due to market volatility, the parameters that determine the quotation of a financial product change continuously (folio 7348). The market values of the operations at the time of closing are not recoverable later, unless they have been retained by the entity in some physical or electronic support. If not retained, only the opening quotations, market closing, highs, and lows could be recovered, but not the data from the specific moment of contracting, as given the volatility of the market, it is very complicated to know where all the variables were at the exact moment of quotation (folio 7350).</w:t>
      </w:r>
    </w:p>
    <w:p>
      <w:r>
        <w:t>1.3.1. Cost or valuation of interest rate collars</w:t>
        <w:br/>
        <w:t>In general, the value of an interest rate derivative for the client depends on the payments and receipts that this instrument can generate for them in the future. Since at the time of contracting the derivative the future evolution of the reference interest rate is unknown, it is not possible to know with certainty whether at the expected dates the settlement will be in favor of the client or the bank. However, the foreseeable evolution of the reference interest rate can be reasonably estimated using forward interest rates, which are the future values of the reference interest rate that are most likely according to the data recorded in the financial markets.</w:t>
      </w:r>
    </w:p>
    <w:p>
      <w:r>
        <w:t>After estimating in this way the most probable reference interest rates at the settlement dates, future settlements associated with the two interest rate options can be calculated. The client will have to receive with the cap option whenever the reference rate is above the cap rate, and will have to pay with the floor option whenever the reference rate is below the floor rate. These payments and receipts from the client would be the future cash flows generated by these two financial options.</w:t>
      </w:r>
    </w:p>
    <w:p>
      <w:r>
        <w:t>However, these cash flows, which are generated on different future dates, cannot simply be summed to calculate how much each of the options would be worth to the client, as the value of a sum of money in the future is not the same as its equivalent value in the present: the further away the moment of receipt is, the less its current value. Since what is of interest is to calculate how much the derivative is worth to the client at the time of contracting, it is necessary to calculate the present value of these future receipts and payments. To do this, it is necessary to resort to the calculation of net present value, which discounts or reduces the value of future cash flows to obtain their equivalent value in the present. To carry out this updating of the value, an individual rate or set of rates from each bank or operator is used (folios 7347-7348, corresponding to the information provided by the ICO).</w:t>
      </w:r>
    </w:p>
    <w:p>
      <w:r>
        <w:rPr>
          <w:b/>
        </w:rPr>
        <w:t>[Pages 25–27]</w:t>
      </w:r>
    </w:p>
    <w:p>
      <w:r>
        <w:t>discount rates that reflect the evolution of the value of money over time.</w:t>
      </w:r>
    </w:p>
    <w:p>
      <w:r>
        <w:t>The net present value of the future receipts and payments of the client generated by the cap and floor options is equal to the value of those options for the client. A cap option can only generate income for the client, so it will have a positive value, which will be equal to the premium or price that the client has to pay to acquire that option. In contrast, a floor option only produces payments for the client, so it will have a negative value for them, which will be equal to the premium or price that the client has to receive to acquire that obligation.</w:t>
      </w:r>
    </w:p>
    <w:p>
      <w:r>
        <w:t>The price that the client has to pay for contracting the collar is precisely its value for the client, which is equal to the difference between the premium they would pay to set a specific cap rate and the premium they would receive to set a specific floor rate. If the premium paid for the cap is greater than the one received for the floor, the client would have to pay a premium to the bank for the collar; if the premium paid for the cap is less than the one received for the floor, the client would have to receive a premium from the bank for the collar; if the premium paid for the cap is equal to the one received for the floor, the collar would have a null or zero cost for the client19. In this case, all the collars analyzed are of this last type.</w:t>
      </w:r>
    </w:p>
    <w:p>
      <w:r>
        <w:t>1.3.2. Cost or valuation of interest rate swaps</w:t>
      </w:r>
    </w:p>
    <w:p>
      <w:r>
        <w:t>The price that the client has to pay for contracting this hedging instrument is the premium, and to calculate it, it is necessary to estimate the value that the swap has for the client on the date of contracting.</w:t>
      </w:r>
    </w:p>
    <w:p>
      <w:r>
        <w:t>As already explained for the case of collars, the value of a swap for the client depends on the payments and receipts that it will generate for them in future settlements. Since the future evolution of the reference interest rate is not known at the time of contracting the swap, it is not possible to know with certainty whether the settlement will be in favor of the client or the bank on the scheduled dates. However, the foreseeable evolution of the reference interest rate can be reasonably estimated using forward interest rates, which are the future values of the reference interest rate that are most likely according to the data recorded in the financial markets.</w:t>
      </w:r>
    </w:p>
    <w:p>
      <w:r>
        <w:t>After estimating the most probable reference interest rates on the settlement dates in this way, future settlements associated with the interest rate swap can be calculated. The client will have to receive whenever the reference rate is above the rate set in the swap and will have to pay whenever the reference rate is below the rate set in the swap. These payments and receipts from the client would be the future cash flows generated by this hedging instrument.</w:t>
      </w:r>
    </w:p>
    <w:p>
      <w:r>
        <w:t>19 In similar terms, the Order issued by the Court of Instruction No. 31 of Madrid on May 20, 2015, states that the expression "zero cost" does not mean that the contracting of this product is free for the client, but rather that there is simply no initial payment of premium, commission, cost, fees, or expenses associated with the contracting of these products (folio 3211).</w:t>
      </w:r>
    </w:p>
    <w:p>
      <w:r>
        <w:t>As what is of interest is to calculate how much the swap is worth for the client on the date of contracting, it is necessary to calculate the present value of these future receipts and payments. To do this, as also explained earlier, it is necessary to calculate the net present value, which discounts or reduces the value of future cash flows using a discount rate to obtain its equivalent value in the present.</w:t>
      </w:r>
    </w:p>
    <w:p>
      <w:r>
        <w:t>The price or premium that the client has to pay for contracting the swap is precisely the value it has for the client. If the value of the swap is positive for the client, they would have to pay a premium to the bank equal to that value; if the value of the swap is negative for the client, the client would have to receive a premium from the bank equal to that value; if the value of the swap for the client is zero, the swap would have a null or zero cost for the client, who would not have to pay any premium to the bank. In this case, all the swaps analyzed are of this last type.</w:t>
      </w:r>
    </w:p>
    <w:p>
      <w:r>
        <w:t>1.4 Guarantees of syndicated loans in project finance</w:t>
      </w:r>
    </w:p>
    <w:p>
      <w:r>
        <w:t>Regarding the guarantees of syndicated loans in project finance, according to the information provided by SANTANDER, these are structured through the coordination and guarantees contract or Intercreditor Agreement. These contracts establish common conditions for both financing and hedging, highlighting their content (folio 41648):</w:t>
      </w:r>
    </w:p>
    <w:p>
      <w:r>
        <w:t>• The rules for the execution of guarantees, subject to the decision of the majority, which is determined by considering the weight of each entity in the overall debt, that is, considering the amount pending amortization of the loan and the market value of the derivative at that moment.</w:t>
        <w:br/>
        <w:t>• The rules for the modification of the contract that bind both the loan and the hedging. For this, a majority regime similar to that of the execution of guarantees is required.</w:t>
        <w:br/>
        <w:t>• Early cancellation of the derivative.</w:t>
        <w:br/>
        <w:t>• Total or partial amortization of the loan: the early maturity of the loan necessarily triggers the early maturity of the hedging.</w:t>
        <w:br/>
        <w:t>• Compensation of the debt incurred by the loan with the debt incurred by the derivative when the market value of the derivative is positive for the client.</w:t>
      </w:r>
    </w:p>
    <w:p>
      <w:r>
        <w:t>For SABADELL, as well as for SANTANDER, the coordination and guarantees contract includes a set of guarantees common to all contracts and, especially, to the financing agreements and the agreements related to the hedging derivatives (folio 24558). For SABADELL, these guarantees respond to all obligations arising from the different contracts, operating under the principles of parity and proportionality. Thus, in the event of early maturity, the distribution of the resulting settlement from the guarantees is carried out pro rata in proportion to the risk assumed by each bank (folio 24558). The same entity states that, since the same assets are responsible for all guarantees, a priority in payments is established in the event of early resolution, allowing the liquidation of the assets to be carried out in an orderly and predictable manner for the parties in the event of early maturity (folio 24558). CAIXABANK, in line with the information provided by SABADELL and SANTANDER, also adds that, under the financial guarantees contracts, the assets that the financed entity usually provides to its creditors as collateral are:</w:t>
      </w:r>
    </w:p>
    <w:p>
      <w:r>
        <w:t>• the bank accounts through which the project's operations are managed;</w:t>
        <w:br/>
        <w:t>• the credit rights derived from the contracts signed during the construction and operation phase of the project;</w:t>
        <w:br/>
        <w:t>• the credit rights derived from the contracting of insurance and those properties that are part of the project's own assets (folios 40533-40535).</w:t>
      </w:r>
    </w:p>
    <w:p>
      <w:r>
        <w:t>2. Regulatory framework</w:t>
      </w:r>
    </w:p>
    <w:p>
      <w:r>
        <w:t>In 2007, the European Directive on financial instruments markets, Directive 2004/39/EC of the European Parliament and of the Council, of April 21, 2004, on financial instruments markets (more commonly known by its English acronym MiFID1, Markets in Financial Instruments Directive), came into force, whose main objective is to improve investor protection and the competitiveness of financial markets by establishing common rules for entities providing investment services within the European framework. This European regulation was incorporated into Spanish law through Law 47/2007, of December 19, which amends Law 24/1988, of July 28, on the Securities Market (amended by Royal Legislative Decree 4/2015, of October 23, which approves the consolidated text of the Securities Market Law, and repeals the previous Law 24/1988, of July 28, on the Securities Market) and Royal Decree 217/2008, of February 15, on the legal regime of investment service companies and other entities providing investment services.</w:t>
      </w:r>
    </w:p>
    <w:p>
      <w:r>
        <w:t>As a result of the practical application of this Directive, entities providing investment services must classify their clients into one of the three available categories ("retail client," "professional client," or "eligible counterparty") based on the experience, knowledge, and qualifications necessary to make their own investment decisions and assess the risks assumed. In this sense, based on the assigned classification, the aforementioned entities are obliged to adopt certain investor protection measures.</w:t>
      </w:r>
    </w:p>
    <w:p>
      <w:r>
        <w:t>Subsequently, Directive 2014/65/EU, of May 15, 2014, on financial instruments markets was approved, and by which it</w:t>
      </w:r>
    </w:p>
    <w:p>
      <w:r>
        <w:rPr>
          <w:b/>
        </w:rPr>
        <w:t>[Pages 28–30]</w:t>
      </w:r>
    </w:p>
    <w:p>
      <w:r>
        <w:t>based on the assigned classification, the aforementioned entities are obliged to adopt certain measures for the protection of investors. Subsequently, Directive 2014/65/EU, of May 15, 2014, on markets in financial instruments, which amends Directive 2002/92/EC and Directive 2011/61/EU (known as MiFID2), was approved and partially incorporated into Spanish legislation through Royal Decree-Law 21/2017, of December 29, on urgent measures for the adaptation of Spanish law to European Union regulations regarding the securities market, which came into force on January 3. The new regulatory framework provides greater protection to retail clients and establishes greater control over over-the-counter (OTC) derivatives products.</w:t>
      </w:r>
    </w:p>
    <w:p>
      <w:r>
        <w:t>The EMIR regulation (European Market Infrastructure Regulation) consists of European Regulation (EU) No. 648/2012, approved in 2012 by the European Parliament and the Council of the European Union, which regulates the trading and registration of derivative transactions. Its objective is to provide a regulatory framework that ensures security and transparency in derivative operations and affects all derivatives including, among others, options, futures, forward foreign exchange contracts (“currency hedges”), and swaps; and all companies/counterparties operating in derivatives. According to EMIR, all derivative contracts traded must be reported to one of the transaction registers authorized by the European Securities and Markets Authority (ESMA20), known by their English name Trade Repositories. All participants in the OTC derivatives market subject to EMIR had to comply with the reporting deadline for their transactions set by ESMA in February 2015.</w:t>
      </w:r>
    </w:p>
    <w:p>
      <w:r>
        <w:t>Additionally, through Royal Decree-Law 5/2005, of March 11, on urgent reforms to boost productivity and improve public procurement, Directive 2002/47/EC of the European Parliament and the Council, of June 6, 2002, on financial collateral arrangements, is transposed into Spanish law.</w:t>
      </w:r>
    </w:p>
    <w:p>
      <w:r>
        <w:t>Likewise, Regulation (EU) 600/2014, of the European Parliament and the Council, of May 15, 2014, on markets in financial instruments and which amends Regulation (EU) 648/2012, of the European Parliament and the Council (known as MIFIR), aims to further deepen transparency and improve the functioning of these markets and came into force on January 3, 2018. MIFIR, together with MiFID2, is part of the new legislative architecture designed to harmonize the legislative framework currently applicable to entities providing investment services and to securities markets in multiple areas, such as conduct rules applicable to the provision of services, investor protection, market structure, derivative operations, supervision, and the sanctioning regime.</w:t>
      </w:r>
    </w:p>
    <w:p>
      <w:r>
        <w:t>20 The European Securities and Markets Authority, created in 2009 by EU Regulation No. 1095/2010, of the European Parliament and the Council (European Securities and Markets Authority, ESMA) is an independent European authority that contributes to safeguarding the stability of the EU financial system by protecting investors and promoting stable and orderly financial markets. It is part of the European Supervisory Authorities (ESA) along with the European Banking Authority (EBA) and the European Insurance and Occupational Pensions Authority (EIOPA). https://www.esma.europa.eu/. Companies providing investment services in the EU must be authorized by a community regulator, in Spain the Bank of Spain or the CNMV.</w:t>
      </w:r>
    </w:p>
    <w:p>
      <w:r>
        <w:t>For the purposes of this file, it is particularly noteworthy to mention Article 209 of the aforementioned Consolidated Text of the Securities Market Law (TRLMV), approved by Royal Legislative Decree 4/2015, which, under the title “General Duty of Information,” in the section dedicated to “Conduct Rules Applicable to Those Providing Investment Services,” establishes that:</w:t>
        <w:br/>
        <w:t>1. Entities providing investment services must keep their clients adequately informed at all times.</w:t>
        <w:br/>
        <w:t>2. All information directed to clients, including advertising information, must be impartial, clear, and not misleading.</w:t>
      </w:r>
    </w:p>
    <w:p>
      <w:r>
        <w:t>Such a duty to provide impartial, clear, and not misleading information applies, of course, to both professional and retail clients and was provided for with identical content in Article 79 bis of Law 24/1988, of July 28, on the Securities Market, in its version in force until November 2015.</w:t>
      </w:r>
    </w:p>
    <w:p>
      <w:r>
        <w:t>In turn, Article 219 of the TRLMV (investment services as part of a financial product) establishes that “The information and registration obligations set forth in Articles 209 to 218 shall apply to investment services offered as part of other financial products, without prejudice to the application of their specific regulations, especially those related to risk assessment and the information requirements to be provided to clients.”</w:t>
      </w:r>
    </w:p>
    <w:p>
      <w:r>
        <w:t>IV. ESTABLISHED FACTS</w:t>
        <w:br/>
        <w:t>Before analyzing the financial derivative transactions carried out by the involved entities, the instructing body collects in the PCH (1) the explanations of the involved entities regarding the contracting of derivatives (sections 115 to 181), as well as (2) the regulation of financial derivatives in the documents formalized by the involved entities (sections 182 to 194).</w:t>
      </w:r>
    </w:p>
    <w:p>
      <w:r>
        <w:t>1. Explanations of the involved entities regarding the contracting of derivatives</w:t>
        <w:br/>
        <w:t>Below are the main explanations provided by the involved banks regarding their general operations in the contracting of financial derivatives as coverage for interest rate risk in syndicated loans. The explanations refer to financial derivatives in general, so they should be understood as referring to both caps and floors as well as swaps.</w:t>
      </w:r>
    </w:p>
    <w:p>
      <w:r>
        <w:t>A distinction is made between aspects related to (a) the justification of the hedge; (b) the choice of the Agent Bank; (c) the providers of the derivative; (d) the consequences of the relationship between the hedge, the syndicated loan, and the guarantee system; (e) the negotiation phases (also differentiating between obtaining the cap, the floor, and the fixed rate swap; explaining the similarities/differences in the quotes of the floor and the fixed rate swap by the entities and closing the transaction and coordinating the rate); (f) definition of the fair value of the derivative, and (g) definition of margin and spread.</w:t>
      </w:r>
    </w:p>
    <w:p>
      <w:r>
        <w:t>a. Justification of the hedge</w:t>
        <w:br/>
        <w:t>CAIXABANK states that hedging contracts are not speculative or investment products, but rather a market standard to limit the risk of financial costs rising above a certain level and jeopardizing the viability and profitability of the project (folios 3204-3205). The banking entity states that contracting a derivative for this hedging purpose is not mandatory, but it is taken into account when determining the financing conditions, which are more favorable than if the client decided not to contract it (folio 3208).</w:t>
      </w:r>
    </w:p>
    <w:p>
      <w:r>
        <w:t>According to the entity, the hedge is contracted at the client's initiative (folio 3205), although it has also stated that, in the early phases of negotiating the loan, “the client is offered” the possibility of contracting a derivative (folio 3208).</w:t>
      </w:r>
    </w:p>
    <w:p>
      <w:r>
        <w:t>According to SABADELL, in general in project finance operations, banks and clients agree to mitigate interest rate risk through a hedging contract (folio 3870).</w:t>
      </w:r>
    </w:p>
    <w:p>
      <w:r>
        <w:t>SANTANDER states, in similar terms to the previous entities, that since variable interest loans involve a risk for the borrower, both parties must agree on some hedging instrument, with financial derivatives contracts being frequently used. In practice, this contract is usually concluded simultaneously with the loan contract. The financial entity states that the economic conditions of both contracts are considered globally, with their risks being assessed jointly, with both instruments, in general, being mutually conditioned: the conclusion of one requires the other, and the breach or early termination of one implies identical consequences for the other (folios 7961, 41647, 41655, and 41659).</w:t>
      </w:r>
    </w:p>
    <w:p>
      <w:r>
        <w:t>For its part, BBVA adds (folio 21970) that derivatives hold the same rank as the main financing in the payment priority of the project, share guarantees, and their default/cancellation constitutes grounds for early maturity of the financing (folios 21990 and 21970).</w:t>
      </w:r>
    </w:p>
    <w:p>
      <w:r>
        <w:t>The involved entities have indicated that it is common for, when contracting interest rate hedges, “mirror operations of inverse symmetric risk” to be simultaneously contracted in the interbank market, that is, a second derivative with the same characteristics but of inverse risk, thereby transferring the market risk derived from the contracting of the hedge to another entity (SABADELL confidential folios 23343 and 23354; CAIXABANK folio 40547; and SANTANDER folios 41652, 41659, and 41662).</w:t>
      </w:r>
    </w:p>
    <w:p>
      <w:r>
        <w:rPr>
          <w:b/>
        </w:rPr>
        <w:t>[Pages 31–33]</w:t>
      </w:r>
    </w:p>
    <w:p>
      <w:r>
        <w:t xml:space="preserve">b. Selection of the Agent Bank  </w:t>
        <w:br/>
        <w:t xml:space="preserve">According to BBVA, the promoter freely chooses the agent entity based on the offers received from the entities during the initial stages of the project (folio 21971).  </w:t>
        <w:br/>
        <w:t xml:space="preserve">SANTANDER states that the client selects the Agent Bank, which then initiates negotiations with the other banks that make up the syndicate, agreeing on the structure, terms, and conditions of the project, for which it uses an economic-financial model called Base Case (folios 7960 and 7964). The entity claims that for its operations, the VAPAT Group and the Agent Bank negotiated the financing conditions and the hedging contracts (folio 7965).  </w:t>
        <w:br/>
        <w:t>CAIXABANK states that it is the client who assigns the agent status to their trusted bank. The assignment of the Agent Bank is not done directly, so until the Agent Bank is finally designated definitively from among all the banks called to participate in the syndicated loan, there is competition among banks to be chosen as such (folio 40538).</w:t>
      </w:r>
    </w:p>
    <w:p>
      <w:r>
        <w:t xml:space="preserve">c. The Providers of the Derivative  </w:t>
        <w:br/>
        <w:t xml:space="preserve">According to SABADELL, the client is free to contact or negotiate prices with other banks, with the assistance of financial advisors. However, generally in project finance, interest rate coverage is usually closed with the banks participating in the financing, as they share guarantees with it (folios 3870, 41777, and 41799).  </w:t>
        <w:br/>
        <w:t xml:space="preserve">In a similar vein, SANTANDER states that while there is nothing preventing the client from closing the hedging derivative with a third party outside the syndicate, in practice this rarely occurs as it is not efficient for either the lending banks or the project. This is due to the following reasons (folios 7962 and 41653):  </w:t>
        <w:br/>
        <w:t xml:space="preserve">i. Since the profitability of the operation is measured considering the possible profitability of the derivative, the banks may not be interested in the operation if they do not also close the derivative or a part of it.  </w:t>
        <w:br/>
        <w:t xml:space="preserve">ii. If the hedging contracts were subscribed with third entities, an unforeseen credit risk would be added in the base case (for example, due to future conflicts of interest between the debt creditors and the derivative providers), increasing the overall financing costs.  </w:t>
        <w:br/>
        <w:t>iii. Due to the absence of incentives for a third party to provide coverage for a financing operation in which they have not participated, firstly, because of the impossibility of obtaining profitability from such financing by not participating in it. And, secondly, due to the weak position they find themselves in regarding voting rights and the majorities required in the guarantee contract.</w:t>
      </w:r>
    </w:p>
    <w:p>
      <w:r>
        <w:t>CAIXABANK states that the Agent Bank is designated by the group of financing banks to perform functions of single interlocutor with the client (folio 3208) and that, in general, it is the client who chooses which entities participate in their syndicated loan, either directly or through their trusted bank, which usually coincides with the figure of "agent" (folio 40538).</w:t>
      </w:r>
    </w:p>
    <w:p>
      <w:r>
        <w:t xml:space="preserve">d. Consequences of the Relationship Between the Coverage, the Syndicated Loan, and the Guarantee System  </w:t>
        <w:br/>
        <w:t xml:space="preserve">According to CAIXABANK, since the financing conditions are unique for each operation, the offer of hedging instruments is also unique, and their negotiation and offer cannot be dissociated from those corresponding to the financing21 (folio 3203). However, in the document provided by the complainant that outlines the characteristics of the collar contracted with CAIXABANK and that must be signed by the client and the bank itself, it is explained that the collar acquired by the client is not necessarily linked to a financing and is independent of the formalization of the asset operation contract (folios 7421 and 7423).  </w:t>
        <w:br/>
        <w:t xml:space="preserve">CAIXABANK has indicated that "the negotiation of the financing operation cannot be dissociated" from that of the coverage, whose conditions must be offered by the entities in a "unitary" manner, although the formalization is then bilateral, "as required by the nature of the contracted derivatives (which must always be bilateral)" (folio 3203). Thus, CAIXABANK, like the other entities, as will be seen below, indicates that the contracting of derivative instruments will be bilateral, but the negotiation will be multilateral, likening it to the negotiation of the syndicated loan (folio 3205). The entity states that the banks in the syndicate "form a unique offer of the economic terms of the coverage," as they protect the joint investment of the syndicate and represent "joint coverages" (folio 3208).  </w:t>
        <w:br/>
        <w:t xml:space="preserve">BBVA also explains this issue, stating that the parameters or levels of the hedging derivatives are freely set and mutually agreed upon between the financiers and the applicant within the viability range resulting from the base case (folio 21970). The entity indicates that, in syndicated financings, the entities act jointly and in a coordinated manner, as a consequence of the fact that all of them participate under equal conditions of the returns, risks, and guarantees of the project (folio 21970). A common negotiation framework is established that binds all creditor entities and providers of the derivative, limiting their independence in numerous aspects to ensure that they are all in the same position and rank relative to the debtor. In this way, it seeks to avoid individual decisions (for example, renegotiation of one of the hedging contracts) from causing the project's failure (folio 21971).  </w:t>
        <w:br/>
        <w:t xml:space="preserve">This coordination of the creditors' position regarding the financing and the coverage is usually reflected, as mentioned earlier, in the guarantee contract or "Intercreditor Agreement," where the proportional distribution of the payments made by the financed company and the execution of the guarantees is regulated. In this regard, BBVA has explained that "it is common for financial entities to share the existing guarantees, which necessarily implies that the economic terms of the loan and hedging operations must be common; otherwise, given that the guarantees are the same and shared, some entities would have more exposure than others due to having different risks guaranteed with the same guarantees, making the project unviable" (folio 21971).  </w:t>
        <w:br/>
        <w:t xml:space="preserve">In similar terms, SANTANDER states (folios 41657 to 41659) that when the loan is syndicated, the coverage entities coordinate the level of the floor in the case of using a collar and the fixed rate in the case of a swap, as will be seen later, in order to neutralize the small differences that may exist between them. The bank states that this is the case because it is a syndicated offer, that is, joint and necessary, made by the banks, likening it to the joint offer of the interest rate applicable to the senior loan (folios 41656 and 41666).  </w:t>
        <w:br/>
        <w:t xml:space="preserve">SANTANDER also points out that the guarantee system prevents the existence of independent coverages, as it disincentivizes a bank from setting rates lower than those of the other banks. This is due, among other circumstances, to the following (folio 41660):  </w:t>
        <w:br/>
        <w:t xml:space="preserve">i. As long as the coverage is not executed, the semiannual settlement of installments and interest that the client would pay would maintain proportionality among all the lending banks. However, if the coverage is executed, the client would pay a higher percentage of interest to the bank that had set a higher rate, breaking the proportionality among the banks.  </w:t>
        <w:br/>
        <w:t xml:space="preserve">ii. In the event of early maturity, the derivative must be settled at its market value, which means that if the rates were different, the settlement value of the derivative would be different for each bank, with the bank that had offered the highest quote obtaining greater value.  </w:t>
        <w:br/>
        <w:t xml:space="preserve">iii. If different quotes were accepted among the banks and, due to the rules of majority calculation, the bank with a higher quote would have greater voting rights than the others, breaking the existing proportionality in the participation of the senior loan.  </w:t>
        <w:br/>
        <w:t xml:space="preserve">iv. With floors or with different fixed rates in the case of a swap, it could occur that, in the event of executing the floor or the fixed rate of the swap, the client could fulfill the payment in some cases and not in others.  </w:t>
        <w:br/>
        <w:t xml:space="preserve">v. The resulting balance from the execution of the guarantees would not be divided according to the initially agreed pro-rata, benefiting the bank with a higher rate.  </w:t>
        <w:br/>
        <w:t>SABADELL states that a structured financing operation consists of a set of contracts that "only in appearance are independent of each other." The object of this set of contracts is the same</w:t>
      </w:r>
    </w:p>
    <w:p>
      <w:r>
        <w:rPr>
          <w:b/>
        </w:rPr>
        <w:t>[Pages 34–36]</w:t>
      </w:r>
    </w:p>
    <w:p>
      <w:r>
        <w:t>business, the same cash flows, and the same guarantees in case of default, thus existing a set of economic and legal vehicles that require the derivatives to be analyzed jointly. This entity considers the existence of adequate guarantees as a fundamental element for the viability of the operation in the eyes of financial entities. The norm for these operations is that the distribution of the liquidation of the guarantees is carried out with the principles of parity and proportionality, established prior to the date of signing the operation, with each financial entity collecting pro rata and in proportion to its participation in the financing. Otherwise, no financial entity would want to enter into an operation where it could not know what right it would have over the resulting assets in the event of early maturity (folios 24559, 41776 and 41787-41790).</w:t>
      </w:r>
    </w:p>
    <w:p>
      <w:r>
        <w:t>The above implies that, according to SABADELL, from an economic perspective, banks are interested in controlling "the level of the floor of the derivatives contracted by each of them" (emphasis added). If different floor levels were set, the first consequence would be that the interest that the borrower would have to pay to the banks would be different in each payment period. The settlement value of the derivative would also differ for each bank. These two consequences would in turn lead to other relevant consequences (folios 24560 to 24561), similar to those pointed out by SANTANDER and mentioned above.</w:t>
      </w:r>
    </w:p>
    <w:p>
      <w:r>
        <w:t>e. Phases of Negotiation</w:t>
      </w:r>
    </w:p>
    <w:p>
      <w:r>
        <w:t>According to CAIXABANK, this negotiation process would consist of an initial phase in which the Treasury Department of the Agent Bank offers the client the different hedging products, performs simulations, and also channels and agrees with the borrower on the economic terms of the hedging operation, including the level of the interest rate of the cap (folio 3208).</w:t>
      </w:r>
    </w:p>
    <w:p>
      <w:r>
        <w:t>According to BBVA and SANTANDER, within this phase, the definition of the "base case" is essential. The viability of the project is determined based on a financial mathematical model that is constructed jointly with the financing applicant, based on the data provided by them. This mathematical model, or base case, analyzes the capacity to generate resources and cash flows over a certain period of time. The negotiation of the base case will be conducted multilaterally through the Agent Bank, with all entities setting unique conditions (folios 21970 and 41655, respectively).</w:t>
      </w:r>
    </w:p>
    <w:p>
      <w:r>
        <w:t>Furthermore, the signing of the Term Sheet is important. According to BBVA, it is an individual indicative offer from each bank subject, among other things, to changes required by the evolution of the project, risk committees, and certain internal departments. This document includes the structure of the financing, guarantees, economic conditions, and the amount in which the bank would participate. Therefore, it includes the need to contract an interest rate hedge with the financing banks, indicating: the percentage of the nominal amount that is covered, the term, and the minimum spread previously discussed (folio 6390). SABADELL expresses similar terms (folio 3870).</w:t>
      </w:r>
    </w:p>
    <w:p>
      <w:r>
        <w:t>Within the negotiation phases, it is necessary to differentiate between (i) obtaining the cap, the floor, and the fixed swap rate, (ii) explaining the similarities/differences in the quotes of the floor and the fixed swap rate by the entities, and (iii) closing the operation and coordinating the rate.</w:t>
      </w:r>
    </w:p>
    <w:p>
      <w:r>
        <w:t>(i) Obtaining the cap, the floor, and the fixed swap rate</w:t>
      </w:r>
    </w:p>
    <w:p>
      <w:r>
        <w:t>The involved entities agree that, just as the cap is initially set in the "Base Case," prior to the closing of the operation, the setting of the floor occurs at the time of contracting the derivative and closing the operation, which is carried out in a notary office with the physical presence of the client and the banks' telephonic presence.</w:t>
      </w:r>
    </w:p>
    <w:p>
      <w:r>
        <w:t>CAIXABANK has explained that the level of the cap is established by the client (folio 40553) and the floor rate is determined at the time of contracting the derivative, where the entities quote this rate according to market conditions (folios 3215 and 40533) and apply a margin (folio 40533). An internal document provided by CAIXABANK describes a complex process for obtaining the floor22 in which primary data (market data) is captured through Reuters; secondary data is generated in proprietary calculators and in the management application used by the entity; implied volatilities to be applied to the cap or floor are calculated using the entity's management application, and the price is obtained using the Black-Scholes method. Additionally, the entity may make adjustments it deems appropriate to the obtained price. According to the entity, "The Floor Rate is determined, due to market needs and reality, at the same moment of signing the financing operation. […] the Agent Bank updates the price of the hedging operation, in this case, the Floor Rate. Each entity, through its Treasury-Clients Department, internally verifies the Floor Rate quoted by the Agent Bank and gives its consent to it as it is a market price at which the entity is willing to contract"23.</w:t>
      </w:r>
    </w:p>
    <w:p>
      <w:r>
        <w:t>CAIXABANK has explained why the floor rate must be set at the same moment of closing the operation: "It should be noted that market rates are extremely volatile, so once the conditions under which the hedging instrument will be closed are 'negotiated,' a final check of the market conditions occurs, to ensure that the negotiated economic conditions have not been invalidated by the latest market movements" (folios 3209 and 3212) (own emphasis).</w:t>
      </w:r>
    </w:p>
    <w:p>
      <w:r>
        <w:t>For its part, SABADELL indicates that, generally, the client wants to close a single price with all banks, so they must know whether a single price is viable for each of them or not and agree on the term and the amounts ultimately covered. According to SABADELL, the setting of the floor is negotiated with the client, determining the contracting possibilities based on negotiated margins (folio 3872). The entity explains that with a collar, minimum and maximum financing cost levels are obtained that can be modified at the buyer's request (folio 21998). The entity has not specified the specific methodology it uses to calculate the floor or the fixed rate in the case of a swap, although it has provided a generic explanation of the determination of the execution price or strike of the option: "To determine the strike, the first step is to determine the cost of the premium (for this, one of the instruments used is the black&amp;scholes formula […] Additionally, in all financing operations, a margin (spread over the Euribor interest rate) is included. For example, on page 28 of the Term Sheet sent to CYL, it was stated that 'the spread of the derivative will be [25 bps24].' These 25 basis points include costs borne by the Bank, such as: credit risk […] Furthermore, as we have said, the Bank necessarily takes into account the cost of the mirror derivative of inverse risk that it will contract parallel to the closing of the operation […] Subsequently, once this figure is obtained, it must be agreed with the other Banks participating in the operation the percentage to make a single offer. […] Finally, this margin agreed upon with the client is only indicative, so the final percentage of the floor must be agreed upon with the client" (folios 41780-41781).</w:t>
      </w:r>
    </w:p>
    <w:p>
      <w:r>
        <w:t>SANTANDER indicates that the level of the floor in the case of a collar or the fixed rate in the case of a swap can be broken down into two main components. On one hand, the credit spread or credit differential, which depends on a series of variables and can be agreed upon in the Term Sheet or in a hedging letter ("Hedging Letter"). On the other hand, the applicable theoretical interest rate, which is the market value or "mid market" (average price) of the Euribor curve corresponding to the exact moment of closing. The value depends entirely on the market and can only be known at the time of closing, by the trading desks of the hedging banks. According to SANTANDER, "In the case of a Zero Premium Collar, the floor must be quoted taking into account the following formula: Floor Premium = Cap Premium + Present Value of the credit differential of the derivative. That is, the level of the floor must be set at a point such that the premium for the sale of that floor neutralizes, for the client, the premium for the purchase of the cap, including the agreed credit differential. […] the parties arrive at the moment of closing knowing only what the applicable credit differential is and the level of the cap […]. At that moment, each entity will obtain the quote for the applicable floor from its trading desk. To do this, the trading desk will carry out the following process: Determination of the value of the agreed cap premium […], to the market value of the cap premium, the present value of the credit differential agreed with the client must be added. […] therefore, it will be necessary to request from the market a floor level such that the present value of its premium equals [market value of the cap premium + the present value of the credit differential agreed with the client]" (folios 41657 and 41658). As the bank itself acknowledges, each trading desk may obtain a slightly different quote depending on the trading volume of each entity requesting it, the positions against which the hedging product can be offset, credit quality, etc. (folios 41655 to 41656).</w:t>
      </w:r>
    </w:p>
    <w:p>
      <w:r>
        <w:t>24 BPS is the abbreviation for basis points. 100 basis points equal 1%.</w:t>
      </w:r>
    </w:p>
    <w:p>
      <w:r>
        <w:rPr>
          <w:b/>
        </w:rPr>
        <w:t>[Pages 37–39]</w:t>
      </w:r>
    </w:p>
    <w:p>
      <w:r>
        <w:t>SANTANDER states that the client has the final say when it comes to accepting or rejecting the quote offered by the banks, being able to request a postponement of the closing, a renegotiation, or to reject the operation (folio 41663). Regarding the methodology for obtaining the floor, SANTANDER explains that it is valued as a portfolio of individual European options using the Black76 formula. In determining its values, the interest rate curve (constructed from market data generally obtained from Reuters and ICAP) and the volatility associated with those options must be taken into account, as the valuation varies throughout the day (the volatilities are obtained from market prices of cap and floor options from ICAP, are cross-checked with other sources, and are determined using the Murex system) (folios 7973 to 7983). According to the entity, in cases of syndicated derivatives, the closing must be prepared in advance. According to SANTANDER, this means that, in preparation for the closing, the quotes must be aligned for the entities providing the coverage and for the client. The entity points out that "this does not mean at all that the quote must be decided in advance. Nothing could be further from the truth (on the contrary, this strategy could be detrimental to the client and to the covering entities (...)). What it means is that all parties to the derivative must be quoting exactly the same product, under the same conditions, with the same credit spread and in relation to the same Base Case." During the preparation for the closing, the Agent Bank will collect indicative quotes from the various lenders, detect possible errors in the quotes (ensuring that all are aligned), and inform the client. At the moment of closing, as will be seen later, the covering entities will connect to a teleconference to obtain the quote on which the offer to the client will be formulated, neutralizing the small differences that may exist between them, with a view to making a single coverage offer to the client. This can be done before the client connects to the teleconference, or with the client present. If the client is not present, once they connect, the banks will recheck the quotes. If the agreed level remains acceptable, it will be communicated to the client. The client will check the quote, and may or may not accept it. In case of acceptance, after the closing, the documentation of the operation will be formalized in the confirmations that the client will sign with each bank (folios 41657 to 41658). Finally, BBVA has explained that, prior to the telephone contracting of each hedging derivative, the Agent Bank and the other financial entities share the price simulations of the coverage structure previously chosen by the client so that each entity individually estimates whether it is interested in participating in the operation at levels that allow the viability of each project (folio 21993). The entity has not provided an explanation of the specific methodology it uses to calculate the floor or the fixed rate in the case of a swap.</w:t>
      </w:r>
    </w:p>
    <w:p>
      <w:r>
        <w:t>(ii) Explanation of the similarities/differences in the quotes of the floor and the fixed rate swap by the entities CAIXABANK has stated that each of the banks providing coverage "manages its own market value information that differs, with slight variations, from that of the other participants, since these are market valuations (under conditions not established by the entities themselves, but by the market) where it is not usual for them to coincide exactly, especially in the case of Reference Operations, which involve volatility—interest rate options—moving within reasonable differences" (folio 3210, emphasis added). The entity has also stated that each entity has its own procedures and criteria for pricing and quoting (folio 40546). SANTANDER, for its part, points out that, since the quotes for derivatives occur in an unorganized market, there may be small differences (typically between 1 and 3 basis points) in the market value obtained by each entity. The lenders coordinate the level of the floor or the fixed rate to neutralize the small differences in quotes caused by the different liquidity of their trading desks, usually adjusting to the marginal rate. At that moment, each lender will obtain the quote for the fixed rate, to which the agreed spread will be added. The existence of very significant disparities (which the entity places at over, for example, 5 basis points) between the quotes obtained by different lenders cannot be justified by the use of different trading desks, but rather because one of the entities is quoting a different product (in terms of term, amortization schedule, etc.) (folios 41656 to 41659). BBVA has explained in this regard that the market price of the derivative corresponds more to an interval based on the trading valuation, which will ultimately offer a "firm" level to close the operation taking into account its own experience. The entity states that it is very likely that different entities will quote slightly different prices for financial derivatives without direct market quotes due to the application of different assumptions or methodologies. Thus, BBVA concludes that the process of obtaining the market price of the derivative depends on each individual trader, who may give a different price and cannot be defined as a mathematical methodology (folios 6968-6969). In line with the previous statements from the other entities, SABADELL's explanation regarding the need for banks to coordinate to set a single floor implies, therefore, that the quotes from the banks on the level of the floor differ from each other (folios 24555-24571). Therefore, from the explanations provided by the entities, it can be concluded that each one has a different method of valuing the derivative, which would explain the different quotes for the floor offered by each of them at the time of closing the operation.</w:t>
      </w:r>
    </w:p>
    <w:p>
      <w:r>
        <w:t>(iii) Closing of the operation and coordination of the rate As explained by the involved entities and according to the documentation provided, the closing of the operation takes place during a conference call in which all the banks in the syndicate and the client participate, the latter from a notary's office. In general, the conference begins with a brief introduction of the participants, and the Agent Bank proceeds to read the terms of the operation agreed upon so far (nominal amount, participation of each entity, start and maturity date, the interest rate set for the cap, etc.). The only variable that remains to be fixed is the interest rate of the floor or the fixed rate, which would be determined according to the procedures explained above. However, prior to the moment of the telephone closing with the client, the creditor entities communicate their respective quotes for the floor or the fixed rate, generally by email or phone, and agree on the quote that they will later give to the client. SABADELL explains that when the operation has the terms and conditions negotiated and definitively fixed, the Agent Bank gathers the participating banks in the syndicate and the client in a conference call. The Agent Bank quotes the level of the floor and requests their agreement from all (folio 23345). The entity justifies this coordination among the banks because they are interested in controlling the level of the floor of the derivatives offered by each of them (folio 24560) due to the guarantee system that accompanies this type of contracts, according to which each bank charges in proportion to its participation in the financing and in the derivative (folios 24559-24561), considering both as a single operation (folio 24564). According to the entity, the absence of a single floor or fixed rate set by all entities would imply non-proportional settlements among banks, incentives to offer higher floor or fixed rates, defaults in some of the derivatives, and instability and uncertainty in cash flows (folios 24560-24561); and all this would discourage banks from participating in the operation (folio 24564). Furthermore, SABADELL states that the agreement on the level of the floor allows for improved production and distribution of financing services (folio 24567) and does not affect competition outside of these operations (folio 24570). According to SANTANDER, the Agent Bank receives the indicative quotes from the syndicate entities prior to the closing, and at the moment of closing, the creditor entities will connect to a teleconference to obtain each the quote for the fixed rate or the floor, to which they will apply the spread and all will adjust to the highest rate offered. This quote will then be presented as a single offer to the client, who can accept or reject it. SANTANDER explains this coordination as it is a syndicated hedging operation, where the guarantees are the same as those of the financing, with banks having an interest in ensuring that the level of the floor or the fixed rate is at the same level for all entities, as this maintains proportionality among the banks in periodic settlements and in case of maturity and in the voting rights of the syndicate banks (folios 41659-41660). In the event that the fixing of the floor or the fixed rate was</w:t>
      </w:r>
    </w:p>
    <w:p>
      <w:r>
        <w:rPr>
          <w:b/>
        </w:rPr>
        <w:t>[Pages 40–42]</w:t>
      </w:r>
    </w:p>
    <w:p>
      <w:r>
        <w:t>bilateral between the client and each bank, SANTANDER states that there would be a clear incentive for the banks to set the highest level compared to the other entities (folio 41688). Regarding the upward adjustment of quotes (choosing the highest of those offered by the banks), this is due, according to SANTANDER, to the fact that, if this were not done and the banks aligned with the lowest, the bank with the highest quote would have to sacrifice part or all of its spread to access the operation. According to the entity, the same occurs with the setting of the interest rate of the syndicated loan (folio 41661). Likewise, SANTANDER explains that, with a syndicated derivative, the banks have no incentives to offer a more competitive price since they will not be able to access a greater proportion of the coverage (folio 41666).</w:t>
      </w:r>
    </w:p>
    <w:p>
      <w:r>
        <w:t>According to CAIXABANK, once the entities give their consent to the floor quoted by the Agent (after quoting according to their respective procedures), the client checks the quoted "Floor Rate" and gives their consent (folio 3209). According to the entity, the only element that remains to be determined on the day of the contract signing is the fixed rate or the floor (folio 40546), which the banks negotiate jointly and with the client (folio 40559). The entity explains that only if the terms of the coverage are the same for all entities can the operations provide effective coverage and stabilize financial costs, also having implications in terms of voting rights, the establishment of pledges, and guarantees, which must be governed according to the principles of parity and proportionality; therefore, the agreement regarding the floor rate must be assessed jointly with the financing operation (folios 40550 and 40557). Otherwise, the banks involved may not be interested in proceeding with the operation (folio 40559).</w:t>
      </w:r>
    </w:p>
    <w:p>
      <w:r>
        <w:t>f. Definition of fair value of the derivative (or “fair value”)</w:t>
      </w:r>
    </w:p>
    <w:p>
      <w:r>
        <w:t>CAIXABANK states that this value is composed of two main factors: (i) the market quote and (ii) the existence of a "margin" or “gross margin” (weighting of cost, risk, and profit forecast) typical of any onerous business (folio 3212). The entity claims that it is not possible to reconstruct step by step the market value of the operations carried out with Grupo VAPAT at the time of their contracting, due to the fact that not all market information analyzed to set the value for each operation is stored (folio 3214). CAIXABANK attaches the estimated fair value of each derivative contracted with the complainant on the date of contracting (confidential folio 3815).</w:t>
      </w:r>
    </w:p>
    <w:p>
      <w:r>
        <w:t>According to SABADELL, the best way to establish the fair value of the reference operations is the price at which the bank could buy the mirror derivative. The entity provides the estimated value of the collar in each of the operations of Grupo VAPAT (confidential folios 23344 and 23355). According to SANTANDER, fair value, “average market price” or "mid market," is “a theoretical price formed by the average of the bid price (maximum unit price that would be received in a sale) and the ask price (minimum unit price that would have to be paid in a purchase), without indicating that an operation could be executed at that hypothetical average price. For the case of the collar at zero premium, the calculation would be to observe the average market price on the day of the client's purchase of the cap and subtract the average market price of the sale of the Floor by the client” (folio 7969). Regarding the operations carried out with Grupo VAPAT, SANTANDER provides the estimated fair value on the day of contracting the operations, based on the existing interest rate levels at that time (folios 7970 and 7971 and confidential folios 4901-4902).</w:t>
      </w:r>
    </w:p>
    <w:p>
      <w:r>
        <w:t>Finally, BBVA defines the fair value of a financial asset or liability on a given date as the amount for which it could be delivered or settled, respectively, on that date between two parties, independent and knowledgeable in the matter, acting freely and prudently, under market conditions (folio 21979). The entity explains that the fair value of a derivative depends on its "mid-market" value, the credit risk assumed, and other costs and burdens. According to the entity, at the time of contracting a derivative, the final price offered to close an operation is quoted with a spread or differential over the market price, which compensates for that credit risk and the other costs and burdens involved in the derivatives activity with clients. Otherwise, the fair value would be negative for the bank (folios 21979 and 6969). They estimate that the fair value of the derivative at the time of contracting is zero (folio 21981). According to BBVA, operations in systems are valued at theoretical "mid" price, which can vary significantly compared to those quoted at other times of the day. The entity does not retain the market data used to arrive at theoretical "mid" valuations at each moment in the market, so it cannot provide that value at the time it was contracted. The closest the entity offers to provide is a theoretical "mid" valuation based on historical closing data of the day (not at the time of contracting) from the Bloomberg data source (folios 21981-21982). BBVA adds that it cannot provide a methodology for calculating the fair value of the operations because (folio 6967):</w:t>
      </w:r>
    </w:p>
    <w:p>
      <w:r>
        <w:t>a. “a market value is a value at which a trader would be willing to operate based on the real market data they have access to (not all traders access the same prices) and the costs they estimate from managing the risk that the operation may generate (there are more aggressive and more conservative traders)”,</w:t>
      </w:r>
    </w:p>
    <w:p>
      <w:r>
        <w:t>b. “the commonly accepted mathematical methodology is based on simplifications of reality that the trader interprets based on their experience and information”;</w:t>
      </w:r>
    </w:p>
    <w:p>
      <w:r>
        <w:t>c. “the determination of fair value according to them is not the result of applying a methodology, but of offering BBVA's position in that derivative to other counterparties to check the price they would be willing to pay/receive for assuming BBVA's position”.</w:t>
      </w:r>
    </w:p>
    <w:p>
      <w:r>
        <w:t>According to BBVA, if the derivative is not quoted in the market (as in the analyzed cases of OTC products), its price is constructed based on other related instruments that are quoted, through a mathematical model. This would help explain, according to BBVA, why different financial entities quote different theoretical mid market prices for derivatives without direct quotation in the market. Taking this into account, the entity's trading desk calculates a market price for the OTC derivative that is different from the theoretical mid-market; in fact, it is more of an “interval” estimated by the desk based on its valuation of the theoretical mid price and its own judgment and experience, and it will be the one that ultimately offers a firm price to close the operation (folios 6967-6969).</w:t>
      </w:r>
    </w:p>
    <w:p>
      <w:r>
        <w:t>For its part, the expert report provided by VAPAT25 states that the calculation of fair value would allow knowing whether the transaction price was market-based (if they are equal) or if there were implicit commissions (folio 7391). The mentioned report states that if the collar is balanced at the beginning, at the time of contracting, its value will be close to zero because the premium that the client should pay for the cap is offset by the premium that should be received for the floor.</w:t>
      </w:r>
    </w:p>
    <w:p>
      <w:r>
        <w:t>g. Definition of margin and spread</w:t>
      </w:r>
    </w:p>
    <w:p>
      <w:r>
        <w:t>The DC requested the entities to define these concepts, as they have been found in numerous documents referring to derivatives associated with syndicated loans used differently. The questioned entities have provided non-homogeneous definitions, and in some cases contradictory, as they associate the same definition for two different concepts or use the two denominations interchangeably to designate the same concept. According to CAIXABANK, the margin that composes the fair value of the derivative is the difference between the price agreed with the client (in this case, the interest rate set for the floor) and the theoretical market price quoted by the entity, which is the price at which each entity manages to cover in the market the interest rate risk position adopted in the operation contracted with the client considering the particular characteristics of the operation (such as the notional of the operation, the settlement calendar, fixings, maturities, etc.) (folios 3212). This margin will not be exactly the same for each entity; it varies depending on the cost structure, the way of analyzing economic data, the market data captured, the valuation methodology, the credit quality of the entity itself, market behavior, and pricing policy, its risk policy, the operational and infrastructure costs it assumes, etc. (folios 3212 and 3214).</w:t>
      </w:r>
    </w:p>
    <w:p>
      <w:r>
        <w:t>However, CAIXABANK adds that “[…] practice shows that, while the margin obtained by each entity is reached independently and is therefore different, the quotes, that is, the prices offered to clients in the contracting of mature products, such as the case of the collar of</w:t>
      </w:r>
    </w:p>
    <w:p>
      <w:r>
        <w:rPr>
          <w:b/>
        </w:rPr>
        <w:t>[Pages 43–45]</w:t>
      </w:r>
    </w:p>
    <w:p>
      <w:r>
        <w:t>interest rate are usually within a range of very close valuations, as it is a global and deep market, where numerous agents (entities, brokers, etc.) participate, with external sources for price validation and, ultimately, where there is global competition among entities. It is noteworthy in this regard that one of the reasons that may motivate price fluctuations is the time of day when the interest rate quotation is made, so that, at the end of the day, a maximum and minimum range is obtained, within which operations may have been contracted at different prices” (folio 3212) (emphasis added).</w:t>
      </w:r>
    </w:p>
    <w:p>
      <w:r>
        <w:t>The "gross margin" includes three components: i) the payment for the risks assumed (depending on the credit risk attributed to each client, the existence of guarantees, etc.), ii) the costs associated with the operation (operational, liquidity, capital costs...), iii) the "commercial margin." The latter is strictly a business criterion and only exists to the extent that the price at which the client contracts exceeds elements i) and ii) (folio 3213).</w:t>
      </w:r>
    </w:p>
    <w:p>
      <w:r>
        <w:t>According to CAIXABANK, the profit that the entity obtains through this margin is independent of whether the derivative is activated and of the profit or loss that this may cause the client as a result of the evolution of interest rates, meaning that CAIXABANK will continue to obtain the same profit from this concept in any case (folio 3213).</w:t>
      </w:r>
    </w:p>
    <w:p>
      <w:r>
        <w:t>Specifically, the margins of the derivative contracts signed with the complainant were as follows: BAJOZ Eólica S.L. [CONFIDENTIAL], HORNIJA Eólica S.L. [CONFIDENTIAL], ESQUILVENT S.L. [CONFIDENTIAL] and CYL ENERGÍA Eólica S.L.U. [CONFIDENTIAL] (folio confidential 6977).</w:t>
      </w:r>
    </w:p>
    <w:p>
      <w:r>
        <w:t>For its part, SABADELL explains that there is a gross cost margin for the bank that is negotiated with the client and that is sometimes reflected as a guideline in the Term Sheet (for example, 25 basis points) and is contained in the collar's own conditions (folio 21998). For example, the margins for the reference operations according to SABADELL were [CONFIDENTIAL] in the case of BAJOZ, HORNIJA, and ESQUILVENT and [CONFIDENTIAL] in the case of CYL (folio confidential 3880).</w:t>
      </w:r>
    </w:p>
    <w:p>
      <w:r>
        <w:t>SABADELL provides minutes of approval for the operations with the complainant that contain tables in which “Commissions” and “Profit” are recorded for each of the operations (folios confidential 22009, 22021, 22035, and 22047).</w:t>
      </w:r>
    </w:p>
    <w:p>
      <w:r>
        <w:t>SANTANDER explains that it applies a margin to its derivative contracts, such as the gross difference between the price agreed with the client and a hypothetical market counterparty price at the time of executing the operation (the term is used as a synonym for gross income). This margin serves, according to the entity, to cover the costs inherent to this financial activity (such as provisions, general structural costs, human resources, operational, technical costs, etc.). It is determined by the entity on a case-by-case basis, and therefore, there is no exact formula for its determination (depending on the characteristics of the client, their solvency, level of indebtedness, guarantees offered in financing, notional amount, and coverage schedule, as well as very specifically the specific characteristics of the financial markets at the specific moment when the operation is closed) (folio 7968)26.</w:t>
      </w:r>
    </w:p>
    <w:p>
      <w:r>
        <w:t>BBVA defines differential or margin as the amount or certain percentage that increases a specific reference index used in a product (for example, Euribor + a differential of X) (folio 21978). According to the entity, in the operations of the VAPAT Group, the differential was zero. Also according to the entity, a contract with a zero differential would necessarily imply the absence of a margin charged to the client who contracts it (folio 21980).</w:t>
      </w:r>
    </w:p>
    <w:p>
      <w:r>
        <w:t>CAIXABANK defines the concepts of spread or differential as the addition of a percentage to the variable reference index on which the contract is based (for example, EURIBOR + X%) and that generally aims for the derivative settlements to coincide exactly with those of the financing (which incorporate a variable reference index plus an agreed margin for the financing), but its effect is neutral to the extent that the same percentage is added to the interest rate set for the swap, the rate set for the cap, or the rate set for the floor, depending on the product in question. In the complainant's operations, there is no spread or differential on the variable reference interest rate, which according to the entity is common in contracting with professionals (folio 3214).</w:t>
      </w:r>
    </w:p>
    <w:p>
      <w:r>
        <w:t>For its part, SABADELL explains that all banks include a differential to the reference interest rate in financial operations (loans, hedges, etc.). It is a differential that the bank obtains and corresponds to certain costs that the bank must bear (folios confidential 23341, 23352, and 4393).</w:t>
      </w:r>
    </w:p>
    <w:p>
      <w:r>
        <w:t>SANTANDER, at first, defines this concept as the differential of the interest rate applicable on the reference index (for example, EURIBOR) (folio 7969) and indicates that the complainant's operations did not carry any spread or differential (folio 7971). However, in subsequent writings, SANTANDER acknowledges that the floor rate or fixed rate in the case of a swap is obtained by adding the spread or differential to the theoretical applicable rate, equating it to the differential applicable to Euribor in senior credit, which aims to compensate the bank to achieve a target return (folios 41655 to 41656).</w:t>
      </w:r>
    </w:p>
    <w:p>
      <w:r>
        <w:t>On the other hand, the term spread, according to BBVA, can have several meanings, being understood as the amount or percentage by which two values differ from each other (folio 21978). BBVA states that it applies a spread as a percentage over the market price. This spread is applied considering the risks and costs of the technological and human platform assumed by contracting the derivative operation with the client and to attempt to comply with the profit/risk equation that should govern banking practice (which does not always occur, due to market movements). The existence of a spread concerning the market rate would be compatible with both a zero-cost contract and a contract with a zero differential (folio 21980). The spread of the analyzed operations, according to the entity, cannot be determined now, as the entity does not retain the price considered by the trader at the time of setting the market value. To the aforementioned price, at the time, the spread agreed with the client in each of the operations would be added (folio 21982). The entity explains that situations could arise where margins are agreed upon and applied to operations even if the cost and/or spread were zero (folio 21980).</w:t>
      </w:r>
    </w:p>
    <w:p>
      <w:r>
        <w:t>2. The regulation of financial derivatives in the documents formalized by the entities involved.</w:t>
      </w:r>
    </w:p>
    <w:p>
      <w:r>
        <w:t>As previously mentioned, the coverage of a syndicated loan is regulated in various documents, highlighting the Term Sheet, the financing contract, the CMOF, and the confirmations27.</w:t>
      </w:r>
    </w:p>
    <w:p>
      <w:r>
        <w:t>Regarding the first, the VAPAT Group has provided several drafts of the Term Sheet that, although they did not lead to a definitive document, included some aspects of the derivative contract. According to information in the file, in the Basic Financing Conditions document of 2009 for the San Lorenzo Wind Farm operation28, a subsidiary of VAPAT, it was stipulated among the obligations of the borrower that “The coverage must be contracted with the Insuring Banks, provided that they present an offer in terms and products that are in market conditions. In order to make a market comparison, a credit spread of 30 b.p. has been agreed with the Borrower in this regard” (folio 7283). The 2009 Term Sheet related to the HORNIJA operation states in the section on Obligations of the Borrower that “The hedging instrument to be contracted must be agreed upon with the Creditor Entities so that it is satisfactory to them (i.e.: IRS29, Collar...)… The applicable spread to the interest rate strategy to be defined will be 25 b.p. over the applicable rate for that hedging product without market margin. Each Creditor Entity will close its equivalent part of the coverage based on the percentage of Debt assumed (the part equivalent to the ICO will be distributed pro rata among the other Creditor Entities)” (folio 7258).</w:t>
      </w:r>
    </w:p>
    <w:p>
      <w:r>
        <w:t xml:space="preserve">The document for the CYL Operation30 states that “The Borrowers must subscribe to an interest rate hedging contract with the Structuring Banks for at least 75% of the loan amount and for a minimum term equivalent to the average life of the loan. The coverage must be contracted with the Structuring Banks and be elevated to public before a Notary. </w:t>
        <w:br/>
        <w:t>27 The guarantee contract or "Intercreditor Agreement" is also applicable to the coverage, as previously mentioned.</w:t>
        <w:br/>
        <w:t>28 In this operation, the coverage was carried out solely by SABADELL.</w:t>
        <w:br/>
        <w:t>29 IRS refers to Interest Rate Swap.</w:t>
        <w:br/>
        <w:t>30 The CYL Term Sheet also included the BRULLES EÓLICA, S.L.U. operation, which ultimately did not take place.</w:t>
      </w:r>
    </w:p>
    <w:p>
      <w:r>
        <w:rPr>
          <w:b/>
        </w:rPr>
        <w:t>[Pages 46–48]</w:t>
      </w:r>
    </w:p>
    <w:p>
      <w:r>
        <w:t>Public, on the date of signing the Financing Documents. The spread of the derivative will be [25 bps]” (folio 7323). The financing contracts also include some general elements related to financial derivatives. The DC, in order to facilitate the reading of the Fact Specification Document, took as an example the syndicated loan contract of the ESQUILVENT operation, indicating, in footnotes, the folios of the syndicated loan contracts with other companies, including those outside the VAPAT Group, where the clauses that are subsequently included are found:</w:t>
      </w:r>
    </w:p>
    <w:p>
      <w:r>
        <w:t>(1) Obligation to contract a hedging instrument for the interest rate. Contained in stipulation 4.2.1 of the contract (folios 2692-2693)31:</w:t>
        <w:br/>
        <w:t>a. “4.2 Conditions for the disbursement of the Credit</w:t>
        <w:br/>
        <w:t>b. 4.2.1 The Borrower shall not be entitled to request any Disbursement under this Credit, nor shall the Lenders be obliged to deliver any amount to the Borrower under this Credit, in compliance with the provisions of this Contract, until the Agent has satisfactorily verified the prior fulfillment of the following conditions:</w:t>
        <w:br/>
        <w:t>c. […]</w:t>
        <w:br/>
        <w:t>d. (k) Subscription, on the date of signing this Contract, of the corresponding hedging operations under the Interest Rate Risk Hedging Contracts in accordance with the provisions of section 16.2.4.5 below and the respective confirmations.”</w:t>
        <w:br/>
        <w:t>e. This obligation is also included in stipulation 16.2.4.5 of the same contract (folios 2727-2728):</w:t>
        <w:br/>
        <w:t>f. “[…] the Borrower undertakes to contract and formalize before a Notary Public, under market conditions, with the Derivative Provider(s) a financial derivative […]”.</w:t>
      </w:r>
    </w:p>
    <w:p>
      <w:r>
        <w:t>(2) Obligation to contract the hedging instruments with the same creditors of the loan. In the first stipulation of the contract of the ESQUILVENT operation, it can be read:</w:t>
        <w:br/>
        <w:t>g. “Lenders: BANCO SABADELL, ICO, BBVA, BANESTO, LA CAIXA and those entities to whom they transfer their respective contractual position in this Credit Agreement in accordance with Stipulation 19.2” (folio 2671).</w:t>
        <w:br/>
        <w:t>h. “Derivative Providers: BANCO SABADELL, BANESTO, BBVA and LA CAIXA in their capacity as providers of coverage in the Interest Rate Risk Hedging Contracts and those entities to whom they transfer their contractual position in the same” (folio 2685)32.</w:t>
      </w:r>
    </w:p>
    <w:p>
      <w:r>
        <w:t>(3) Contracting a hedging instrument, independently, with each supplying entity. In Explanatory VII of the contract of the ESQUILVENT operation (folios 2668-2669) it states:</w:t>
        <w:br/>
        <w:t>i. “[…] the Derivative Providers have formalized with the Borrower, respective framework contracts for financial operations ("CMOF"), based on the model approved by the Spanish Banking Association (AEB), with their own characteristics of autonomy and independence”33 (own emphasis).</w:t>
      </w:r>
    </w:p>
    <w:p>
      <w:r>
        <w:t>(4) Contracting financial derivatives “under market conditions.” This condition is recorded in stipulation 16.2.4.5 of the contract of the ESQUILVENT operation (folios 2727-2728):</w:t>
        <w:br/>
        <w:t>j. “16. OBLIGATIONS OF THE BORROWER</w:t>
        <w:br/>
        <w:t>k. […] 16.2 Obligations to do and not to do</w:t>
        <w:br/>
        <w:t>l. […] 16.2.4 Financial obligations</w:t>
        <w:br/>
        <w:t>m. 16.2.4.5 In order to avoid the risk of fluctuation of the reference interest rate, on the date of disbursement of the first Disbursement of the Credit, the Borrower undertakes to contract and formalize before a Notary Public, under market conditions, with the Derivative Provider(s) a financial derivative under the Interest Rate Risk Hedging Contracts”34 (own emphasis).</w:t>
      </w:r>
    </w:p>
    <w:p>
      <w:r>
        <w:t>(5) Setting the minimum percentage of the nominal amount of the loan covered by the derivative and the duration period. In the contract of the ESQUILVENT operation, these data are also recorded in stipulation 16.2.4.5: “for a minimum amount of 75 percent of the Maximum Amount of the Credit and for a minimum term of thirteen (13) years” (folio 2728)35.</w:t>
      </w:r>
    </w:p>
    <w:p>
      <w:r>
        <w:t>(6) Reduction of coverage in the event of early repayment of the loan. Stipulation 10.4.4. of the contract of the ESQUILVENT operation states the following (folio 2712):</w:t>
        <w:br/>
        <w:t>n. “10.4.4. Reduction of coverage. If as a result of early repayment, the outstanding balance of the Credit is less than the notional amount corresponding to the interest rate coverage contracted at that date, the Borrower must, simultaneously with the early repayment, reduce the coverage so that the notional amount of it does not exceed the outstanding balance of the Credit once the early repayment has been made,</w:t>
      </w:r>
    </w:p>
    <w:p>
      <w:r>
        <w:t>34 This obligation is also found in the following contracts: in the contract of Ecopark del Besòs, S.A. (folios confidential 16662 to 16663); in the contract of the Provincial Council of Álava (folio confidential 17385); in the contract Fenosa WIND, S.L. (folio confidential 17013); in the contract Ibereólica, S.L. (folios confidential 18753 and 18908); in the contract of Parc Eòlic Mudefer, S.L. (folios confidential 14542 and 14608); in the contract of Palex Medical, S.A. (folio confidential 15995); in the contract Meliá Hotels International, S.A. (folio confidential 16540); in the contract of novation of Roca Sanitario, S.A. (folio confidential 18623); in the contract of Termosolar Borges, S.L. (folio confidential 25223); in the contract of Clínicas del Sur, S.L.U. (folio confidential 26548); in the contract of novation of Clínicas del Sur, S.L.U. (folio confidential 26873).</w:t>
      </w:r>
    </w:p>
    <w:p>
      <w:r>
        <w:t>35 In all contracts entered into with the VAPAT Group, the covered percentage was 75% of the loan amount. Regarding the duration of the hedging contract: in the BAJOZ and HORNIJA Operations, a minimum term of 12 years was set in the credit contract (folios 2987 and 3104, respectively) and in the CYL contract, reference is made to the average life of the credit (folio 2864). This type of obligation is also found in the following contracts: in the contract of Desarrollos Manchegos, Energías Alternativas Castilla La Mancha and Energías Renovables del Duero (folio confidential 8561), in the contract of Renovalia Solar 3, S.L.U. (folio confidential 14313); in the contract of Ecoparc del Besòs (folios confidential 16608 to 16609); in the contract of the Provincial Council of Álava (folio confidential 17374); in the contract of Fenosa Wind, S.L. (folios confidential 17013 to 17014); in the contract of Ibereólica, S.L. (folio confidential 18852); in the contract of Parc Eòlic Mudefer, S.L. (folio confidential 14608); in the contract of Palex Medical, S.A. (folio confidential 15995); in the contract Sol Meliá, S.A. (folio confidential 16540); in the contract Roca Sanitario, S.A. (folio confidential 17953); in the contract of novation of Roca Sanitario, S.A. (folio confidential 18623); in the contract of Termosolar Borges, S.L. (folio confidential 25325).</w:t>
      </w:r>
    </w:p>
    <w:p>
      <w:r>
        <w:rPr>
          <w:b/>
        </w:rPr>
        <w:t>[Pages 49–51]</w:t>
      </w:r>
    </w:p>
    <w:p>
      <w:r>
        <w:t>bearing the Break Costs of the Interest Rate Risk Coverage that this may imply”36.</w:t>
      </w:r>
    </w:p>
    <w:p>
      <w:r>
        <w:t>(7) Absence of any mention of commissions, expenses, costs, margins, fees, or any other concept associated with the contracting of hedging instruments. The only mention in this regard contained in the loan contract refers to the cancellation costs of the derivative due to early repayment or breach of contract. In the same contract of the ESQUILVENT operation, we find:</w:t>
      </w:r>
    </w:p>
    <w:p>
      <w:r>
        <w:t>o. “Break Costs of the Interest Rate Risk Coverage: Means the costs incurred for the Borrower due to the settlement of the Interest Rate Risk Coverage Contracts on a date different from that contractually foreseen for their maturity and/or as a consequence of the modification of the operations contracted under them” (folios 2676).</w:t>
      </w:r>
    </w:p>
    <w:p>
      <w:r>
        <w:t>p. “All costs, expenses, fees, and taxes that accrue as a result of early repayment shall be entirely borne by the Borrower” (folio 2712).</w:t>
      </w:r>
    </w:p>
    <w:p>
      <w:r>
        <w:t>In line with the above, generally, all the confirmations analyzed stated that the premium, differential, margin, spread is zero. Therefore, in general, the syndicated financing contracts include the obligation to contract a hedging instrument, which must be contracted with the same creditor entities bilaterally and independently, and will be closed “on market conditions.” However, neither the financing contracts, nor the terms sheets, CMOF, nor confirmations specify what the particular criteria for contracting “on market conditions” will be nor the specific method for setting the floor or fixed rate in the case of a swap.</w:t>
      </w:r>
    </w:p>
    <w:p>
      <w:r>
        <w:t>3. Analysis of the financial derivative operations carried out by the entities involved</w:t>
      </w:r>
    </w:p>
    <w:p>
      <w:r>
        <w:t>By virtue of the information provided by SABADELL (folio confidential 42033), of the syndicated loan operations carried out in Spain between the period 2006-2016, it is observed that the participation of the involved entities in syndicated loans for project finance has increased significantly, reaching 100% in 2015 and 76.5% in 2016. Specifically, BBVA participated in 59.5% of the syndicated loans intended for project finance in 2015, CAIXABANK and SABADELL in 45.9% each, and SANTANDER in 83.8%.</w:t>
      </w:r>
    </w:p>
    <w:p>
      <w:r>
        <w:t>Throughout the instruction of the file, the DC has had access to the documentation provided by 22 companies, corresponding to 43 operations of derivatives associated with syndicated loans contracted between 2006 and 201637. The DC, in the PCH, first analyzes the 4 operations referred to in the complaint, belonging to the 4 companies of the VAPAT Group: BAJOZ, HORNIJA, CYL, and ESQUILVENT (sections 198 to 223). Secondly, the derivative operations carried out with third companies, some of which operate in the same sector as the complaining Group38 and others in sectors different from renewable energies39 (sections 224 to 239).</w:t>
      </w:r>
    </w:p>
    <w:p>
      <w:r>
        <w:t>a) Analysis of the operations carried out with the VAPAT Group</w:t>
      </w:r>
    </w:p>
    <w:p>
      <w:r>
        <w:t>Regarding the operations carried out with the VAPAT Group, in all of them collars were contracted, always, according to CAIXABANK (folio 3205 of the non-confidential version), BBVA (folio 21993), and SANTANDER (folios 7965), at the request of the client40 and in all of them the Agent Bank was SABADELL.</w:t>
      </w:r>
    </w:p>
    <w:p>
      <w:r>
        <w:t>The BAJOZ operation was signed on [confidential], on which date, simultaneously, the syndicated loan of a maximum amount of [confidential]€ was contracted and the CMOF and confirmations of the derivatives with each bank were signed. The creditor banks of the operation were BANESTO (now SANTANDER), SABADELL, CAIXABANK, BBVA, and ICO, which shared the amount to be financed [confidential]. The derivative providers were BANESTO (now SANTANDER), SABADELL, CAIXABANK, and BBVA41. The company contracted with each bank a zero-cost collar hedging instrument and in all cases the same strikes of the options that formed it were set: for the cap a [confidential]% was set and for the floor a [confidential]% (SABADELL folios 2630 and 2634, SANTANDER folios 2540-2541, BBVA folio 2483 and CAIXABANK folio 2562)42.</w:t>
      </w:r>
    </w:p>
    <w:p>
      <w:r>
        <w:t>The HORNIJA operation was signed simultaneously with that of BAJOZ on [confidential]. In the same act, the syndicated loan of a maximum amount of [confidential]€, the CMOF, and the confirmations of the derivatives with each bank were signed. The creditor banks of the operation were BANESTO (now SANTANDER), SABADELL, CAIXABANK, BBVA, and ICO, which shared the amount to be financed [confidential]. The derivative providers were BANESTO (now SANTANDER), SABADELL, CAIXABANK, and BBVA. The company contracted with each bank a zero-cost collar hedging instrument and in all cases the same strikes of the options that formed it were set: for the cap a [confidential]% was set and for the floor a [confidential]% (SABADELL folios 2613 and 2617, SANTANDER folios 2522-2523, BBVA folio 2503 and CAIXA folio 2590)43.</w:t>
      </w:r>
    </w:p>
    <w:p>
      <w:r>
        <w:t>The ESQUILVENT operation was signed on [confidential], on which date the syndicated loan of a maximum amount of [confidential]€, the CMOF, and the confirmations of the derivatives with each bank were simultaneously contracted. The creditor banks of the operation were BANESTO (now SANTANDER), SABADELL, CAIXABANK, BBVA, and ICO, which shared the amount to be financed as follows: BANESTO (now SANTANDER) financed [confidential]%, SABADELL [confidential]%, CAIXABANK [confidential]%, BBVA [confidential]%, and ICO [confidential]%. The derivative providers were BANESTO (now SANTANDER), SABADELL, CAIXABANK, and BBVA. The company contracted with each bank a zero-cost collar hedging instrument and in all cases the same strikes of the options that formed it were set: for the cap a [confidential]% was set and for the floor a [confidential]% (SABADELL folios 2444 and 2449, SANTANDER folios 2465 and 2466, BBVA folio 2423 and CAIXA folios 2400-2401)44.</w:t>
      </w:r>
    </w:p>
    <w:p>
      <w:r>
        <w:t>In the CYL operation, three of the involved entities participated, without SANTANDER participating. The operation was signed on [confidential], on which date the syndicated loan of a maximum amount of [confidential]€, the CMOF, and the confirmations of the derivatives with each bank were simultaneously contracted. The creditor banks of the operation were SABADELL, CAIXABANK, BBVA, and ICO, which shared the amount to be financed as follows: SABADELL financed [confidential]%, CAIXABANK [confidential]%, BBVA [confidential]%, and ICO [confidential]%. The derivative providers were SABADELL, CAIXABANK, and BBVA. The company contracted with each bank a zero-cost collar hedging instrument and in all cases the same strikes of the options that formed it were set: for the cap a [confidential]% was set and for the floor a [confidential]% (SABADELL folios 2377 and 2382, BBVA folio 2230 and CAIXA folio 42 In the confirmations of BANESTO and CAIXABANK, the fixed Floor rate appears handwritten (folios 2541 and 2562). 43 In the confirmation of CAIXABANK, the fixed Floor rate appears handwritten. 44 In the confirmation of CAIXABANK, the fixed Floor rate appears handwritten (folio 2400).</w:t>
      </w:r>
    </w:p>
    <w:p>
      <w:r>
        <w:rPr>
          <w:b/>
        </w:rPr>
        <w:t>[Pages 52–54]</w:t>
      </w:r>
    </w:p>
    <w:p>
      <w:r>
        <w:t>2309)45.</w:t>
      </w:r>
    </w:p>
    <w:p>
      <w:r>
        <w:t>Regarding the classification of Grupo VAPAT, the companies within it were classified by SABADELL, BBVA, and CAIXABANK as professional clients46.</w:t>
      </w:r>
    </w:p>
    <w:p>
      <w:r>
        <w:t>In 2012, after the amortizations made by Grupo VAPAT, the amount covered by the derivatives contracted by the Group was greater than the outstanding amount of the loan. Since, as stated in the credit contract, the amount covered by the derivative should be at most [confidential]% of the nominal (never exceeding 100%), the client proceeded to adjust the derivatives to these circumstances and canceled the excess coverage, incurring the corresponding cost. In carrying out this operation, the banks required Grupo VAPAT to pay high amounts, which were unexpected for the company and were not explained to them despite their requests. Specifically, the banks claimed that to arrive at those figures, they had used the entity's confidential internal methodology, which was different for each bank (folios 1498 and 3138-3139).</w:t>
      </w:r>
    </w:p>
    <w:p>
      <w:r>
        <w:t>Faced with the payment of high amounts for the cancellation costs of the derivative, Grupo VAPAT contacted an independent expert in financial matters to review the contracts signed by the Group's subsidiaries47. The expert concluded that, despite what was reflected in the public deed, the creditor banks falsified the market prices of the contracted floors, increasing them through hidden spreads or implicit commissions that exceeded 100 basis points (one percentage point). This caused, according to the report, that from the very moment of their contracting and without the complainant's knowledge, an immediate benefit was generated for the entities and losses for the companies of the Grupo VAPAT, as the product was not correctly valued, which also resulted in cancellation costs that did not match the conditions known to the complainant (folio 1499, corresponding to the complaint filed by VAPAT). According to the expert, not only was there an overpricing in the quotation of the derivative, but the entities would have agreed on that fictitious price behind the client's back, as it was extremely difficult for all entities to have the same quotation in the market given that, as they themselves state, each entity works with different calculation methodologies and requests the quotation at different times.</w:t>
      </w:r>
    </w:p>
    <w:p>
      <w:r>
        <w:t>According to the report submitted to the file by the complainant (folios 7386 to 7419), this would have happened with all the syndicated financing contracts signed by Grupo VAPAT and mentioned above, except for the one signed with Parques Eólicos San Lorenzo, where the contracting of the derivative was carried out with a single entity (SABADELL).</w:t>
      </w:r>
    </w:p>
    <w:p>
      <w:r>
        <w:t>Through the analysis of a representative sample of the renewable sector over a specific period included in the aforementioned Report48, it concluded that the manipulation of market prices by the four banks, through the inclusion of "margins" or "implicit commissions," would have been widespread during the period from 2008 to 2012.</w:t>
      </w:r>
    </w:p>
    <w:p>
      <w:r>
        <w:t>SABADELL has submitted to the file an Expert Report presented in the criminal proceedings initiated by Grupo VAPAT, which rebuts the expert analysis prepared by the complainant, mainly regarding the methodology and effectiveness of the hedging operation (confidential folios 4379 to 4426).</w:t>
      </w:r>
    </w:p>
    <w:p>
      <w:r>
        <w:t>In the Report, the experts state that it is common market practice to agree on the same conditions of the operation with the client (both for the syndicated loan and for its hedging) (confidential folio 4404) and continue by saying that: "it is not correct to assert that the entities 'colluded to carry out an operation to harm the client,' given that price concentration is common in operations of this type" (confidential folio 4405) (emphasis added). In the same vein, SABADELL has stated that "it is a market practice accepted internationally by all parties involved in this activity, that the different Banks coordinate with each other on the economic conditions of the derivative." (folio 41801)</w:t>
      </w:r>
    </w:p>
    <w:p>
      <w:r>
        <w:t>According to SANTANDER, the Agent Bank in the operations of Grupo VAPAT, to cover the risk of a possible rise in interest rates, proposed to the client the subscription of an IRS (Interest Rate Swap), but the client requested the zero premium collar modality (folio 4896). The entity adds that it may seem more attractive to the client at an initial moment to subscribe to a zero premium collar than an IRS, since when interest rates are within the collar levels, the client has no settlement (whereas in the swap, on all observation dates, the client must make positive or negative settlements) and as the floor is set at a level that compensates for the cost of the premium of the cap, the client does not have to pay any initial amount either (folio 7966).</w:t>
      </w:r>
    </w:p>
    <w:p>
      <w:r>
        <w:t>SANTANDER has indicated that for the operations of VAPAT, the Base Case established what the maximum rate was from which the viability of the project was at risk, and at that level, the cap was set (folio 7966). Based on that cap, the floor was set at the closing date at the level necessary to compensate for the premiums of both options. The entity claims that, previously, the Agent Bank had provided the client with an estimate of the expected levels of the floor quotation, without any opposition from the client (folio 7967). Later, in the closing telephone conversation of the hedging in which both the client and the entities were present, an agreement was reached on the final level of the floor (folio 7968).</w:t>
      </w:r>
    </w:p>
    <w:p>
      <w:r>
        <w:t>On the day of the signing of the syndicated loans, according to SANTANDER, the Agent Bank, after consulting with its treasury, made the client an estimated offer of the expected floor based on the cap and other pre-established terms of the hedging. This offer was communicated to the representatives of the other entities so that each could internally validate this quotation (folio 7968). Subsequently, in a closing telephone conversation of the hedging that took place at a notary's office, in which the client and the representatives of the syndicate entities participated, an agreement was reached on the final applicable floor level, taking into account the cap and the market situation at that precise moment. The client had the option, in this call, to disagree with the offer (folio 7968).</w:t>
      </w:r>
    </w:p>
    <w:p>
      <w:r>
        <w:t>According to the entity, it is not possible to provide the market value of the floor at the time of its contracting, because at that time it was chosen to quote the structure of the product as a whole, which is not recoverable (folio 7971).</w:t>
      </w:r>
    </w:p>
    <w:p>
      <w:r>
        <w:t>For its part, BBVA has indicated that the Agent Bank contacted the other interested financial entities via email to convey the terms of each hedging operation, which had been previously agreed upon with the client (among others, nominal amounts, terms, structure of the hedging derivative chosen by each client, approximate "spread" of each hedging derivative, settlement accounts of each hedging derivative) (folio 21993). BBVA and the other entities coordinated by the Agent Bank made quotations of various structures of interest rate hedges (increasing fixed rate swap and various collars) and, based on that information, the client chose the structure that interested them the most (collar). Subsequently, several levels of cap and floor were presented to confirm that they were in agreement with the levels (folios 21993).</w:t>
      </w:r>
    </w:p>
    <w:p>
      <w:r>
        <w:t>According to BBVA, when the collar was quoted, the cap level that the client wanted and that supported the base case conditions of each financing was set, and taking into account the applicable credit spread for each hedging derivative, the floor level was determined (folio 21993).</w:t>
      </w:r>
    </w:p>
    <w:p>
      <w:r>
        <w:rPr>
          <w:b/>
        </w:rPr>
        <w:t>[Pages 55–57]</w:t>
      </w:r>
    </w:p>
    <w:p>
      <w:r>
        <w:t>(folios 21993).</w:t>
      </w:r>
    </w:p>
    <w:p>
      <w:r>
        <w:t>The contracting of each hedging derivative took place on the same date as the signing of the contractual documents for the syndicated financing, through a telephone conversation conducted by the Agent Bank, with the participation of the other financial entities providing each derivative to the client representative who was present at that moment in the notary's office (folio 21993). At the same moment that the Treasury Department of BBVA was closing the operation with the client over the phone, the pricing desk was updating the coverage prices (folio 21994). Thus, the market floor was set, according to the entity, immediately before the contracting (folio 21982). The banks have confirmed the existence of coordination in the floor prices offered to the client and those that were ultimately signed49. Additionally, the entities involved have provided audio recordings, which the clients do not have, that capture the conversations among all of them prior to the closing of each of the hedging operations.50</w:t>
      </w:r>
    </w:p>
    <w:p>
      <w:r>
        <w:t>Regarding the ESQUILVENT operation, the audios provided by the parties51 reflect the conversations (bilateral and multilateral) held among the involved banks in which they agreed among themselves, prior to the closing and in the absence of the client, on the basic points applicable to the operation, increasing them compared to those agreed with the client. Furthermore, these conversations reflect that the entities agreed, prior to the aforementioned closing, on the interest rate that would be set as the floor, with one of them directly proposing the percentage of 3.14, which was accepted without further discussion by the other entities. In the prior conversations among the banks, they indicated that the reference to "volatility" would be useful to convince the client of the floor level. Following these conversations, the operation was closed, now with the presence of GRUPO VAPAT. In this meeting, after summarizing the general conditions of the coverage, the floor was closed at the level previously agreed upon by the entities.</w:t>
      </w:r>
    </w:p>
    <w:p>
      <w:r>
        <w:t>The following are excerpts from the conversations held with the banks regarding the ESQUILVENT operation.</w:t>
        <w:br/>
        <w:t>• Conversation held between SABADELL and SANTANDER (confidential folios 5533 and 5535) [CONFIDENTIAL].</w:t>
        <w:br/>
        <w:t>• Conversation held between SABADELL and BBVA (confidential folio 22066) [CONFIDENTIAL].</w:t>
        <w:br/>
        <w:t>• Conversation held between SABADELL and SANTANDER (confidential folio 22067) [CONFIDENTIAL].</w:t>
        <w:br/>
        <w:t>• Conversation held between SABADELL and SANTANDER (confidential folios 5534 and 22068) [CONFIDENTIAL].</w:t>
        <w:br/>
        <w:t>49 SABADELL, folios 24559, 24560, 24570; SANTANDER, folios 41657 and 41659; BBVA, folio 21993; CAIXABANK folios 3208 and 3215.</w:t>
        <w:br/>
        <w:t>50 In Annex II of the PCH, the transcripts made by the DC of these audios are included, without prejudice to the fact that, in sections (218) and following of the PCH, their content is summarized.</w:t>
        <w:br/>
        <w:t>51 Confidential folios for Grupo VAPAT 5534, 5535, 6957, 22066, 22067, 22068 and 22069.</w:t>
      </w:r>
    </w:p>
    <w:p>
      <w:r>
        <w:t>• Continuation of the previous conversation, to which BBVA is added (confidential folio 6957), SANTANDER (confidential folio 5534) and SABADELL (confidential folio 22068) [CONFIDENTIAL].</w:t>
        <w:br/>
        <w:t>• Inclusion of CAIXABANK in the previous conversation. All four involved entities are present (confidential folios 3813, 5534, 6958 and 22069) [CONFIDENTIAL].</w:t>
        <w:br/>
        <w:t>• The third part of the conversation corresponds to part of the actual closing, in which all four involved entities and Grupo VAPAT participated (confidential folios 3813, 5534, 6958 and 22069) [CONFIDENTIAL].</w:t>
      </w:r>
    </w:p>
    <w:p>
      <w:r>
        <w:t>The conversations held among the four involved entities prior to the closing of the BAJOZ and HORNIJA operations52 are similar to that of ESQUILVENT. In them, it is observed how the entities agree to increase the applicable basis points and how the four entities shared their quotes to agree on offering the client, for the BAJOZ operation, [confidential] and [confidential] and for the HORNIJA operation, [confidential] and [confidential]. The parties agreed to maintain these quotes as long as there were no significant market movements. At the closing of the operation, at a later moment, the agreed quotes were maintained, and only those agreed upon by the banks were offered. The following are transcriptions of excerpts from the banks' audios, as well as from the closing of the BAJOZ and HORNIJA operations.</w:t>
        <w:br/>
        <w:t>• Conversation held between SABADELL and BBVA (confidential folio 22071) [CONFIDENTIAL].</w:t>
        <w:br/>
        <w:t>• Next, SANTANDER joins the conversation (confidential folio 22071) [CONFIDENTIAL].</w:t>
        <w:br/>
        <w:t>• Next, CAIXABANK joins the conversation [CONFIDENTIAL].</w:t>
        <w:br/>
        <w:t>• The following is a transcription of part of the conversation corresponding to the closing of the operation, in which all four banks and Grupo VAPAT are present (confidential folios 3812, 6790 and 22071) [CONFIDENTIAL].</w:t>
      </w:r>
    </w:p>
    <w:p>
      <w:r>
        <w:t>Finally, regarding the CYL operation53, the conversations reflect the communication of the respective quotes by the banks. Specifically, quotes of [confidential] and [confidential] were indicated by two of the entities. According to the Agent Bank, the client wanted to close the floor at levels of [confidential], indicating that the entities still had a reasonable margin with that value, and agreeing to attempt to close the operation at that level. No entity involved in this operation has provided an audio in which the client can be heard directly requesting that level. At the closing of the operation, the Agent Bank quoted the floor at [confidential], a figure to which both the other banks and the client agreed. The following are transcriptions of excerpts from the audios between the banks, as well as from the closing of the CYL operation.</w:t>
        <w:br/>
        <w:t>• Excerpt from the conversation held between BBVA and SABADELL (confidential folios 3814 and 22060) [CONFIDENTIAL].</w:t>
        <w:br/>
        <w:t>• Next, CAIXABANK intervenes in the conversation (confidential folios 3814 and 22060) [CONFIDENTIAL].</w:t>
        <w:br/>
        <w:t>• Finally, the operation is closed with the three banks and Grupo VAPAT (confidential folios 3814, 6788 and 22060) [CONFIDENTIAL].</w:t>
      </w:r>
    </w:p>
    <w:p>
      <w:r>
        <w:t>According to the recordings of the conference calls provided by the parties, the employee of the Agent Bank asked the representatives of each bank participating in the conference call to consult in real-time the market price levels of the floor (the "derivative quote") only for the ESQUILVENT and CYL operations, while for BAJOZ and HORNIJA, which were signed in a single act, it was the Agent Bank that directly announced the levels. However, in the first two operations, it was the Agent Bank that took the floor to announce its floor level, with the others limiting themselves to giving their consent.</w:t>
      </w:r>
    </w:p>
    <w:p>
      <w:r>
        <w:t>Additionally, there are email conversations in the file, dated March 24 and 25, 2010, between the involved entities, provided by SANTANDER, in which it can be observed that the entities communicated their respective floor levels, expressing their preference for the highest one:</w:t>
        <w:br/>
        <w:t>a. Conversation among the four banks of the syndicate regarding the BAJOZ and HORNIJA operations [CONFIDENTIAL].</w:t>
        <w:br/>
        <w:t>b. Email dated March 25, 2010, sent by SABADELL to the client with a copy to the other banks [CONFIDENTIAL].</w:t>
      </w:r>
    </w:p>
    <w:p>
      <w:r>
        <w:t>b) Analysis of the financial derivative operations conducted with other companies</w:t>
        <w:br/>
        <w:t>The DC directed information requests to the four involved entities and to a series of companies that, according to the information provided by the former, would have subscribed to collars for the coverage of interest rate risk in syndicated loans of project finance. However, despite what the banks initially indicated, the examination of the contracts and documentation provided reveals that, in most cases, a collar was not contracted but a swap, as explained below.</w:t>
      </w:r>
    </w:p>
    <w:p>
      <w:r>
        <w:t>From the analysis of the documentation sent by the banks and by the client companies, it is observed that in the 14 operations described below, all four involved entities participated as providers of a derivative instrument:</w:t>
        <w:br/>
        <w:t>a. The syndicated loan operation of Parc Eolic Mudefer, S.L.,</w:t>
      </w:r>
    </w:p>
    <w:p>
      <w:r>
        <w:rPr>
          <w:b/>
        </w:rPr>
        <w:t>[Pages 58–60]</w:t>
      </w:r>
    </w:p>
    <w:p>
      <w:r>
        <w:t>the syndicated loan operation of Parc Eolic Mudefer, S.L., signed on July 28, 2009, for a maximum amount of [confidential] € (confidential folio 14529) was associated with the signing, on January 12, 2010, of a hedging instrument of the swap type with each of the entities involved at a fixed rate of [confidential]%, identical for all entities (confidential folios 15144, 15159, 15197, and 15221).</w:t>
      </w:r>
    </w:p>
    <w:p>
      <w:r>
        <w:t>b. The operation of Africana Energia, S.L., signed on June 9, 2011, for a maximum amount of [confidential] € (confidential folio 19507), was associated with the signing, on different days in June 2011, of a hedging instrument of the swap type with each of the entities involved at a fixed rate of [confidential]%, identical for all entities (confidential folios 21179, 21237, 21268-21269, and 21286).</w:t>
      </w:r>
    </w:p>
    <w:p>
      <w:r>
        <w:t>c. The operation of Diputación Foral de Álava, signed on April 27, 2012, for a maximum amount of [confidential] € (confidential folios 17355 and 17359), was associated with the signing, on April 27, 2012, of a hedging instrument of the swap type with each of the entities involved at a fixed rate of [confidential]%, identical for all entities (confidential folios 17651-17562, 17574, 17580, and 17588).</w:t>
      </w:r>
    </w:p>
    <w:p>
      <w:r>
        <w:t>d. The operation of Ibereólica Solar Morón, S.L., signed on July 14, 2010, for a maximum amount of [confidential] € (confidential folio 18746), was associated with the signing, on the same date, of a hedging instrument of the swap type with each of the entities involved at a fixed rate of [confidential]%, identical for all entities (confidential folios 19160, 1917, 19179, and 19183).</w:t>
      </w:r>
    </w:p>
    <w:p>
      <w:r>
        <w:t>e. The operation of Palex Medical, S.A., signed on July 20, 2011, for a maximum amount of [confidential] € (confidential folios 15923 and 15937), was associated with the signing, on the same date, of a hedging instrument of the swap type with each of the entities involved at a fixed rate of [confidential]%, identical for all entities (confidential folios 16092, 16105, 16118, and 16136).</w:t>
      </w:r>
    </w:p>
    <w:p>
      <w:r>
        <w:t>f. Autoestrada Ourense Celanova Sociedade Concesionaria da Xunta de Galicia, S.A. signed two syndicated loan operations analyzed in this file. The first, signed on June 26, 2012, for an amount of [confidential] € (confidential folio 15287), was associated with the signing, on the same date, of a hedging instrument of the swap type with each of the entities involved at a fixed rate of 2.388%, identical for all entities (confidential folio 15860). The second operation, signed on March 27, 2015, for an amount of [confidential] € (confidential folios 15389 and 15407), was associated with the signing, on the same date, of a hedging instrument of the swap type with each of the entities involved at a fixed rate of [confidential]%, identical for all entities (confidential folios 15813, 15826, 15838, and 15847).</w:t>
      </w:r>
    </w:p>
    <w:p>
      <w:r>
        <w:t>g. The operation of Melia Hotels International, S.A., signed on April 30, 2009, for a maximum amount of [confidential] € (confidential folio 16502), was associated with the signing, between July and August 2009, of a hedging instrument of the swap type with each of the entities involved at a fixed rate of [confidential]%, identical for all entities54 (confidential folios 16339, 16351, and 16395).</w:t>
      </w:r>
    </w:p>
    <w:p>
      <w:r>
        <w:t>h. Roca Sanitario, S.A. signed several hedging operations in which the entities involved participated during the analyzed period. The company signed a syndicated financing on April 30, 2009 (confidential folio 17836), which was associated with several hedging operations: on July 8, 2009, swaps were signed with BBVA at a fixed rate of [confidential]% and with SANTANDER at a fixed rate of [confidential]%, and at the same time, collars were signed with CAIXABANK and SABADELL, both with the same cap rate ([confidential]%) and the same floor rate ([confidential]%) (confidential folio 18419). On May 7, 2010, other swap hedges associated with the 2009 financing contract were signed with the 4 entities involved, with a fixed swap rate of [confidential]% for BBVA, 1.420% for CAIXABANK, [confidential]% for SABADELL, and [confidential]% for SANTANDER. On December 1, 2011, other hedges associated with the financing contract of November 3, 201155 were signed with the 4 entities involved: a swap at a fixed rate of [confidential]% with BBVA and three collars with CAIXABANK, SABADELL, and SANTANDER, all with a cap rate of [confidential]% and a floor rate of [confidential]% (confidential folios 17647-17648 and 18419). Likewise, the operation of December 30, 201456 (confidential folio 18576) was associated with the signing of several swaps with the entities involved: on March 10, 2015, swaps were signed with SANTANDER and SABADELL, both with a fixed rate of [confidential]%, and on March 18, 2015, two other swaps were signed with BBVA and CAIXABANK, each with a fixed rate of [confidential]% (confidential folios 18419, 18421, 18429, and 18444).</w:t>
      </w:r>
    </w:p>
    <w:p>
      <w:r>
        <w:t>i. The operation of Termosolar Borges, S.L., signed on January 19, 2012, for a maximum amount of [confidential] € (confidential folio 25215), was associated with the signing, on February 2, 2012, of a cap with each of the entities at a rate of [confidential]% identical for all and the signing of a swap with a fixed rate of [confidential]% identical for all entities (confidential folios 26284, 26291, 26306, 26316, 26333, 26341, 26357, and 26363).</w:t>
      </w:r>
    </w:p>
    <w:p>
      <w:r>
        <w:t>j. The novation of April 7, 2015, of the operation of Clínicas del Sur, S.L. (Promociones Sanitarias 2007, S.L.) (confidential folios 26845 and 26847) of August 1, 2014, was associated with the signing, on June 18, 2015, of collars with the entities involved, with the same cap rate ([confidential]%) and the same floor rate ([confidential]%) for all entities (confidential folios 27346, 27407, 27442, 27470, and 27477).</w:t>
      </w:r>
    </w:p>
    <w:p>
      <w:r>
        <w:t>From the analysis of the documentation in the file, it is observed that in 7 operations, 3 of the entities involved participated as providers of a derivative instrument: BBVA, SANTANDER, and SABADELL:</w:t>
      </w:r>
    </w:p>
    <w:p>
      <w:r>
        <w:t>a. The following operations of RENOVALIA SOLAR, S.L.:</w:t>
        <w:br/>
        <w:t>i. The syndicated loan operation of RENOVALIA SOLAR, S.L., of June 19, 2007, for a maximum amount of [confidential] € (confidential folio 10003) was associated with the signing, on December 11, 2007, of a hedging instrument of the swap type with BBVA, BANESTO (now SANTANDER), and SABADELL at a fixed rate of [confidential]%, identical for all entities (confidential folios 9890-9904).</w:t>
      </w:r>
    </w:p>
    <w:p>
      <w:r>
        <w:t>ii. The operation of December 22, 2015, of RENOVALIA SOLAR, S.L., for an amount of [confidential] € (confidential folios 8842 and 8846), was associated with the signing, on the same date, of hedging instruments of the swap type with SANTANDER (with a fixed rate of [confidential]%, confidential folio 8111), BBVA, and SABADELL (both with the same fixed rate, [confidential]%, confidential folio 8111).</w:t>
      </w:r>
    </w:p>
    <w:p>
      <w:r>
        <w:t>CAIXABANK, SANTANDER, and SABADELL:</w:t>
      </w:r>
    </w:p>
    <w:p>
      <w:r>
        <w:t>a. The refinancing operation of October 14, 2015, of Renovalia Solar, S.L., for an amount of [confidential] € (confidential folios 13111 and 13115), was associated with the signing, on the same date, of a hedging instrument of the swap type with CAIXABANK, SANTANDER, and SABADELL at a fixed rate of [confidential]%, identical for all entities (confidential folios 13794, 13831, and 13810).</w:t>
      </w:r>
    </w:p>
    <w:p>
      <w:r>
        <w:t>b. The following operations of Roca Sanitario S.A.:</w:t>
      </w:r>
    </w:p>
    <w:p>
      <w:r>
        <w:rPr>
          <w:b/>
        </w:rPr>
        <w:t>[Pages 61–63]</w:t>
      </w:r>
    </w:p>
    <w:p>
      <w:r>
        <w:t>i. The operation of April 30, 2009, for a maximum amount of [confidential] € (confidential folio 17836), was associated with the signing, on July 6, 2009, of a hedging instrument of the collar type with CAIXABANK, SANTANDER, and SABADELL with the same cap (2.75%) and the same floor rate ([confidential]%) for the three involved providers (confidential folios 17797-17805, 17806-17811, and 17793-17796).</w:t>
      </w:r>
    </w:p>
    <w:p>
      <w:r>
        <w:t>ii. The operation of November 3, 2011, for the novation of the financing of April 30, 2009 (confidential folio 18282), was associated with the signing, on December 1, 2011, of a hedging instrument of the collar type with CAIXABANK, SANTANDER, and SABADELL with the same cap ([confidential]%) and the same floor rate ([confidential]%) for the three involved providers (confidential folios 18169-18177, 18184-18190, and 18178-18183).</w:t>
      </w:r>
    </w:p>
    <w:p>
      <w:r>
        <w:t>CAIXABANK, BBVA, and SABADELL:</w:t>
        <w:br/>
        <w:t>a. The operation of April 22, 2010, of ECOPARC DEL BESOS, S.A., for an amount of [confidential] € (confidential folio 16602), was associated with the signing, on the same date, of a hedging instrument of the swap type with CAIXABANK, BBVA, and SABADELL at a fixed rate of [confidential]%, identical for all entities (confidential folios 16904-16909, 16775-16783, 16843-16848).</w:t>
      </w:r>
    </w:p>
    <w:p>
      <w:r>
        <w:t>b. The operation of June 17, 2010, of Parque Eólico Cova Da Serpe, S.L.57, for a maximum amount of [confidential] € (confidential folio 16979), was associated with the signing, on the same date, of a hedging instrument with all the involved entities; specifically, access has been obtained to the confirmations of the swap operations signed on the same date as the financing with CAIXABANK, BBVA, and SABADELL, at a fixed rate of [confidential]%, identical for all entities (confidential folios 17262, 17242, and 17268).</w:t>
      </w:r>
    </w:p>
    <w:p>
      <w:r>
        <w:t>From the analysis of the documentation, it is observed that in 4 operations, 2 of the involved entities participated as providers of a derivative instrument:</w:t>
      </w:r>
    </w:p>
    <w:p>
      <w:r>
        <w:t>SABADELL and SANTANDER:</w:t>
        <w:br/>
        <w:t>a. The operation of Renovalia Solar 2, S.L. of March 5, 2008, for a maximum amount of [confidential] € (confidential folio 12565), was associated with the signing of a hedging instrument of the swap type with SABADELL and BANESTO (now SANTANDER) with the same fixed rate: [confidential]% (confidential folios 12843-12847 and 12903-12909).</w:t>
      </w:r>
    </w:p>
    <w:p>
      <w:r>
        <w:t>b. The operation of Renovalia Solar 2, S.L., of December 28, 2015, for an amount of [confidential] € (confidential folios 10331 and 10447), was associated with the signing of several hedging instruments of the swap type with SABADELL and SANTANDER with the same fixed rates (two swaps with each: one with a rate of [confidential]% and another with a rate of [confidential]%) (confidential folios 8111, 11227-11239, and 11149-11161).</w:t>
      </w:r>
    </w:p>
    <w:p>
      <w:r>
        <w:t>SANTANDER and BBVA:</w:t>
        <w:br/>
        <w:t>c. The operation of August 1, 2014, signed with Clínicas del Sur, S.L. for a maximum amount of [confidential] € (confidential folios 26479 to 26481), was associated with the signing of collar-type hedging instruments on October 29, 2014, with SANTANDER and BBVA with the same cap ([confidential]%) and the same floor ([confidential]%) (confidential folios 26747 and 26786).</w:t>
      </w:r>
    </w:p>
    <w:p>
      <w:r>
        <w:t>The information regarding the studied operations is found in Annex III to the PCH notified by the DC.</w:t>
      </w:r>
    </w:p>
    <w:p>
      <w:r>
        <w:t>The DC requested the involved entities to provide the communications maintained between them regarding the following operations: Barna Steel, SL., Clínicas del Sur, S.L., Promociones Sanitarias 2007, S.L., Termosolar Borges, S.L., Reyal Urbis, S.L., Iberdrola Financiación, S.A., and Telefónica, S.A., from which audio recordings of Barna Steel, SL. were ultimately received (confidential folios 28797, 40911, and 41569-41573), Clínicas del Sur, S.L. and Promociones Sanitarias 2007 S.L. (confidential folios 29323-29324, 31496-31497, 37153, 37460-37464, 39625, 40061-40062, 41622-41626, and 41746-41747), Termosolar Borges, S.L. (confidential folios 34433-34434 and 38428), Reyal Urbis, S.L. (confidential folios 35447-35458), Iberdrola Financiación, S.A. (confidential folios 3570-35743)58, and Telefónica, S.A. (confidential folios 35143-35197)59.</w:t>
      </w:r>
    </w:p>
    <w:p>
      <w:r>
        <w:t>58 Based on the information provided, the DC did not take into account the audios related to Iberdrola Financiación, S.A., since CAIXABANK (confidential folio 24676) and the company itself (confidential folios 34457-34459) claim not to have entered into any derivative operations between them on the required dates. For its part, SANTANDER clarifies that it signed a derivative with Iberdrola Financiación, S.A. bilaterally, not knowing if other financial entities did the same (confidential folio 34671).</w:t>
      </w:r>
    </w:p>
    <w:p>
      <w:r>
        <w:t>59 Based on the information provided, the DC did not take into account the audios related to Telefónica, S.A. since CAIXABANK (confidential folio 24676) and the company itself (confidential folios 27656-27658) claim not to have entered into any derivative operations between them on the required dates. For its part, SANTANDER clarifies that it signed a derivative with TELEFÓNICA, S.A. bilaterally, not knowing if other financial entities did the same (confidential folios 34669-34670).</w:t>
      </w:r>
    </w:p>
    <w:p>
      <w:r>
        <w:t>Regarding Barna Steel, SL., Reyal Urbis, S.L., Iberdrola Financiación, S.A., and Telefónica, S.A., the DC did not use the audios provided in relation to these operations as it did not identify the participation of more than one of the involved entities during them, considering them for this reason as internal communications of the bank60, as well as not being conversations prior to the closing of the operation61.</w:t>
      </w:r>
    </w:p>
    <w:p>
      <w:r>
        <w:t>The DC has been able to identify the closures of the hedges in which the banks and the client were present in the operations of Termosolar Borges, S.L., and Clínicas del Sur, S.L. (the latter, administrator of Promociones Sanitarias 2007).</w:t>
      </w:r>
    </w:p>
    <w:p>
      <w:r>
        <w:t>Additionally, regarding the operations of Clínicas del Sur, S.L. and Termosolar Borges, S.L., the DC has identified conversations between the banks prior to the closing of the operations in which the setting of the floor and/or the fixed swap rate was addressed, which are summarized below.</w:t>
      </w:r>
    </w:p>
    <w:p>
      <w:r>
        <w:t>The operation of Clínicas del Sur, S.L. of June 2015 was signed by the four involved entities plus other entities. In one of the audios in the file, it is reflected how, prior to the closing of the operation with the client, the banks exchanged their quotes for the floor with two different scenarios for the cap. The banks' quotes were not higher than [confidential]%. The banks agreed to pass on to the client a slightly increased quote indicating that this was to try to maximize what they could earn, agreeing that the client's reaction would be communicated to the rest of the banks.</w:t>
      </w:r>
    </w:p>
    <w:p>
      <w:r>
        <w:t>In another audio related to this operation, the banks initially agreed to set the floor at [confidential]%, considering the possibility of raising it by half a basis point.</w:t>
      </w:r>
    </w:p>
    <w:p>
      <w:r>
        <w:t>Finally, at the closing of the operation, the Agent Bank (SANTANDER), after having presented the general conditions of the coverage, proceeded to quote the floor. After having mistakenly given [confidential]%, it calculated at that same moment a floor of [confidential]%.</w:t>
      </w:r>
    </w:p>
    <w:p>
      <w:r>
        <w:t>The operation with Termosolar Borges, S.L. was also signed by the four involved entities. In the audios prior to the closing of the operation, it is reflected that the entities communicated their quotes for the swap, which were between [confidential] and [confidential]. The banks considered whether to maintain those levels or pass on to the client 255, opting for the latter, which was the rate at which the operation was closed.</w:t>
      </w:r>
    </w:p>
    <w:p>
      <w:r>
        <w:t>The following are transcribed fragments of the conversations held between the four involved companies, prior to the closing of the operation, as well as the closing with the participation of the client (confidential folio 38428 provided by CAIXABANK and, from the incorporation of the client into the conversation, also provided by BBVA in confidential folios 34433 and 34434). A complete transcription is included in Annex IV of the PCH.</w:t>
      </w:r>
    </w:p>
    <w:p>
      <w:r>
        <w:t>60 This is the case for the audios of TELEFÓNICA, S.A., Iberdrola Financiación, S.A., Reyal Urbis, S.L., provided by SANTANDER, and the audio of Barna Steel, S.L., from 2013, provided by SABADELL.</w:t>
      </w:r>
    </w:p>
    <w:p>
      <w:r>
        <w:t>61 Audio of Barna Steel, S.L. from 2010 provided by SABADELL.</w:t>
      </w:r>
    </w:p>
    <w:p>
      <w:r>
        <w:rPr>
          <w:b/>
        </w:rPr>
        <w:t>[Pages 64–66]</w:t>
      </w:r>
    </w:p>
    <w:p>
      <w:r>
        <w:t>[CONFIDENTIAL].</w:t>
      </w:r>
    </w:p>
    <w:p>
      <w:r>
        <w:t>Finally, the audio of the closing of the Clínicas del Sur operation in 2014, in which BBVA and SANTANDER participated, reflects that the Agent Bank, when describing the general conditions of the coverage, directly indicated that the floor at which the client was going to sell was [confidential], without either it or the other bank providing the derivative making any quotation of their respective floors in the presence of the client.</w:t>
      </w:r>
    </w:p>
    <w:p>
      <w:r>
        <w:t>The closing of the operation in which BBVA and SANTANDER participated is reproduced below (confidential folio 31497, provided by BBVA) [CONFIDENTIAL]62.</w:t>
      </w:r>
    </w:p>
    <w:p>
      <w:r>
        <w:t>4. The arbitration award in the procedure between CAIXABANK and GRUPO VAPAT</w:t>
      </w:r>
    </w:p>
    <w:p>
      <w:r>
        <w:t>On November 30, 2016, the DC had access to the final award of an arbitration procedure initiated by CAIXABANK against CYL in which the arbitrator declared the nullity of the collar hedging contract (confidential folios 40202 to 40366).</w:t>
      </w:r>
    </w:p>
    <w:p>
      <w:r>
        <w:t>The claim made by the claimant was the declaration of validity and effectiveness of the Framework Contract for Financial Operations and the Confirmation of the Interest Rate Risk Hedging Contract, in its collar modality, signed with the aforementioned claimant in 2011.</w:t>
      </w:r>
    </w:p>
    <w:p>
      <w:r>
        <w:t>The DC summarizes in paragraphs (240) to (247) of the PCH the content of the award, whose content is confidential for banks that have not been part of the arbitration procedure.</w:t>
      </w:r>
    </w:p>
    <w:p>
      <w:r>
        <w:t>[CONFIDENTIAL]</w:t>
      </w:r>
    </w:p>
    <w:p>
      <w:r>
        <w:t>V. LEGAL GROUNDS</w:t>
      </w:r>
    </w:p>
    <w:p>
      <w:r>
        <w:t>FIRST. JURISDICTION TO RESOLVE</w:t>
      </w:r>
    </w:p>
    <w:p>
      <w:r>
        <w:t>According to Article 5.1.c) of Law 3/2013, of June 4, creating the National Commission of Markets and Competition, the CNMC is responsible for “applying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62 A complete transcription is included in Annex IV to the PCH.</w:t>
      </w:r>
    </w:p>
    <w:p>
      <w:r>
        <w:t>64</w:t>
      </w:r>
    </w:p>
    <w:p>
      <w:r>
        <w:t>Consequently, the jurisdiction to resolve this sanctioning procedure corresponds to the Competition Chamber of the CNMC Council.</w:t>
      </w:r>
    </w:p>
    <w:p>
      <w:r>
        <w:t>SECOND. OBJECT OF THE RESOLUTION AND APPLICABLE REGULATIONS</w:t>
      </w:r>
    </w:p>
    <w:p>
      <w:r>
        <w:t>In the present sanctioning file, this Chamber must resolve, based on the instruction carried out by the DC as recorded in the Report and Proposal for Resolution, whether the investigated practices constitute an infringement of Article 1 of the LDC (Article 1 of Law 16/1989 and Law 15/2007) and Article 101 of the TFEU.</w:t>
      </w:r>
    </w:p>
    <w:p>
      <w:r>
        <w:t>This file concerns conduct that has allegedly been maintained continuously over time at least from 2006 to 2016.</w:t>
      </w:r>
    </w:p>
    <w:p>
      <w:r>
        <w:t>As the Competition Authority has repeatedly pointed out in its resolutions63, it would be indifferent to apply one legal provision or another; however, according to the provisions so far in Article 128 of Law 30/1992, of November 26, and which Law 40/2015, of October 1, on the Legal Regime of the Public Sector also includes (art. 26), it must be the one that is more beneficial for the infringer in the specific case, in accordance with the principles of non-retroactivity of the more unfavorable sanctioning norm and retroactivity of the more favorable one.</w:t>
      </w:r>
    </w:p>
    <w:p>
      <w:r>
        <w:t>The more favorable application of Law 15/2007 has been recognized on previous occasions not only by the Council of the CNC and the CNMC but also by the National Court64. This appreciation of Law 15/2007 as the more favorable law results, among other elements of judgment, from the non-existent system of grading infringements in previous legislation, the establishment of maximum limits on the amount of some sanctions lower than the general amount provided for in Article 10 of Law 16/1989, the reduction of limitation periods for some of the typified conduct, or the possibility, common to all who have participated in a cartel, to request exemption from the payment of the fine or reduction of the amount of the fine under the leniency program, introduced precisely by Law 15/2007.</w:t>
      </w:r>
    </w:p>
    <w:p>
      <w:r>
        <w:t>In view of the more beneficial nature of Law 15/2007, this is the applicable norm to the present sanctioning procedure.</w:t>
      </w:r>
    </w:p>
    <w:p>
      <w:r>
        <w:t>On the other hand, in this file, the affected market in which the infringing conduct takes place encompasses the entire national territory. To the extent that the facts under investigation involve the provision of the financial derivative for hedging the interest rate associated with the syndicated loan throughout the national territory, 63 By way of example, resolutions of the Council of the CNC of February 23, 2012, Expte. S/0244/10 Navieras Baleares, and of October 15, 2012, Expte. S/0318/10 Exportación de sobres, and Resolutions of the CNMC of September 22, 2014, Expte. S/0428/12 Palés, of December 4, 2014, Expte. S/0453/2 Rodamientos Ferroviarios, and of May 28, 2015 (Expte. S/0471/13 Concesionarios AUDI/SEAT/VW).</w:t>
      </w:r>
    </w:p>
    <w:p>
      <w:r>
        <w:t>64 Thus, judgment of April 2, 2014, appeal 194/2011, L’OREAL ESPAÑA S.A. and L’OREAL S.A.</w:t>
      </w:r>
    </w:p>
    <w:p>
      <w:r>
        <w:t>65</w:t>
      </w:r>
    </w:p>
    <w:p>
      <w:r>
        <w:t>a substantial part of the territory of the European Union, and taking into account the affected financial product markets and the position and importance of the companies involved, the criterion of affecting intra-community trade is met, developed in the European Commission's Communication on guidelines relating to the concept of effect on intra-community trade, which determines the application of Article 101 of the TFEU, in accordance with Regulation 1/2003. The investigated conduct is indeed likely to appreciably affect intra-community trade, given that any potential community lender operating in Spanish territory and requiring a syndicated loan may be affected by the practices subject to this file.</w:t>
      </w:r>
    </w:p>
    <w:p>
      <w:r>
        <w:t>THIRD. PROPOSAL FOR RESOLUTION OF THE INSTRUCTING BODY</w:t>
      </w:r>
    </w:p>
    <w:p>
      <w:r>
        <w:t>In the reference file, the investigation by the Competition Directorate has been based on the responses to the information requests sent to the ICO, as well as to the financial entities and third-party clients of these. The information provided by all of them, and especially the audios and emails sent by the banking entities, has served to instruct the file, without the need to carry out any home inspections at the premises of the financial entities.</w:t>
      </w:r>
    </w:p>
    <w:p>
      <w:r>
        <w:t>Upon completion of the instruction of the file, taking into account the information contained therein, the DC in its report submitted on April 26, 2017, proposes to this Chamber the following charges, in accordance with the provisions of Article 50.4 of the LDC:</w:t>
      </w:r>
    </w:p>
    <w:p>
      <w:r>
        <w:t>“First. That the existence of conduct prohibited by Article 1 of Law 16/1989 and Law 15/2007, as well as by Article 101 of the TFEU, consisting of the linking, coordination, and fixing of the price of the options used as coverage of the interest rate risk in syndicated loans in project finance, be declared.</w:t>
      </w:r>
    </w:p>
    <w:p>
      <w:r>
        <w:t>Second. That CAIXABANK, S.A., BANCO SANTANDER S.A., BANCO DE SABADELL, S.A. and BANCO BILBAO VIZCAYA ARGENTARIA, S.A. be declared responsible for said infringement.</w:t>
      </w:r>
    </w:p>
    <w:p>
      <w:r>
        <w:t>Third. That the prohibited conduct be classified, for the purposes of determining the sanction to be imposed, as a very serious infringement of Article 62.4.a) of the LDC.</w:t>
      </w:r>
    </w:p>
    <w:p>
      <w:r>
        <w:t>Fourth. That the sanction provided for in Article 63 of the LDC be imposed, taking into account the criteria for determining the sanction provided for in Article 64 of the LDC.</w:t>
      </w:r>
    </w:p>
    <w:p>
      <w:r>
        <w:t>Fifth. That CAIXABANK, S.A., BANCO SANTANDER S.A., BANCO DE SABADELL, S.A. and BANCO BILBAO VIZCAYA ARGENTARIA, S.A. be ordered to refrain from engaging in the sanctioned conduct and any other conduct of equivalent effect in the future.”</w:t>
      </w:r>
    </w:p>
    <w:p>
      <w:r>
        <w:t>66</w:t>
      </w:r>
    </w:p>
    <w:p>
      <w:r>
        <w:rPr>
          <w:b/>
        </w:rPr>
        <w:t>[Pages 67–69]</w:t>
      </w:r>
    </w:p>
    <w:p>
      <w:r>
        <w:t>imposition of the sanction</w:t>
        <w:br/>
        <w:t>provided for in Article 64 of the LDC.</w:t>
        <w:br/>
        <w:t>Fifth. That CAIXABANK, S.A., BANCO SANTANDER S.A., BANCO DE SABADELL, S.A. and BANCO BILBAO VIZCAYA ARGENTARIA, S.A. be ordered to refrain from engaging in the sanctioned conduct and any other conduct of equivalent effect in the future.”</w:t>
      </w:r>
    </w:p>
    <w:p>
      <w:r>
        <w:t>According to what is expressed in section (173) of the PR, from the facts established in the file, the instructing body understands that there is evidence of “a single and continuous infringement of Articles 1 LDC and 101 TFEU, arising from the coordinated action among the banking entities for the provision of the financial derivative for hedging the interest rate associated with the syndicated loan, which has a restrictive object and effect on competition, by imposing disproportionate conditions on the borrower, eliminating competition among these banking entities, and setting prices in a concerted manner.”</w:t>
      </w:r>
    </w:p>
    <w:p>
      <w:r>
        <w:t>This coordinated action would materialize through two interrelated behaviors (section 174 of the PR):</w:t>
        <w:br/>
        <w:t>- The unjustified linkage of the contracting of the derivative for interest rate hedging with the banking entities that provide the syndicated loan.</w:t>
        <w:br/>
        <w:t>- The coordination among the banking entities, behind the client's back, for the setting of the derivative's price.</w:t>
      </w:r>
    </w:p>
    <w:p>
      <w:r>
        <w:t>As expressed in the DC, it is “the obligation to contract the interest rate hedging with the same entities with which the syndicated loan has been contracted that allows the entities to coordinate and agree on the setting of the derivative's price, preventing competition both from third parties and among themselves.”</w:t>
      </w:r>
    </w:p>
    <w:p>
      <w:r>
        <w:t>Furthermore, the instructing body notes, “there would be no objective justification for these behaviors nor would the exemption provided for in Articles 1.3 LDC and 101.3 TFEU apply to them, insofar as, as previously verified, it is disproportionate to require the syndicated contracting of the financial derivative for interest rate hedging.”</w:t>
      </w:r>
    </w:p>
    <w:p>
      <w:r>
        <w:t>In conclusion, the Directorate of Competition considers that it has been established in the present file that “at least between the years 2006 and 2016, BBVA, SANTANDER, CAIXABANK, and SABADELL have engaged in collusive conduct, contrary to Articles 1 of the LDC and 101 of the TFEU, consisting of the coordination for the setting of a common price for interest rate derivatives that forced contracting with themselves as hedging for the interest rate risk of a syndicated loan.”</w:t>
      </w:r>
    </w:p>
    <w:p>
      <w:r>
        <w:t>FOURTH. ASSESSMENT OF THE COMPETITION CHAMBER</w:t>
        <w:br/>
        <w:t>4.1 Delimitation of the conduct constituting an infringement. Illegality</w:t>
        <w:br/>
        <w:t>As expressed in section (248) of the PCH, the object of the present file is to assess whether the coordinated action of the banking entities involved in setting the price65 of the derivatives, used as hedging for interest rate risk in syndicated loans, constitutes a restriction on competition and, in particular, an infringement of Article 1 of the LDC and Article 101 of the TFEU.</w:t>
      </w:r>
    </w:p>
    <w:p>
      <w:r>
        <w:t>Such coordinated action, as already stated, has been evidenced in the file through the facts outlined in section 6 of the aforementioned PCH (paragraphs 115 to 247), summarized in section IV of this resolution.</w:t>
      </w:r>
    </w:p>
    <w:p>
      <w:r>
        <w:t>Article 1 of the LDC prohibits “any agreement, decision or collective recommendation, or concerted or consciously parallel practice that has as its object, produces or may produce the effect of preventing, restricting or distorting competition in whole or in part of the national market and, in particular, those consisting of a) The direct or indirect fixing of prices or other commercial or service conditions.”</w:t>
      </w:r>
    </w:p>
    <w:p>
      <w:r>
        <w:t>Additionally, Article 101 of the TFEU establishes that “All agreements between companies, decisions by associations of companies and concerted practices that may affect trade between Member States and that have as their object or effect the prevention, restriction or distortion of competition within the internal market shall be incompatible with the internal market and shall be prohibited, and in particular those consisting of: a) directly or indirectly fixing purchase or selling prices or other transaction conditions.”</w:t>
      </w:r>
    </w:p>
    <w:p>
      <w:r>
        <w:t>Without prejudice to the fact that, in the section relating to liability, this Chamber will rule on the specific individualization of the charges made against each of the involved entities, it is for the Chamber to assess, based on the proposal raised by the instructing body, whether the investigated practices constitute the single and continuous infringement of Articles 1 of the LDC and 101 of the TFEU proposed by the instructing body.</w:t>
      </w:r>
    </w:p>
    <w:p>
      <w:r>
        <w:t>To determine the existence of the aforementioned infringement, the Chamber considers it necessary to conduct a separate analysis of the two behaviors that the Directorate of Competition analyzes in the file as constitutive of the same, which allows verifying the effective infringement of the aforementioned provisions in the actions of the accused entities.</w:t>
      </w:r>
    </w:p>
    <w:p>
      <w:r>
        <w:t>In this regard, it is deemed appropriate to first analyze the conduct of the entities consisting of the coordination to set the economic conditions of the interest rate risk hedging of the syndicated loan intended for project finance, which was the conduct initially assessed as an infringement by the Directorate of Competition in the PCH notified on January 13, 2017, and on which the parties submitted the allegations they deemed appropriate in February 2017, as recorded in antecedent 21 of this resolution.</w:t>
      </w:r>
    </w:p>
    <w:p>
      <w:r>
        <w:t>Next, the Chamber will proceed to analyze the conduct consisting of the unjustified linkage between the granting of the syndicated loan and the contracting of the derivative for interest rate hedging with the same banking entities that provide the syndicated loan, the second conduct included – along with the previous one – as part of the single and continuous infringement of Articles 1 of the LDC and 101 of the TFEU finally charged by the Directorate of Competition in the resolution proposal notified to the parties on March 31, 2017. On this charge, the parties also presented the allegations they deemed appropriate throughout April 2017, as described in antecedent 23 of this resolution.</w:t>
      </w:r>
    </w:p>
    <w:p>
      <w:r>
        <w:t>4.1.1. Coordination to set the economic conditions of the interest rate risk hedging of the syndicated loan intended for project finance</w:t>
        <w:br/>
        <w:t>In this section, the Chamber will assess whether the concerted action among the accused banking entities, aimed at setting the price of the derivative (which creates a false appearance for the client that such price was established, in accordance with what was contractually agreed, “under market conditions”) constitutes an infringement of Articles 1 of the LDC and 101 of the TFEU.</w:t>
      </w:r>
    </w:p>
    <w:p>
      <w:r>
        <w:t>As stated, the aforementioned conduct was charged as an infringement to the four banking entities in the PCH (section 265 of the PCH) and subsequently included as part of a single and continuous infringement of Articles 1 of the LDC and 101 TFEU finally charged to the banks by the Directorate of Competition in the resolution proposal (section 174 of the PR).</w:t>
      </w:r>
    </w:p>
    <w:p>
      <w:r>
        <w:t>As will be developed in detail below, in the present file, the Chamber considers that the DC has established that the object of the coordination has been illicit and has sought to distort the conditions of competition. Notwithstanding this, the DC has also established that such behavior has made it impossible to generate efficiencies for the borrowers (the only justification for the linkage and coordination among the banks), so the effects of the behaviors have been negative for the clients contracting the derivatives.</w:t>
      </w:r>
    </w:p>
    <w:p>
      <w:r>
        <w:t>As indicated by the DC in the PCH (249), it is not so much the existence of a single interest rate set for the floor or a single interest rate set for the swap that is questioned, but whether the actions of the entities in setting the same are done under market conditions or through a concertation contrary to the competition rules.</w:t>
      </w:r>
    </w:p>
    <w:p>
      <w:r>
        <w:t>The investigation carried out by the DC has allowed determining that the syndicated financing contracts formalized by the involved entities analyzed in this file include the obligation to contract a hedging instrument that, as a general rule, must be contracted with the same creditor entities bilaterally and independently and establish that the financial derivative will be contracted “under market conditions,” as detailed in the Resolution Proposal of the DC – paragraphs (182) to (194) of the PCH, especially paragraph (189).</w:t>
      </w:r>
    </w:p>
    <w:p>
      <w:r>
        <w:rPr>
          <w:b/>
        </w:rPr>
        <w:t>[Pages 70–72]</w:t>
      </w:r>
    </w:p>
    <w:p>
      <w:r>
        <w:t>This Competition Chamber finds that the file contains sufficient evidence and probative elements to substantiate the effective commission of the conduct attributed, regarding the illicit coordination for setting a price, higher than market conditions, of the derivatives used as coverage for interest rate risk in syndicated loans for project finance. This evidence is collected in (i) the complaint itself from VAPAT, (ii) the information gathered by the DC as a result of information requests sent to the four entities involved, to the ICO, and to a series of companies that, according to the information provided by the former, would have subscribed to derivatives for the coverage of interest rate risk in syndicated loans intended for project finance; (iii) emails exchanged between the entities and the client and (iv) conversations between the banks prior to the closing of the operations in which the setting of the floor rate and/or the fixed swap rate was addressed. Additionally, this Chamber agreed on September 21, 2017, to carry out complementary actions and evidence gathering, by virtue of which a report from the Bank of Spain was requested (folios 47892-47903).</w:t>
      </w:r>
    </w:p>
    <w:p>
      <w:r>
        <w:t>The DC67 has analyzed a first list of 2,008 operations carried out between 2006 and 2008 that, according to the entities involved, correspond to derivatives associated with syndicated loans68 and a second list of 545 operations, of the same nature as the previous ones, carried out between 2012 and 201669. Through various requests to companies and banks, access has been obtained and the documentation (written and, in certain cases, in the form of recordings) related to different projects financed with syndicated loans and the associated hedging instruments has been studied. From those hedging instruments, a series of collars and swaps from both the VAPAT Group (BAJOZ, HORNIJA, ESQUILVENT, and CYL) and other companies have been studied and are included in Annexes I and III of the PCH70.</w:t>
      </w:r>
    </w:p>
    <w:p>
      <w:r>
        <w:t>The facts established as a result of the investigation reveal the conduct developed by the involved entities of collusion for setting the economic conditions of the derivative away from market conditions, economic conditions that are determined by the level or "price" agreed for the floor rate or the fixed rate of the swap. Indeed, this Chamber agrees with the analysis of the DC that the information contained in the file allows us to conclude that the economic conditions resulting from the coverage effectively offered to clients are not those committed in the framework of the contracting of the hedging instrument, but rather other adulterated ones – in what concerns this file – with implicit margins imposed in a multilateral and concerted manner by all the derivative supplying entities. These implicit margins were introduced by setting the floor rate of the collar or the fixed rate of the swap above the "market conditions" price through the agreement between the entities prior to the closing of the hedging operation, and without the client's knowledge of such coordination.</w:t>
      </w:r>
    </w:p>
    <w:p>
      <w:r>
        <w:t>This Competition Chamber considers that the agreement among the involved banks to set a single reference price for the client's coverage (the floor rate or the fixed rate of the swap), higher than the market price that would have been established in the absence of such agreement, constitutes a restriction by object.</w:t>
      </w:r>
    </w:p>
    <w:p>
      <w:r>
        <w:t>In the assessment of collusive conduct, given its special potential to distort competition, proof of actual effects contrary to competition is not required when it has been determined that they are restrictive by their object. For the purposes of assessing the conduct included in Article 1 of the LDC, what is relevant is the ability to achieve the goal of distorting free competition, since the infringing type does not require that the goal of distorting free competition is effectively achieved; it is sufficient that it is aimed at that goal in the execution of the conduct, whether or not it is successful71.</w:t>
      </w:r>
    </w:p>
    <w:p>
      <w:r>
        <w:t>However, the Chamber considers that the conduct attributed has produced effects in the market, duly evidenced during the investigation of the procedure, with a negative effect, through the prices set collusively, on the quality of the derivatives, that is, on the value of the coverage for the client, which results in being negative instead of "at zero cost."</w:t>
      </w:r>
    </w:p>
    <w:p>
      <w:r>
        <w:t>Finally, the Chamber considers that the practices investigated cannot be classified as ancillary restrictions to a legitimate business practice nor are they exempt from prohibition under the application of Articles 1.3 of the LDC and 101.3 of the TFEU, as they do not meet the requirements set forth in those sections for the application of the legal exemption provided therein.</w:t>
      </w:r>
    </w:p>
    <w:p>
      <w:r>
        <w:t>- Restriction by object</w:t>
      </w:r>
    </w:p>
    <w:p>
      <w:r>
        <w:t>In the detailed documentation that serves to articulate the syndicated loan operation and in which it refers to the coverage, it is exclusively indicated, as an indication of how the floor rate of the collar or the fixed rate of the swap is set, that it will be determined "under market conditions."</w:t>
      </w:r>
    </w:p>
    <w:p>
      <w:r>
        <w:t>It is relevant to clarify that the mention that these rates will be set "under market conditions" must be placed in the context of the market affected by the infringement. There is no organized derivatives market for the coverage of interest rate risk of syndicated loans intended for project finance. The coverage in these cases is a customized derivative agreed upon between the parties (OTC), non-standardized, which cannot be traded as such in organized markets and for which there is therefore also no publicly quoted price that can be easily contrasted by the client of the product. By committing to offer the derivative "under market conditions," the banks are obliged to offer the derivative under the best conditions adjusted to the situation of the reference market at that time ("fair value"), so that the hedging instrument has no cost for the client. Having no cost for the client means that they would not have to pay a premium for the interest rate coverage, nor acquire a hedging instrument with a negative value for them at the time of contracting.</w:t>
      </w:r>
    </w:p>
    <w:p>
      <w:r>
        <w:t>Despite the absence of an organized derivatives market for the coverage of interest rate risk of syndicated loans, the banks providing these coverages consult organized markets that trade standardized interest rate derivatives, to use those prices as data in calculating the value of the hedging instrument they offer to the client.</w:t>
      </w:r>
    </w:p>
    <w:p>
      <w:r>
        <w:t>As explained in the first section of this resolution, in the case of the collar, once the cap rate is set (for which the client would have to pay a premium to the supplying bank), for each bank there is a single floor rate (for which the bank would have to pay a premium to the client) that ensures that the cap premium and the floor premium are equal. That floor rate would be the "market price," the only one that ensures that the net premium – the one the client pays for the cap, minus the one they receive for the floor, which is equal to the premium the client must pay for the collar – is zero. The agreement among the investigated banks, providers of the coverage, to significantly raise the floor rate above the "market conditions price" (once the cap rate is set), causes the value of the collar for the client at the time of contracting to be negative, not zero. This would imply that the client should have received at that moment a premium from the bank equal to that negative value; if they do not receive it, that negative value equates to an implicit margin in favor of the banks, which the client assumes unknowingly at the time of contracting, contrary to what is provided in the hedging contract72.</w:t>
      </w:r>
    </w:p>
    <w:p>
      <w:r>
        <w:t>In the case of the swap, the process is analogous: according to the market conditions in the organized interest rate swap markets, there is only one fixed rate of the swap for which the value of the derivative is zero for both the client and each bank, and that fixed rate is the "market conditions price." The agreement among the involved entities to set a fixed swap rate higher than the "market conditions price" results in the derivative having a negative value for the client and a positive value for the banks from the very moment of contracting, as it increases the likelihood that the settlements of the derivative translate into payments from the client to the banks participating in the conduct analyzed here. As with the collars, this would imply that the client should receive at the time of contracting a premium from the bank equal to that negative value; if they do not receive it, that negative value equates to an implicit margin in favor of the banks, which the client assumes without their knowledge at the time of contracting, contrary to what is provided in the hedging contract.</w:t>
      </w:r>
    </w:p>
    <w:p>
      <w:r>
        <w:t>72 The client will subsequently pay that margin, to a greater or lesser extent, depending on the actual evolution of the reference interest rates.</w:t>
      </w:r>
    </w:p>
    <w:p>
      <w:r>
        <w:rPr>
          <w:b/>
        </w:rPr>
        <w:t>[Pages 73–75]</w:t>
      </w:r>
    </w:p>
    <w:p>
      <w:r>
        <w:t>the banks, which the client assumes without their knowledge at the time of contracting, contrary to what is provided in the hedging contract.</w:t>
      </w:r>
    </w:p>
    <w:p>
      <w:r>
        <w:t>72 The client will subsequently pay that margin, to a greater or lesser extent, depending on the actual evolution of the reference interest rates.</w:t>
      </w:r>
    </w:p>
    <w:p>
      <w:r>
        <w:t>72</w:t>
      </w:r>
    </w:p>
    <w:p>
      <w:r>
        <w:t>The instruction of the file has allowed to establish73 that the banks operated in such a way that, from the client's perspective, the perception was that the common offer they made of the floor rate or the fixed swap rate was carried out through a process in which all financial entities had access to the same market price of the floor or the swap, a unique price for all that did not contain margins or commissions, highly dependent on market conditions and, therefore, very variable, which was directly passed on to the client for their acceptance. The offer of a specific rate was sometimes explained to the client by referring to "volatility," or with references to the "market update [of] the floors at the time of closing"74. Given that the methodologies for calculating the price under market conditions are complex, varied, and different for each entity, this value was not easily observable for the client, who at most –if they have specialized technical advice– could access a value approximate to the market. In such a context, prior to the closing of the hedge, the collusive behavior of the entities providing the derivative product occurs, which consensually unify upwards the rate or "price" offered to the client –the floor rate of the collar or the fixed rate of the swap, depending on the case– so that it is higher than the "market price."</w:t>
      </w:r>
    </w:p>
    <w:p>
      <w:r>
        <w:t>This Chamber understands that the distortion of competition, consisting of the collusion analyzed in this file to set prices, which determine the economic conditions of the interest rate risk coverage of the syndicated loan behind the client's back, constitutes a restriction by object, both by the content of the conduct and by its objective, also taking into account the legal and economic context in which the practice in question develops. The nature of the hedging service provided does not justify, much less require, that the entities involved colluded beforehand to set economic conditions for the interest rate risk coverage that are essentially detrimental to the client, as they are far from "fair value." The conduct being analyzed is suitable per se to generate negative effects, through the collusively agreed prices, on the quality of the contracted derivatives, that is, on the value of the coverage for the client, which results in being negative instead of cost-free. This reveals a distortion of competition sufficiently harmful for the conduct to be classified as an infringement by object, which makes it unnecessary to examine the effects of the same to configure it as a violation of Article 1.1 of the LDC and 101 of the TFEU, in the sense of the judgment of the CJEU of September 11, 2014 (case C-67/13 P Groupement des cartes bancaires).</w:t>
      </w:r>
    </w:p>
    <w:p>
      <w:r>
        <w:t>Contrary to what the involved banks allege, the evidence collected is not limited to "unfortunate telephone conversations recorded in the PCH regarding two operations," "unfortunate jokes among operators"75, "recordings of certain specific operations […]</w:t>
      </w:r>
    </w:p>
    <w:p>
      <w:r>
        <w:t>73 As can be corroborated in the audio recordings of the closings of the analyzed operations.</w:t>
      </w:r>
    </w:p>
    <w:p>
      <w:r>
        <w:t>74 Email dated March 25, 2010, addressed to client VAPAT by SABADELL with a copy to the rest of the involved entities, folio 690.</w:t>
      </w:r>
    </w:p>
    <w:p>
      <w:r>
        <w:t>75 Allegations of CAIXABANK to the PR, folio 46637.</w:t>
      </w:r>
    </w:p>
    <w:p>
      <w:r>
        <w:t>73</w:t>
      </w:r>
    </w:p>
    <w:p>
      <w:r>
        <w:t>taken out of context"76. The established facts transcend what some of the investigated entities consider conversations between "professionals" that, out of context, "can lead to misinterpretations"77. The investigated banks have made a significant evidentiary effort, both in their allegations and through the expert reports provided78, to argue that the practice of "coordinating" the price of the coverage, a practice they do not deny, responds to the need that, when the derivative is provided by the same banks with which the syndicated loan is contracted, "the closing price of the derivative is the same for all banks." Furthermore, the involved entities allege that such is the usual practice in other jurisdictions in our environment, where, in syndicated derivatives, "the floor or the fixed rate, like the cap, must be the same for all hedging banks"79. Such argumentation is directly connected to the allegations regarding the condition of a unique product, from the economic perspective, of financing (senior syndicated loan at a variable rate) and coverage (derivative), which would be nothing more than two components of the same product80.</w:t>
      </w:r>
    </w:p>
    <w:p>
      <w:r>
        <w:t>However, such allegations do not have the capacity to distort the reproach made, which consists of the fact that, in the absence of illicit coordination, each bank would set its floor or swap price based on its portfolio or position against the risk, at a price set "under market conditions," which would provide the client with the necessary contrasting element and discipline the entities to reach a common price that would indeed respond to the contractual commitment to determine the price of the coverage "under market conditions." It is the prior collusive agreement of the banks that is imputed as an infringement, which precedes the final negotiation with the client through teleconference, that allows the investigated entities to eliminate the uncertainty inseparable from autonomous action under market conditions, to know in advance the offers of the other banks in the syndicate and to illicitly agree on a price more beneficial for them, behind the back and with the total ignorance of the client.</w:t>
      </w:r>
    </w:p>
    <w:p>
      <w:r>
        <w:t>Against this consideration, the involved entities do not provide justification for their conduct that can be accepted as sufficient merely by stating that "it is inevitable that the final price aligns with the price of the entity that quotes the higher individual price"81 or that "the marginality in the price is an intrinsic reality to all syndicates, whether in financing or in the derivative"82. As can be inferred from the established facts in this file, the way of determining the economic conditions of the derivative in the analyzed operations is far from being limited to its fixation at the marginal price when there were justifiable differences between the quotations obtained by the different entities.</w:t>
      </w:r>
    </w:p>
    <w:p>
      <w:r>
        <w:t>The audios collected during the instruction related to the analyzed financial derivative operations reveal that the banks took into account, when determining the prices to be offered for the coverage, whether the client could have information about market levels with which to compare their offers (folio 22071: [Confidential]; folios 3814 and 22060: [Confidential]; folio 5535: [Confidential]).</w:t>
      </w:r>
    </w:p>
    <w:p>
      <w:r>
        <w:t>The conduct developed by the investigated banks in setting the economic conditions of the coverage exceeded the alleged objective of "only ensuring the necessary certainty to allow the viability of the loan"83, configuring, on the contrary, an illicit coordination of the economic conditions of the derivative at levels above those of the market, which constitutes a breach of what was agreed with the client, but without the client being able to identify this unfavorable situation at the time of contracting the coverage.</w:t>
      </w:r>
    </w:p>
    <w:p>
      <w:r>
        <w:t>In their allegations to the PR, SANTANDER states (folio 46428) that the conduct of the parties, when syndicating the derivative, does not fall within the scope of application of Articles 1 of the LDC and 101 of the TFEU, "resulting legitimate for the entities to act as a unit and make a joint offer" and being "completely irrelevant, from the perspective of the application of competition regulations, whether the unit price offered by the entities complies, or not, with what is stipulated in the agreement they have signed with the client." Subsequently adding (folio 46431) that "the question raised by the DC regarding whether the investigated banks applied, or not, the market price they had multilaterally agreed with the client or whether, on the contrary, they added a markup, is a question that is completely foreign to the scope of competition."</w:t>
      </w:r>
    </w:p>
    <w:p>
      <w:r>
        <w:t>The Chamber cannot accept such argumentation as the observed dynamics of action of the banks in the established facts shows a radically different reality, where the individual autonomous offers of the banks in the syndicate made transparently without a prior collusive agreement –even if it were as a preliminary step to reach a joint agreement with the client– would allow the determination of the price of the derivative under conditions significantly different from the illicit and jointly agreed offer made in advance among all the affected banks to set prices above those of the market.</w:t>
      </w:r>
    </w:p>
    <w:p>
      <w:r>
        <w:t>By collusively agreeing on the offers to be communicated later to the client, and exchanging information about their positions in the market and the offers they can subsequently make without the client's knowledge, the implicated banking entities achieve that the determination of the price of the derivative is made in a way more beneficial to them and at a higher cost to the client.</w:t>
      </w:r>
    </w:p>
    <w:p>
      <w:r>
        <w:t>83 Allegations of BBVA to the PCH, folio 44225.</w:t>
      </w:r>
    </w:p>
    <w:p>
      <w:r>
        <w:rPr>
          <w:b/>
        </w:rPr>
        <w:t>[Pages 76–78]</w:t>
      </w:r>
    </w:p>
    <w:p>
      <w:r>
        <w:t>nature, no puede considerarse que dicha operación o actividad esté sujeta a la prohibición de restricciones de la competencia, aunque pueda tener efectos restrictivos sobre la competencia”.</w:t>
      </w:r>
    </w:p>
    <w:p>
      <w:r>
        <w:t>Por lo tanto, la Sala considera que la concertación entre las entidades bancarias imputadas para establecer un precio común de cobertura no puede ser considerada como una restricción accesoria a una colaboración empresarial legítima, ya que no cumple con los requisitos de necesidad y proporcionalidad exigidos por la jurisprudencia.</w:t>
      </w:r>
    </w:p>
    <w:p>
      <w:r>
        <w:t>En conclusión, las conductas colusorias de las entidades bancarias imputadas han generado una asimetría de información que perjudica al cliente y distorsiona el mercado, lo que contraviene las normas de competencia. La imposición de condiciones perjudiciales para los clientes y la falta de transparencia en la fijación de precios son prácticas que deben ser sancionadas para garantizar un mercado justo y competitivo.</w:t>
      </w:r>
    </w:p>
    <w:p>
      <w:r>
        <w:rPr>
          <w:b/>
        </w:rPr>
        <w:t>[Pages 79–81]</w:t>
      </w:r>
    </w:p>
    <w:p>
      <w:r>
        <w:t>neutrality or its positive effect in the field of competition, a restriction on the commercial autonomy of one or more participants in that operation or activity is also not covered by that principle if such restriction is objectively necessary to carry out the aforementioned operation or activity and proportionate to the objectives of one or the other (judgment of September 11, 2014, MasterCard and others/Commission, C-382/12 P, Rec, EU:C:2014:2201, paragraph 89 and cited case law).</w:t>
      </w:r>
    </w:p>
    <w:p>
      <w:r>
        <w:t>And it adds:</w:t>
      </w:r>
    </w:p>
    <w:p>
      <w:r>
        <w:t>70 Indeed, when it is not possible to dissociate such a restriction from the main operation or activity without compromising their existence and objectives, the compatibility of that restriction with Article 101 TFEU must be examined together with the compatibility of the main operation or activity to which it is ancillary, even if, taken in isolation, that restriction could seem, at first glance, to fall within the prohibition principle of Article 101 TFEU, paragraph 1 (judgment of September 11, 2014, MasterCard and others/Commission, C-382/12 P, EU:C:2014:2201, paragraph 90).</w:t>
      </w:r>
    </w:p>
    <w:p>
      <w:r>
        <w:t>71 When determining whether a restriction can evade the prohibition set forth in Article 101 TFEU, paragraph 1, on the grounds that it is ancillary to a main operation that is not contrary to competition, it must be ascertained whether it would be impossible to carry out that operation without the restriction in question. The fact that such operation would only be more difficult to carry out, or would generate fewer benefits without the restriction in question, cannot be considered that such restriction has the character of objectively necessary required to be qualified as ancillary. Indeed, such an interpretation would lead to extending that concept to restrictions that are not strictly essential to carry out the main operation. That result would be contrary to the useful effect of the prohibition set forth in Article 101 TFEU, paragraph 1 (judgment of September 11, 2014, MasterCard and others/Commission, C-382/12 P, EU:C:2014:2201, paragraph 91).</w:t>
      </w:r>
    </w:p>
    <w:p>
      <w:r>
        <w:t>The involved financial entities consider it necessary for all to offer the same price for the coverage, because if each entity offered different prices to the client (that is, if they set the floor rate or swap at different levels), the balance in the banks' guarantees would disappear, as some banks would start making payments to the client before others, or receiving payments from the client. This argument coincides with the report from the Bank of Spain regarding the usual practices in interest rate coverage linked to syndicated loans.</w:t>
      </w:r>
    </w:p>
    <w:p>
      <w:r>
        <w:t>However, although it could be accepted that banks had to offer a single price to the client for the hedging instrument, it would have to be ensured that the price offered is the best possible, that is, the market price that ensures compliance with the condition of not incurring a cost for the client, and for that, the process by which that price is determined should be clear, and such process should be transparent to the client.</w:t>
      </w:r>
    </w:p>
    <w:p>
      <w:r>
        <w:t>It has been established in the file that the accused banks have collusively agreed on the prices of the hedging instruments they offered to clients and have used that agreement to offer the interest rate risk hedging instrument at prices higher than those that would have ensured compliance with the agreed conditions, mainly that they were hedging instruments at zero cost for the clients. This is in any case disproportionate to the intended purpose, which is the coverage of interest rate risk.</w:t>
      </w:r>
    </w:p>
    <w:p>
      <w:r>
        <w:t>As stated by the Court of Justice, if the elimination of coordination to raise the price of the derivative only makes such financing more difficult to achieve or generates lower profits “it cannot be considered that such restriction has the character of objectively necessary required to be qualified as ancillary.”</w:t>
      </w:r>
    </w:p>
    <w:p>
      <w:r>
        <w:t>- The possible application of the legal exemption (art. 1.3 LDC and 101.3 TFEU)</w:t>
      </w:r>
    </w:p>
    <w:p>
      <w:r>
        <w:t>Despite the allegations raised by the parties (BBVA, folios 46979-46985, SANTANDER folios 46428-46429), the Chamber cannot consider that the conduct attributed is exempt from prohibition under Articles 1.3 of the LDC and 101.3 of the TFEU. The truth is that the alleged cost efficiencies derived from the integration of the activity of the involved entities in the phase of providing the derivative do not actually materialize due precisely to the collusive conduct that is analyzed and reproached in this resolution. The unit coverage offered to the client is not the most suitable for their needs and is not provided, contrary to what was contractually agreed, under market conditions. And it is precisely that collusion that allows the involved banks to impose an interest rate coverage under economic conditions far from the “market price” and enables them to ensure that the hedging instrument has a negative value for the client and is favorable or beneficial exclusively, and always, for the investigated banks.</w:t>
      </w:r>
    </w:p>
    <w:p>
      <w:r>
        <w:t xml:space="preserve">According to paragraph 3 of Article 1 of the LDC, “the prohibition of paragraph 1 shall not apply to agreements, decisions, recommendations, and practices that contribute to improving the production or marketing and distribution of goods and services or to promoting technical or economic progress, without any prior decision being necessary for that purpose, provided that: </w:t>
        <w:br/>
        <w:t xml:space="preserve">a) They allow consumers or users to participate equitably in their advantages. </w:t>
        <w:br/>
        <w:t xml:space="preserve">b) They do not impose on the interested companies restrictions that are not indispensable for achieving those objectives, and </w:t>
        <w:br/>
        <w:t>c) They do not allow the participating companies the possibility of eliminating competition regarding a substantial part of the products or services concerned.”</w:t>
      </w:r>
    </w:p>
    <w:p>
      <w:r>
        <w:t>Paragraph 3 of the current Article 101 of the TFEU emphasizes the requirement of identical requirements and conditions: improvement of production or distribution (or promotion of technical or economic progress), equitable participation of users in the resulting benefit, absence of non-indispensable restrictions to achieve such objectives, and impossibility of eliminating competition regarding a substantial part of the affected products.</w:t>
      </w:r>
    </w:p>
    <w:p>
      <w:r>
        <w:t>In the opinion of the Chamber, the involved banks have not successfully demonstrated in their allegations that the potential indispensable nature of the restriction, consisting of the banks of the syndicate themselves providing the derivative, should translate into the subsequent conduct of significantly and concertedly raising the execution price of the floor in the case of the collar, or the fixed interest rate in the case of the swap, justifying it later by stating that “otherwise the operation would not be viable.” It has also not been demonstrated that with this agreed price increase the accused entities allow consumers or users (in this case their clients) to participate “equitably” in the advantages of such practice, as required by the norm that allows the legal exemption of the practice. On the contrary, the analysis of the facts established during the investigation of this file shows that through the attributed practice, the banks withdraw or drain from their client part of the advantages obtained through the syndication of the credit, unilaterally benefiting from agreeing on conditions far from market conditions in a context where the client has, in fact, very limited possibilities of changing provider.</w:t>
      </w:r>
    </w:p>
    <w:p>
      <w:r>
        <w:t>In conclusion, the Chamber considers that the collusive price coordination, detected and attributed as an infringement by the Competition Directorate in this file, cannot be considered an exempt agreement under the application of Articles 1.3 of the LDC and 101.3 of the TFEU as it does not meet the conditions required by both articles. As examined, such coordination imposes a restriction that is not indispensable for achieving the pursued advantages, does not allow clients to participate equitably in their advantages, and allows the participating banking entities to eliminate competition regarding a substantial part of the affected product.</w:t>
      </w:r>
    </w:p>
    <w:p>
      <w:r>
        <w:t>4.1.2. The contractual link between the syndicated loan and the derivative</w:t>
      </w:r>
    </w:p>
    <w:p>
      <w:r>
        <w:t>As previously stated, the Competition Directorate in the resolution proposal (paragraph 174 of the PR) attributes to the investigated banking entities a single and continuous infringement of Articles 1 of the LDC and 101 of the TFEU composed of two individualized but related behaviors: the collusion between those banking entities, behind the client's back, to set the price of the derivative above the market price (which was attributed as a differentiated infringement in the PCH and has just been examined) and the unjustified linkage between the granting of the syndicated loan and the contracting of the derivative for interest rate coverage with the same</w:t>
      </w:r>
    </w:p>
    <w:p>
      <w:r>
        <w:rPr>
          <w:b/>
        </w:rPr>
        <w:t>[Pages 82–84]</w:t>
      </w:r>
    </w:p>
    <w:p>
      <w:r>
        <w:t>banking entities that grant the syndicated loan, which the Chamber will proceed to analyze next.</w:t>
      </w:r>
    </w:p>
    <w:p>
      <w:r>
        <w:t>After the closure of the investigation phase of the file, the Competition Directorate considers it proven that the banks granting the syndicated loan require the clients of the loan to contract the interest rate risk coverage with the banks themselves in a transaction linked to the syndicated loan. However, as noted by the PR, there are other financial entities active in the financial derivatives markets that provide these coverage services, as the accused have acknowledged and as is evident from the possibility that the entities themselves contemplate, that a third party may provide this hedging product (although, according to them, this possibility is neither attractive nor profitable for third parties).</w:t>
      </w:r>
    </w:p>
    <w:p>
      <w:r>
        <w:t>In response to this accusation of an infringement of the unjustified linkage between the granting of the syndicated loan and the contracting of the derivative, the investigated entities have developed an extensive argument presented in the allegations submitted to the PR throughout April of last year87. In light of such allegations, the Chamber considers that the investigation carried out by the DC does not provide sufficient elements to assess and issue a conclusive judgment on the unlawful nature of the mere linkage, considered in isolation, of the contracting of the derivative for interest rate coverage with the same banking entities that grant the syndicated loan.</w:t>
      </w:r>
    </w:p>
    <w:p>
      <w:r>
        <w:t>Therefore, while it cannot be ruled out that third parties may enter into the coverage—as indeed occurs in some analyzed transactions—given the complexity of some syndicated loan operations for project financing, it cannot be excluded that the syndicated banks participate in the derivatives for interest rate risk coverage of the syndicated loans they themselves grant.</w:t>
      </w:r>
    </w:p>
    <w:p>
      <w:r>
        <w:t>However, in the present file, the linkage may have served as a facilitating element for the coordinated conduct of setting a derivative price above the market price, but, as stated in the previous section, this Chamber considers unacceptable, due to its contrariness to competition regulations, the collusive practice of concertedly setting the price of the derivative, without adhering to the prevailing conditions in the market, or, if you will, taking advantage of the fact that the contracting of the derivative is carried out with the same banks that grant the syndicated loan in order to apply a single price for the coverage above the market price, in fraud of the contractual expectations of the client.</w:t>
      </w:r>
    </w:p>
    <w:p>
      <w:r>
        <w:t>However, as a result of the mere obligation to contract the interest rate coverage with the same entities with which the syndicated loan has been contracted, the conduct that this Chamber considers infringing should not necessarily have occurred, that is, that a price not determined under market conditions was passed on to the client, or through other objective parameters known to them. The proven facts require the analysis to be circumscribed to the observation that, in the case at hand, the circumstance that the contracting of the derivative occurs with the same banking entities that grant the loan reveals itself as a facilitating element for the coordination in setting the price and conditions of the derivative, without having an autonomous condition regarding the investigated infringement.</w:t>
      </w:r>
    </w:p>
    <w:p>
      <w:r>
        <w:t>It is the collusive conduct of the banks involved that, violating contractual provisions, fails to offer the coverage of the syndicated loan under market conditions, which has been abundantly proven in the file and which constitutes an infringement of both Article 1 of the LDC and Article 101 of the TFEU.</w:t>
      </w:r>
    </w:p>
    <w:p>
      <w:r>
        <w:t>Therefore, it is not possible in this case to conclude on the unlawfulness of the fact, nor, consequently, is it part of the theory of harm in this file, the fact that the accused banks required clients of the syndicated loan to contract with the same banks the coverage against interest rate risk. However, to the extent that the price agreement allowed them to charge clients a cost for the hedging instrument, contrary to what was agreed, the argument of the accused to justify the linkage of the syndicated loan with the interest rate coverage is greatly weakened. If the alleged economic rationality of this linkage existed, it would have been displaced by the subsequent conduct consisting of the collusive setting of the derivative price by the lending entities, above the price under market conditions. It is not permissible to use arguments related to the invoked international standard of joint provision of credit and hedging services, in the context of project financing, to try to circumvent the illegitimate collusion that occurs in the price-setting phase of the derivative for its determination under non-market conditions. The collusive conduct that this Chamber reproaches has resulted in the economic efficiencies88 referred to by the credit entities in their allegations translating de facto, from the client's perspective, into a common coverage price not set under market conditions, benefiting exclusively the involved entities.</w:t>
      </w:r>
    </w:p>
    <w:p>
      <w:r>
        <w:t>It is appropriate, in accordance with the above, to circumscribe the scope of the infringement, regarding the content in the Proposal Report of the DC, to the concertation among the syndicated banks to, pretending a process of setting the economic conditions of the coverage subject to certain objective parameters, offer the client a derivative price distant from the price determined under market conditions.</w:t>
      </w:r>
    </w:p>
    <w:p>
      <w:r>
        <w:t>4.2 Definition of relevant market and geographical dimension of the conduct</w:t>
      </w:r>
    </w:p>
    <w:p>
      <w:r>
        <w:t>Several of the accused entities present allegations regarding an incorrect definition of the markets made during the investigation. Thus, CAIXABANK (folio 46642) points out that the DC "makes a definition of the markets supposedly affected by the conduct that is confusing and erroneous" given that despite structuring the Proposal "around the existence of two separate products: the syndicated loan and its coverage (apparently completely independent of the former), the information request contained in the Proposal does not include any reference to said derivatives market, and focuses on the market for syndicated loans." For its part, SABADELL (folios 46466-46467) believes that the investigation does not deliberately define the market and that with this elusion an unavoidable step is overlooked that vitiates and nullifies the entirety of its analysis. In their view, community jurisprudence indicates that one cannot conclude that an agreement has as its object or effect the restriction of competition without first defining the relevant market, both from the product perspective and from the perspective of its geographical scope: the General Court "has repeatedly stated that the definition of the relevant market is a necessary and indispensable prerequisite for determining whether conduct is contrary to Article 101 TFEU."</w:t>
      </w:r>
    </w:p>
    <w:p>
      <w:r>
        <w:t>From the perspective of collusive conduct under Article 1 of the LDC, the analysis of the relevant market is not essential to determine whether or not an infringement has occurred89. As the Court of Justice90 states, "in the application of Article 101 TFEU, paragraph 1, the definition of the reference market has the sole purpose of determining whether the agreement in question may affect trade between Member States and has as its object or effect to prevent, restrict or distort competition within the internal market (judgment of July 11, 2013, Gosselin Group/Commission, C 429/11 P, not published, EU:C:2013:463, paragraph 75 and cited case law)."</w:t>
      </w:r>
    </w:p>
    <w:p>
      <w:r>
        <w:t>However, it should be specified that the definition of the market contained in the resolution proposal is, in the opinion of this Chamber, correct. The affected market coincides with the market in which the infringing conduct materializes, that is, the market for interest rate hedging derivatives associated with syndicated loans in project finance.</w:t>
      </w:r>
    </w:p>
    <w:p>
      <w:r>
        <w:t>Regarding the dimension and characteristics of the affected market, as the Competition Authority91 has been indicating and ratifying the jurisdiction,</w:t>
      </w:r>
    </w:p>
    <w:p>
      <w:r>
        <w:rPr>
          <w:b/>
        </w:rPr>
        <w:t>[Pages 85–87]</w:t>
      </w:r>
    </w:p>
    <w:p>
      <w:r>
        <w:t>contentious92: “the concept of the market affected by the infringing conduct, which may or may not coincide with the relevant product and geographic market, is not determined by the territory in which the conditions of competition are homogeneous but by the geographic space in which the analyzed infringement has produced or is likely to produce effects on the conditions of effective competition. Therefore, its delimitation is relevant insofar as it is one of the factors that, according to Article 64.1.a) of the LDC, the competition authority must take into account to determine the amount of the sanction.”</w:t>
      </w:r>
    </w:p>
    <w:p>
      <w:r>
        <w:t>In this case, the affected geographic market encompasses the entire national territory, as the entities involved are attributed horizontal conduct that, due to its scope and characteristics, affects in many cases the entirety of the national market or a significant part of it, fulfilling the criterion of affecting intra-community trade that determines the application of Article 101 of the TFEU.</w:t>
      </w:r>
    </w:p>
    <w:p>
      <w:r>
        <w:t>Additionally, this Chamber confirms the necessary application of Article 101 of the TFEU, as the nature and characteristics of the analyzed conduct, the financial markets in which the conduct occurs, as well as the nature and size of the operators that have participated in it, indicate the existence of practices likely to have a significant impact on intra-community trade. The collusion among competitors regarding economic conditions with a national scope, involving the main companies in the sector – as is the case here – constitutes a practice likely to appreciably affect intra-community trade. Consequently, the Competition Chamber considers that the collusion regarding the economic conditions of the derivative analyzed in this case is likely to have effects on intra-community trade and, therefore, is capable of infringing Article 101 of the TFEU. Any community operator operating in Spanish territory and seeking to contract a syndicated loan for project finance may be affected by the conduct under analysis regarding the interest rate derivatives used as hedging instruments for such syndicated loans.</w:t>
      </w:r>
    </w:p>
    <w:p>
      <w:r>
        <w:t>In conclusion, the criteria for possible appreciable impact on trade between Member States developed in the European Commission Communication Guidelines on the concept of effect on intra-community trade (2004/C 101/07) and in the jurisprudence of the European Union on the matter are met, which, according to Regulation 1/2003, requires the application of Article 101 of the TFEU in this case93.</w:t>
      </w:r>
    </w:p>
    <w:p>
      <w:r>
        <w:t>92 Thus, judgment of the National Court of March 8, 2013, appeal 540/2010, confirmed in this respect by the judgment of the Supreme Court of January 30, 2015.</w:t>
      </w:r>
    </w:p>
    <w:p>
      <w:r>
        <w:t>93 As specified by the Court of Justice of the EU in its judgment of December 13, 2012, in case C-226/11 (Expedia Inc. v. Autorité de la Concurrence and others): “It should be recalled that, according to established case law, in the context of the application of Article 101 TFEU (RCL 2009, 2300), paragraph 1, the assessment of the specific effects of an agreement is superfluous when it is found that they have the object of preventing, restricting or distorting competition (see, in this regard, the judgments of July 13, 1966, Consten and Grundig/Commission, 56/64 and 58/64, Rec. p. 429, and of December 8, 2011 [TJCE 2011, 399], KME Germany and others/Commission, C-272/09 P, Rec. p. I-0000, paragraph 65, and KME Germany and others/Commission, [TJCE 2011, 400] C-389/10 P, Rec. p. I-0000, paragraph 75).”</w:t>
      </w:r>
    </w:p>
    <w:p>
      <w:r>
        <w:t>4.3 Unique and Continuous Nature of the Conduct and Its Duration</w:t>
      </w:r>
    </w:p>
    <w:p>
      <w:r>
        <w:t>The allegations of the investigated banks indicate that the case is limited to a specific and limited number of project finance operations, namely, those covered by the recordings, and not to all those in which the involved entities participated between 2006 and 2016, which are many more. The investigated banks argue that “[...] there are no complementary elements among all those operations that the Proposal considers framed within the concept of a unique and continuous infringement, nor the identification of a common objective among the Entities”94 and that “the gaps in inactivity existing in the period 2007-2010 and in the period 2010-2012, and the absence of evidence of any of the alleged conduct in a number of operations higher than those in which there is evidence, clearly demonstrate the lack of concurrence of the jurisprudential requirement of a ‘common plan,’ required for a infringing conduct to be recognized as unique and continuous”95.</w:t>
      </w:r>
    </w:p>
    <w:p>
      <w:r>
        <w:t>Regarding the qualification of the practices established in this case as a unique and continuous infringement, indeed, European jurisprudence has indicated that for it to be established, there must be concurrence in the behavior of the involved companies of a series of elements. Thus, “to establish the existence of a unique and continuous infringement, the Commission must prove, in particular, that the company attempted to contribute with its own behavior to the achievement of the common objectives pursued by all participants and that it was aware of the material behaviors planned or executed by other companies in achieving the same objectives or that it could reasonably have foreseen them and was willing to assume the risk (judgment Commission/Anic Partecipazioni, cited in paragraph 33 above, paragraph 87). [36]</w:t>
      </w:r>
    </w:p>
    <w:p>
      <w:r>
        <w:t>Indeed, collusive practices can only be considered constitutive elements of a unique restrictive competition agreement if it is established that they are part of a global plan pursuing a common objective. Furthermore, only if the company knew, or should have known, when participating in the collusive practices that, by doing so, it was integrating into the unique agreement, can its participation in the collusive practices in question constitute the expression of its adherence to that agreement (judgment of the Court of March 15, 2000, Cimenteries CBR and others/Commission, T-25/95, T-26/95, T-30/95 to T-32/95, T-34/95 to T-39/95, T-42/95 to T-46/95, T-48/95, T-50/95 to T-65/95, T-68/95 to T-71/95, T-87/95, T-88/95, T-103/95 and T-104/95, Rec. p. II-491, paragraphs 4027 and 4112). [37] Thus, from this jurisprudence, it is deduced that three requirements must be met to establish participation in a unique and continuous infringement, namely the existence of a global plan pursuing a common objective, the intentional contribution of the company to that plan, and the fact that it had knowledge (demonstrated or presumed) of the infringing behaviors of the other participants.”96.</w:t>
      </w:r>
    </w:p>
    <w:p>
      <w:r>
        <w:t>At the national level, Article 4.6 of the Procedural Regulation for the exercise of the sanctioning power, approved by Royal Decree 1398/1993, of August 4, defined a continuous infringement as “the carrying out of a plurality of actions or omissions that infringe the same or similar administrative provisions, in execution of a preconceived plan or taking advantage of the same opportunity”97.</w:t>
      </w:r>
    </w:p>
    <w:p>
      <w:r>
        <w:t>The contentious jurisdiction, when reviewing the resolutions of the Spanish competition authority in which the figure of the unique and continuous infringement has been applied, has endorsed the previous criteria and their specific application to the case98.</w:t>
      </w:r>
    </w:p>
    <w:p>
      <w:r>
        <w:t>In the present case, the established facts demonstrate that the common objective pursued by the involved companies was the concerted determination of a coverage price higher than the price that would have resulted from its establishment under market conditions. This involves a plurality of complementary actions committed by the same involved entities, through a repeated and extended behavior over time that lasted from at least 2006 to 2016, infringing the same provision of national and European Union competition law, within the framework of contracting the hedging of interest rate risk of the senior loan for project finance, with the objective that the derivative, instead of being formalized under market conditions, reached a supra-competitive price exclusively benefiting the lending entities. The conduct was carried out behind the client's back and under the appearance of a methodology for determining the amount of coverage under the best conditions adjusted to the reference market situation (“fair value”), an appearance that has proven to be fictitious.</w:t>
      </w:r>
    </w:p>
    <w:p>
      <w:r>
        <w:t>Regarding its duration, it has been established that this conduct was maintained continuously over time at least from 2006 to 2016. The DC has expressly clarified both in the PCH – paragraph (250) – and in the PR – paragraph (96) – that the scope of the operations analyzed in the case is not limited to the contracts provided by the complainant, extending to all analogous contracts signed between the involved entities and any other companies. The PR includes a representative sampling of the total set of operations provided by the various parties in the case and analyzed by the instructing body.</w:t>
      </w:r>
    </w:p>
    <w:p>
      <w:r>
        <w:t>96 Judgment of the TG of June 16, 2011, joined cases T-204/08 and T-212/08, regarding the market for international moving services in Belgium.</w:t>
      </w:r>
    </w:p>
    <w:p>
      <w:r>
        <w:t>97 Similarly, the current Article 29.6 of Law 40/2015, of October 1, on the Legal Regime of the Public Sector.</w:t>
      </w:r>
    </w:p>
    <w:p>
      <w:r>
        <w:t>98 Judgments of the National Court of February 28, 2005, November 6, 2009, December 1, 2009, February 5, 2013, February 13, 2013, July 9, 2013, July 18, 2013, and May 26, 2014, and Judgments of the Supreme Court of February 28, 2005, October 10, 2006, December 12, 2007, March 19, 2008, November 30, 2004, June 28, 2013, November 6, 2013, and March 26, 2015.</w:t>
      </w:r>
    </w:p>
    <w:p>
      <w:r>
        <w:rPr>
          <w:b/>
        </w:rPr>
        <w:t>[Pages 88–90]</w:t>
      </w:r>
    </w:p>
    <w:p>
      <w:r>
        <w:t>February 2013, July 9, 2013, July 18, 2013, and May 26, 2014, and Judgments of the Supreme Court of February 28, 2005, October 10, 2006, December 12, 2007, March 19, 2008, November 30, 2004, June 28, 2013, November 6, 2013, and March 26, 2015.</w:t>
      </w:r>
    </w:p>
    <w:p>
      <w:r>
        <w:t>Throughout the proceedings, the entities involved acknowledge that the investigated conduct is general for all hedging derivative contracts (whether collars or swaps)99. It has been established, as a result of the instruction of the proceedings and in light of the allegations to the PR, that the entities do not deny the existence of coordination in determining the economic conditions of the derivative, but rather, admitting its practice and defending that it is a widespread use in the market, they dispute that it can be considered contrary to competition law and that in any case it would be exempt under Article 1.3 of the LDC and Article 101.3 of the TFEU.</w:t>
      </w:r>
    </w:p>
    <w:p>
      <w:r>
        <w:t>Participation in the conduct, therefore, has occurred continuously regarding the financial derivative contracts for hedging interest rate risk in syndicated loans subscribed between the involved entities and various clients, with continuous knowledge of the infringing behavior by the participating banking entities.</w:t>
      </w:r>
    </w:p>
    <w:p>
      <w:r>
        <w:t>4.4 Effects of the conduct in the market</w:t>
      </w:r>
    </w:p>
    <w:p>
      <w:r>
        <w:t>As has been stated on numerous occasions, the verification that a concerted practice has an object contrary to competition is not "subject to the verification of a direct relationship between such practice and consumer prices," since the prohibition of such conduct "is not only aimed at protecting the direct interests of competitors or consumers, but the structure of the market and, thus, competition as such" (Judgment of the CJEU of June 4, 2009, case C-8/08, T-Mobile and STS of December 18, 2007).</w:t>
      </w:r>
    </w:p>
    <w:p>
      <w:r>
        <w:t>The entities involved argue that the investigated conduct has not produced anticompetitive effects on the market in the sense of Articles 1 of the LDC and 101 of the TFEU, but rather generates efficiencies. The investigated banking entities believe that the DC does not perform in the PR the necessary counterfactual analysis required to appreciate that a certain practice may have had anticompetitive effects, which would not have been substantiated, in the opinion of the involved parties.</w:t>
      </w:r>
    </w:p>
    <w:p>
      <w:r>
        <w:t>In this regard, CAIXABANK considers that "the Proposal has not proven in any way [...] that the price applied to the Derivative is higher than the 'market price'" or regarding "the lack of evidence on the artificial increase of the price [of the derivative]"100.</w:t>
      </w:r>
    </w:p>
    <w:p>
      <w:r>
        <w:t>In particular, BBVA points out (folio 46951) that "the reference by the COMPETITION DIRECTORATE to the purportedly restrictive effects of competition derived from the alleged conduct is situated in the realm of mere speculation (...) nothing in the proceedings proves that the effects to which (...) it refers in section VII of the resolution proposal (paragraphs 179 and following) have occurred in the case of one or more of the financing operations analyzed in the proceedings." It further adds that European courts, in applying Article 101 of the TFEU, have established a doctrine that emphasizes "the appropriate consideration by the competition authority of the 'counterfactual', that is, the situation in which competition would have found itself if the purportedly illegal conduct had not existed. Only by making a comparison between this alternative scenario and the actual scenario can the potential anticompetitive effects of the conduct in question be properly appreciated."</w:t>
      </w:r>
    </w:p>
    <w:p>
      <w:r>
        <w:t>From the proceedings, it is deduced that the collusive conduct of price-fixing of the derivative among the syndicated entities necessarily results in an increase in the costs of the hedging instrument against the client, and an increase in the revenues of the entities that agree to it, taking advantage of a framework of prior lawful coordination such as syndication for the loan, producing a detriment to the client's income in favor of the entities and unjustifiably increasing the financial services provided.</w:t>
      </w:r>
    </w:p>
    <w:p>
      <w:r>
        <w:t>The concerted action among the investigated banks produces an increase in the prices of the derivative (through the floor rate or fixed rate of the swap) above what the banking entities would be willing to offer in the absence of collusion. Additionally, the cost of settling the floor or the swap is artificially raised, so that, both in periodic settlements and in the case of early repayment of the loan, the client will always have to pay more for the derivative, and the amount to be paid will be higher the greater the floor rate or the fixed rate of the swap. The manner of acting of the investigated entities prevents a zero cost. The difference between the floor rate or the fixed rate of the swap, which would result in a zero premium according to what was contractually agreed, and what is actually offered to the client, materializes at the time of contracting in an implicit margin to be received by the investigated entities.</w:t>
      </w:r>
    </w:p>
    <w:p>
      <w:r>
        <w:t>Indeed, the way of setting the economic conditions of the coverage generates an increase in the possibility of negative settlements, and of a greater amount, to the detriment of the client. As the DC points out in its PR: "[...] if the price of the floor had been set at the actual market price, even having added a reasonable margin, the probability that the floor option would be exercised would decrease and therefore the possibility of negative settlements would also decrease. Or, even if the option were exercised, the settlements would have been lower. The same applies to the swap rate; its concerted fixing at levels higher than market rates generated negative settlements for the client, to the extent that the payments made to the banks were not compensated by the income from the variable interest rate."</w:t>
      </w:r>
    </w:p>
    <w:p>
      <w:r>
        <w:t>The hedging operations recorded in the proceedings are agreed "at market prices" or "at zero cost," that is, they do not involve an initial premium outlay.</w:t>
      </w:r>
    </w:p>
    <w:p>
      <w:r>
        <w:t>The cases to be analyzed are collars and swaps in which the condition of zero cost or "at market prices" was agreed. Therefore, the valuation of those hedges at the time of contracting for the client at the agreed price (the floor rate in the collars, the fixed rate in the swaps) should be zero euros. In other words, the condition of "zero cost" implies that the floor rate or the fixed rate of the swap that the banks should offer to the client would be those for which the valuation of the hedging instrument – collar or swap – at the time of contracting would be null for the client.</w:t>
      </w:r>
    </w:p>
    <w:p>
      <w:r>
        <w:t>On the other hand, if in any case the valuation of the instrument were negative for the client at the time of contracting, this would mean that the banks should have paid a premium at that time. Since the established facts do not show the existence of payment or receipt of premiums by the clients or the banks, a negative valuation for the client at the date of contracting would imply the existence of an implicit premium or margin that would be paid to the banks throughout the life of the hedging instrument, contrary to what was explicitly agreed with the client and would confirm that the price of the coverage agreed upon between the banks was higher than what guaranteed "zero cost" for the client.</w:t>
      </w:r>
    </w:p>
    <w:p>
      <w:r>
        <w:t>The Chamber does not question that banks may apply a markup to their hedging operations to cover their operating costs. However, this margin must be transparently set in the hedging contract, which has not occurred101.</w:t>
      </w:r>
    </w:p>
    <w:p>
      <w:r>
        <w:t>In the PR, the Competition Directorate has analyzed that the accused entities use this concept of margin, although at times they refer to it with the term "differential" or "spread." Although this issue has already been analyzed previously, it is worth summarizing it to draw conclusions.</w:t>
      </w:r>
    </w:p>
    <w:p>
      <w:r>
        <w:t>In the case of CAIXABANK, they define the margin as the difference between the price agreed with the client (the floor rate or the fixed rate of the swap) and the theoretical market price quoted by the bank, which is the price at which they manage to hedge the interest rate risk position contracted with the client considering the particular characteristics of the operation102 (folio 3212). This same bank defines, on the other hand (folio 3214), spread or differential as the addition of a percentage to the variable reference index on which the contract is based (for example, Euribor + X%).</w:t>
      </w:r>
    </w:p>
    <w:p>
      <w:r>
        <w:t>For its part, SANTANDER bank defines margin similarly to CAIXABANK, as it would be the difference between the price agreed with the client and a "hypothetical price between market counterparts at the time of executing the operation," and also asserts that it serves to cover the own costs of this financial activity (such as provisions, general structural costs, human resources, operational, technical, etc.). Regarding the differential or spread, it uses two definitions: on one hand, it defines it as applied to the reference index, asserting that in the operations of the</w:t>
      </w:r>
    </w:p>
    <w:p>
      <w:r>
        <w:rPr>
          <w:b/>
        </w:rPr>
        <w:t>[Pages 91–93]</w:t>
      </w:r>
    </w:p>
    <w:p>
      <w:r>
        <w:t>the VAPAT group did not apply any spread, and for another, the rate that is added to the theoretical rate applicable to obtain the floor rate and the swap, and whose purpose is "to remunerate the bank to achieve a target return" (folios 7968 and 79699).</w:t>
      </w:r>
    </w:p>
    <w:p>
      <w:r>
        <w:t>Regarding SABADELL, it states that there is a gross cost margin for the bank that is negotiated with the client and that is sometimes reflected as a guideline in the Term Sheet and in the conditions of the collar103. Furthermore, it explains that all banks include a spread on the reference interest rate in hedging instruments, which corresponds to "the other costs that the Bank (and not the client) must bear to grant this type of operations"104 (confidential folios 23341, 23352, and 4393).</w:t>
      </w:r>
    </w:p>
    <w:p>
      <w:r>
        <w:t>Finally, BBVA defines spread or margin as the amount that increases a certain benchmark index. According to the PR, although the bank claims that in the operations of the VAPAT group the spread was zero, "in the contracts submitted regarding these operations, the spreads or margins applied in each of them appear." Furthermore, they assert that "a contract with a zero spread would necessarily imply the absence of a margin charged to the client who contracts it." On the other hand, BBVA states that it does apply a spread agreed with the client as a percentage of the market price and assures that it is compatible with both a zero-cost contract and a zero-spread contract (folio 21980).</w:t>
      </w:r>
    </w:p>
    <w:p>
      <w:r>
        <w:t>Despite the confusion that the entities have introduced regarding these terms, there are only two ways for them to charge a margin to the client. They can charge an explicit margin in the form, for example, of a contracting or formalization cost, or an implicit margin throughout the life of the derivative equal to the spread that is added to the floor rate or fixed rate of the market swap (the one that ensures that the coverage is "at zero cost").</w:t>
      </w:r>
    </w:p>
    <w:p>
      <w:r>
        <w:t>Any of these options would be perfectly legitimate, as long as the applicable margin was reflected in the contract with total transparency. However, as already mentioned, in the case of the derivatives analyzed in this file, in no case was it specified to the client that a margin would be applied. Despite the references in another sense made by the banks in their theoretical explanations, as shown in the previous paragraphs (which summarize the accredited facts), in the analyzed contracts, according to the entities, the application of any spread or differential on the variable reference interest rate was not agreed upon.</w:t>
      </w:r>
    </w:p>
    <w:p>
      <w:r>
        <w:t>Throughout the file, the banks have argued that the concept of "zero cost" does not mean that the derivative cannot generate any cost for the client. Indeed, there may be a cost for the client if, due to a different evolution of the reference interest rates than expected at the time of contracting, on the settlement dates of the derivative the reference interest rate is below the floor (in the case of a collar) or the fixed rate (in the case of a swap), since the client will have to pay the bank the corresponding amount, generating a cost for them. Neither the DC nor this Chamber has questioned this issue.</w:t>
      </w:r>
    </w:p>
    <w:p>
      <w:r>
        <w:t>The cases analyzed in this section are collars and swaps in which the condition of zero cost or "at market prices" was agreed upon. Therefore, the valuation of those coverages for the client at the time of contracting at the agreed price (the floor rate in the collars, the fixed rate in the swaps) should be zero euros. In other words, the condition of "zero cost" implies that the floor rate or the fixed rate of the swap that the banks should offer to the client would be those for which the valuation of the hedging instrument – collar or swap – at the time of contracting was null for the client. What actually happens afterward, throughout the life of the derivative, depends on the evolution of the reference interest rate, over which the banks have no control.</w:t>
      </w:r>
    </w:p>
    <w:p>
      <w:r>
        <w:t>On the other hand, if in any case the valuation of the instrument at the time of contracting were negative for the client, this would mean that the banks should have paid them a premium at the time of contracting. Since there was in fact no payment or receipt of premiums by the clients or the banks, a negative valuation at the time of contracting for the client would imply the existence of an implicit premium that they would pay to the banks – to a greater or lesser extent, depending on the actual evolution of the reference interest rate – throughout the life of the hedging instrument, contrary to what was explicitly agreed with the client and would confirm that the price of the coverage agreed upon between the banks was higher than that which guaranteed "zero cost" for the client.</w:t>
      </w:r>
    </w:p>
    <w:p>
      <w:r>
        <w:t>In relation to the above, the entities involved have attempted to show that the valuation of the derivatives analyzed in this file is extremely complex, and that there is no standard valuation method that allows knowing the value of the derivative at the time of contracting with some solidity, but rather that very different results are obtained. However, the entities involved have acknowledged (folios 41656 to 41659) that the differences between "the quotes" of different banks for the "market price" are usually very small, to the point that they would consider a difference of more than five basis points (0.05%) between the offers of each bank to be unusual. This means that the valuation methods for derivatives are, to some extent, comparable, which would imply that the most significant differences should be due to the margins that each bank wishes to apply, that is, to factors unrelated to the "market price."</w:t>
      </w:r>
    </w:p>
    <w:p>
      <w:r>
        <w:t>In turn, this similarity in the "market quotes" of the banks would significantly reduce the justification for coordinating prices behind the client's back and instead would seem to indicate the intention to raise prices above the market level as the main objective of that coordination.</w:t>
      </w:r>
    </w:p>
    <w:p>
      <w:r>
        <w:t>The DC, in information requests to the entities involved dated July 23, 2015, asked the entities to provide their valuation of the four collars contracted with VAPAT at the time of contracting105, to verify whether they were indeed contracted at zero cost. These documents, provided by the entities involved, clearly show that the valuation of the derivatives at the time of contracting was negative, representing a high cost for the client106.</w:t>
      </w:r>
    </w:p>
    <w:p>
      <w:r>
        <w:t>This Chamber has used the same valuation that the banks used at the time of contracting to verify whether we are dealing with derivatives with "zero cost" or whether, on the contrary, the valuation was not equal to zero but negative. The methodology used by the banks for the valuation of collars can be reproduced with the Swap Manager tool, provided by Bloomberg. The data used are as follows:</w:t>
        <w:br/>
        <w:t>- Date of the operation (signature date), start date (which may or may not coincide with the signature date), and maturity date.</w:t>
        <w:br/>
        <w:t>- Initial notional or nominal amount and live nominal tables in each period from the start date to the maturity date, as well as the duration of the periods and the settlement dates (in all analyzed cases, they were semiannual or quarterly).</w:t>
        <w:br/>
        <w:t>- Cap and floor rates.</w:t>
        <w:br/>
        <w:t>- Settlement basis, which in all cases is ACT/360 (i.e., for counting the days of each period, the actual days are taken into account and it is assumed that the year has 360 days).</w:t>
        <w:br/>
        <w:t>- Spread, which in the analyzed operations was always null or not explicitly indicated.</w:t>
        <w:br/>
        <w:t>- Reference interest rate (Euribor at 6 months) and date of determination of the variable reference rate (two business days before the start of each period, or the same day of the start).</w:t>
      </w:r>
    </w:p>
    <w:p>
      <w:r>
        <w:t>At the time of contracting the coverage, the values of the reference interest rate that would be in effect at the times when the settlement of the derivative was scheduled were not known, so it is necessary to approximate those future interest rates using the forward or implicit rates of the reference interest rate (Euribor at 6 months) in effect at the time of contracting. Since the banks do not retain the market data used at the time of contracting, the derivatives have been valued by the banks using "theoretical mid prices" at the time of closure. This is also recorded.</w:t>
      </w:r>
    </w:p>
    <w:p>
      <w:r>
        <w:t>105 Responses to the information requests: BBVA folios 6972 to 6975, SABADELL 22000, SANTANDER 4901 to 4902, and CAIXABANK 3815.</w:t>
        <w:br/>
        <w:t>106 On the other hand, VAPAT submitted an expert report that included a valuation of these same instruments. However, these valuations were made at a date different from that of contracting (as of December 31, 2010), so they are not comparable. The results obtained in the expert report also show a negative value, but significantly higher than the figures obtained by the banks and by this Chamber, which would indicate a greater detriment to the client of the coverage. This could be due to the fact that in their estimates they use a different, non-standard method, and therefore estimate parameters such as volatility in their own way, so the valuations would not be directly comparable to those we have obtained.</w:t>
      </w:r>
    </w:p>
    <w:p>
      <w:r>
        <w:rPr>
          <w:b/>
        </w:rPr>
        <w:t>[Pages 94–96]</w:t>
      </w:r>
    </w:p>
    <w:p>
      <w:r>
        <w:t>in the PR (folio 44637). In addition, a measure of the volatility of interest rates is used to estimate the greater or lesser uncertainty that existed at the time of contracting regarding the evolution of the reference interest rate. The value of the derivative is equal to the present value of the cash flows determined in future settlements, which can be in favor of or against the client, depending on whether the level of the reference interest rate on each date is above the cap or below the floor. In any case, those settlements must be updated at the time of contracting using a discount factor or rate. For this, we need to have a curve of discount factors that reflects the present value at that moment of one euro received at any future time. This curve is provided by the Bloomberg tool and is obtained from information about different financial instruments that reflect the time value of money107.</w:t>
      </w:r>
    </w:p>
    <w:p>
      <w:r>
        <w:t>On the other hand, from the estimated value of the collar, it is possible to calculate what the floor rate should have been set at for the valuation to have been null for the client, that is, for it to have been effectively "at zero cost" or "at market price"108. The difference between the floor rate offered by the banks at the time of contracting and the floor rate that should have been offered to ensure a zero cost of coverage – which would be the market rate – would be due to an implicit premium or margin applied by the banks, which according to our data was not explicitly agreed upon with the clients, although it was fully known by the implicated entities.</w:t>
      </w:r>
    </w:p>
    <w:p>
      <w:r>
        <w:t>As can be seen in Table 3, the four collars contracted by companies belonging to the VAPAT group have been analyzed to compare the valuations obtained with those provided by the banks at the request of the DC. In all cases, we obtained negative valuations, that is, showing a cost for the client already at the time of contracting. On the other hand, the valuations are very similar to those obtained and provided by the implicated entities.</w:t>
      </w:r>
    </w:p>
    <w:p>
      <w:r>
        <w:t>Three of the collars, those contracted by BAJOZ, HORNIJA, and CYL, have the same initial nominal amounts for all the banks that participated, while in the case of ESQUILVENT they are different. This implies that in the first three operations, the valuations in euros obtained for the different banks are the same, while in the case of ESQUILVENT they will be different. The cap and floor rates, however, are always the same for all banks participating in the operations.</w:t>
      </w:r>
    </w:p>
    <w:p>
      <w:r>
        <w:t>107 See methodology provided by BBVA (folios 6969 and 6970). The discount factor curve is also used for determining the forward rate curve mentioned earlier.</w:t>
      </w:r>
    </w:p>
    <w:p>
      <w:r>
        <w:t>108 We calculate this valuation by modifying the floor since, as indicated by CAIXABANK, the cap is set by the client, and the floor is determined when the derivative is contracted (folio 44631 of the PR).</w:t>
      </w:r>
    </w:p>
    <w:p>
      <w:r>
        <w:t xml:space="preserve">TABLE 3. SUMMARY OF THE VALUATION OF DERIVATIVES CONTRACTED BY VAPAT </w:t>
        <w:br/>
        <w:t xml:space="preserve">[data corresponding to CYL confidential for Santander] </w:t>
        <w:br/>
        <w:t xml:space="preserve">Valuation Valuations Rates </w:t>
        <w:br/>
        <w:t xml:space="preserve">according to of the banks necessary for </w:t>
        <w:br/>
        <w:t xml:space="preserve">Characteristics of the operation </w:t>
        <w:br/>
        <w:t xml:space="preserve">Bloomberg tool at date of value approx. 0 </w:t>
        <w:br/>
        <w:t xml:space="preserve">contracting (at date of </w:t>
        <w:br/>
        <w:t xml:space="preserve">contracting) </w:t>
        <w:br/>
        <w:t xml:space="preserve">Company Bank Initial nominal Cap Floor Valuation Valuation Floor rate </w:t>
        <w:br/>
        <w:t xml:space="preserve">(€) (%) (%) (€) (€) (%) </w:t>
        <w:br/>
        <w:t xml:space="preserve">BAJOZ SANTANDER [confidential] [conf] [conf] -152,394.92 [confidential] 2.547 </w:t>
        <w:br/>
        <w:t xml:space="preserve">SABADELL [confidential] [conf] [conf] -152,394.92 [confidential] 2.547 </w:t>
        <w:br/>
        <w:t xml:space="preserve">CAIXA [confidential] [conf] [conf] -152,394.92 [confidential] 2.547 </w:t>
        <w:br/>
        <w:t xml:space="preserve">BBVA [confidential] [conf] [conf] -152,394.92 [confidential] 2.547 </w:t>
        <w:br/>
        <w:t xml:space="preserve">Total [confidential] -609,579.69 [confidential] </w:t>
        <w:br/>
        <w:t xml:space="preserve">HORNIJA SANTANDER [confidential] [conf] [conf] -191,603.06 [confidential] 2.402 </w:t>
        <w:br/>
        <w:t xml:space="preserve">SABADELL [confidential] [conf] [conf] -191,603.06 [confidential] 2.402 </w:t>
        <w:br/>
        <w:t xml:space="preserve">CAIXA [confidential] [conf] [conf] -191,603.06 [confidential] 2.402 </w:t>
        <w:br/>
        <w:t xml:space="preserve">BBVA [confidential] [conf] [conf] -191,603.06 [confidential] 2.402 </w:t>
        <w:br/>
        <w:t xml:space="preserve">Total [confidential] -766,412.22 [confidential] </w:t>
        <w:br/>
        <w:t xml:space="preserve">ESQUILVENT BANESTO [confidential] [conf] [conf] -760,119.46 [confidential] 2.313 </w:t>
        <w:br/>
        <w:t xml:space="preserve">SABADELL [confidential] [conf] [conf] -1,025,016.84 [confidential] 2.313 </w:t>
        <w:br/>
        <w:t xml:space="preserve">CAIXA [confidential] [conf] [conf] -774,442.04 [confidential] 2.313 </w:t>
        <w:br/>
        <w:t xml:space="preserve">BBVA [confidential] [conf] [conf] -852,363.07 [confidential] 2.313 </w:t>
        <w:br/>
        <w:t xml:space="preserve">Total [confidential] -3,411,941.41 [confidential] </w:t>
        <w:br/>
        <w:t xml:space="preserve">CYL SABADELL [confidential] [conf] [conf] -1,264,089.29 [confidential] 0.930 </w:t>
        <w:br/>
        <w:t xml:space="preserve">CAIXA [confidential] [conf] [conf] -1,264,089.29 [confidential] 0.930 </w:t>
        <w:br/>
        <w:t xml:space="preserve">BBVA [confidential] [conf] [conf] -1,264,089.29 [confidential] 0.930 </w:t>
        <w:br/>
        <w:t>Total [confidential] -3,792,267.87 [confidential]</w:t>
      </w:r>
    </w:p>
    <w:p>
      <w:r>
        <w:t>The results recorded in Table 3 show that the total valuation of the four collars contracted by BAJOZ was -609,579.69 euros (-152,394.92 euros per collar), which implies that the floor rate offered by the banks [confidential] was not the market rate, or the "zero cost" rate, but higher. Since the valuation for the client at the time of contracting was negative, each bank would have had to pay a premium of 152,394 euros for the coverages to be effectively at no cost to the client. The same reading can be made of the other three coverages whose valuation is shown in the table.</w:t>
      </w:r>
    </w:p>
    <w:p>
      <w:r>
        <w:t>According to the data provided by the four banks involved in this collar, the joint valuation of the coverages is slightly higher than the estimate made by the Chamber [confidential], that is, they estimate a valuation at the time of contracting more detrimental to the client. Again, the same conclusion can be drawn for the coverages shown in the table, contracted by HORNIJA, ESQUILVENT, and CYL109.</w:t>
      </w:r>
    </w:p>
    <w:p>
      <w:r>
        <w:t>Due to the negative valuations obtained for the clients, it is now necessary to analyze the difference between the floor rate applied to the operation and the one that would make the valuation of the collar approximately zero (the rate set under market conditions). Given that the valuation is negative for the client, the floor rate that would make the derivative have a zero value would have to be lower than the one actually set in the contract.</w:t>
      </w:r>
    </w:p>
    <w:p>
      <w:r>
        <w:t>In the case of BAJOZ, discussed above, the floor rate for which the valuation of the collar would be approximately zero is 2.547%, compared to the [confidential]% that was agreed upon with the banks for the coverage. The difference between the two floor rates is a little more than [0-2]%. The rest of the results confirm that the floor rates set in the contracted coverages were significantly higher than the market rates: [0-2]% more for HORNIJA, [0-2]% more for ESQUILVENT, and [0-2]% more for CYL. These figures represent markups over the market floor rate of [40-50]%, [40-50]%, [30-40]%, and [100-150]%, respectively.</w:t>
      </w:r>
    </w:p>
    <w:p>
      <w:r>
        <w:t>As can be seen, the valuation of the collar that this Chamber has obtained at the time of contracting, in most cases, is very similar to that provided by the banking entities110 and in all cases, these are negative valuations for the client (as mentioned, the result is more negative for the client in the banks' valuation). This would mean that the results obtained using a standard methodology are very close to those of the banks themselves, which reinforces their validity.</w:t>
      </w:r>
    </w:p>
    <w:p>
      <w:r>
        <w:t>It is true that the valuations made by the CNMC substantially coincide with those provided by the implicated banks and correspond to the market data at the close of the day of contracting, while at the time the banks used the data in effect at the precise moment of the day when the contracting took place, so there could be certain variations. However, these small differences in no case justify that a negative value as high as those shown can be obtained for the same hedging instrument that should have a value close to zero.</w:t>
      </w:r>
    </w:p>
    <w:p>
      <w:r>
        <w:t>109 The valuations made by the banks of the individually contracted coverages with the client are close to each other: in three of the cases, their valuation from the banks is somewhat more negative than that made by the Chamber (more detrimental to the client), while in the case of SABADELL it is slightly less negative.</w:t>
      </w:r>
    </w:p>
    <w:p>
      <w:r>
        <w:t>110 In the case of Sabadell, the figures provided by the bank are contradictory, as it states, on one hand, that the valuation of the collar of HORNIJA is [conf] € and that of CYL is [conf] €, and on the other that that of HORNIJA is [conf] € and that of CYL is [conf] € (folio 22000). Due to the fact that, in the first case, the figure calculated by SABADELL not only deviates significantly from the one we have obtained but also from that provided by the rest of the banks participating in the operation, it is likely to be an error, since the nominal amount is the same for all banks, and the valuation should therefore also be similar.</w:t>
      </w:r>
    </w:p>
    <w:p>
      <w:r>
        <w:rPr>
          <w:b/>
        </w:rPr>
        <w:t>[Pages 97–99]</w:t>
      </w:r>
    </w:p>
    <w:p>
      <w:r>
        <w:t>the market.</w:t>
      </w:r>
    </w:p>
    <w:p>
      <w:r>
        <w:t>In light of all the above, this Chamber considers that it has been duly established that the implicated banks have colluded to raise the price of the hedging instruments they offered to clients; that is, they have used this agreement to offer the interest rate risk hedging instrument at prices higher than those that would have ensured compliance with the agreed conditions, mainly that these are hedging instruments at zero cost for the clients.</w:t>
      </w:r>
    </w:p>
    <w:p>
      <w:r>
        <w:t>4.5 Liability of the involved entities</w:t>
      </w:r>
    </w:p>
    <w:p>
      <w:r>
        <w:t>This Competition Chamber notes that the file contains sufficient evidence and probative elements to substantiate the effective commission by the investigated entities of the conduct attributed, in accordance with the delimitation made in section 4.1 above.</w:t>
      </w:r>
    </w:p>
    <w:p>
      <w:r>
        <w:t>The infringing behaviors described above are attributable to the four credit entities that provided the hedges.</w:t>
      </w:r>
    </w:p>
    <w:p>
      <w:r>
        <w:t>The involved entities coordinated to eliminate those factors or elements that favored maintaining a reasonable or feasible degree of competition in the provision of the derivative to ensure compliance with the basic requirements of its contracting with clients, contractually established as provision of the derivative "under market conditions."</w:t>
      </w:r>
    </w:p>
    <w:p>
      <w:r>
        <w:t>To the extent that the investigated entities do not dispute the practice of coordinating the conditions of the derivative, but rather its unlawful nature, this Chamber must determine whether they could reasonably consider that their conduct did not constitute an infringement of the prohibition contained in Article 1 of the LDC and Article 101 of the TFEU.</w:t>
      </w:r>
    </w:p>
    <w:p>
      <w:r>
        <w:t>In this section corresponding to the determination of the individualized liability of the involved entities, it is necessary to respond to the allegation of BBVA (folio 46887) regarding that "to the extent that the conduct whose illegality is declared by the proposed resolution is aligned with an international standard of action (as evidenced by a report in the file prepared by the economic expert KPMG and the specific examples of international practice provided [...]), the Council should avoid imposing a sanction for BBVA having incurred in a prohibition error." It is argued that since "in project financing operations it is a market standard both the provision of hedging services by the same financing entities and the common establishment by these entities of the price of the hedge [...] the Competition Directorate, in this file, questions the legality of a universally accepted practice, which BBVA could reasonably not consider infringing the prohibition contained in Article 1 of the LDC, because not only had the CNMC never ruled on the illegality of the reproached conduct, or on the illegality of a conduct similar to the reproached, but neither had the authorities of other countries (in particular, those countries where BBVA operates), nor the European Commission itself."</w:t>
      </w:r>
    </w:p>
    <w:p>
      <w:r>
        <w:t>For its part, CAIXABANK (folios 46659-46661) also emphasizes that the DC should have taken into account the absence of precedents in which a similar case to the one attributed has been sanctioned "when assessing the reproach of the Conduct and the responsibility to be attributed to the Entities," noting that when such novel circumstances occur, the competition authorities (both the European Commission and Spanish authorities) have either refrained from imposing fines or have imposed fines of a symbolic amount.</w:t>
      </w:r>
    </w:p>
    <w:p>
      <w:r>
        <w:t>Similarly, SABADELL (folios 46500-465002) states that it acted in good faith, believing that its conduct was lawful and reiterates CAIXABANK's request regarding the non-imposition of a fine (or its symbolic nature) in "such novel cases, where there are no precedents."</w:t>
      </w:r>
    </w:p>
    <w:p>
      <w:r>
        <w:t>The Chamber cannot agree with this interpretation regarding that a novel interpretation of the competition defense norms would occur in the attribution made by the PR and that it would not be possible to reproach the involved entities even with the fault or negligence determining the punishability of the infringement attributed, to the extent that they could not reasonably know that their conduct could be considered contrary to Article 1 of the LDC.</w:t>
      </w:r>
    </w:p>
    <w:p>
      <w:r>
        <w:t>The open nature of the sanctioning types in Competition Law is an element on which the alleged risk of prohibition error rests. Naturally, the principle of culpability requires that the imposition of the sanction be based on the requirement of the subjective element of fault to guarantee the principle of responsibility and the right to a sanctioning procedure with all guarantees.</w:t>
      </w:r>
    </w:p>
    <w:p>
      <w:r>
        <w:t>However, the Chamber considers that it is not possible to appreciate in this case an error – and much less an invincible error excluding liability – on the part of the involved entities regarding the unlawful nature of the established facts related to the coordination carried out by the investigated entities to set the economic conditions of the interest rate risk coverage of the syndicated loan intended for project finance.</w:t>
      </w:r>
    </w:p>
    <w:p>
      <w:r>
        <w:t>In the opinion of this Chamber, the elements to which BBVA appeals to justify the existence of a prohibition error do not concur. Thus, the reproach regarding conduct consisting of coordination on the economic conditions of a product does not imply a new circumstance on which there is no consolidated administrative practice. Nor can one appeal to the existence of contradictory administrative provisions or resolutions on the matter.</w:t>
      </w:r>
    </w:p>
    <w:p>
      <w:r>
        <w:t>Likewise, there is no argument of legitimate trust due to the fact that there are no other previous sanctioning files specifically related to the interest rate risk coverage market of the syndicated loan for project finance. And finally, this Chamber does not consider that the expert reports submitted by the involved entities can be regarded as confirming the legality of the conduct attributed in accordance with the delimitation made above in section 4.1.</w:t>
      </w:r>
    </w:p>
    <w:p>
      <w:r>
        <w:t>The absence of decisive practice or prior jurisprudence on the market of syndicated loans or the interest rate risk coverage of the syndicated loan for project finance does not allow for the subsequent conclusion that it was not sufficiently clear and foreseeable for the involved banks that conduct consisting of colluding strategies to achieve supra-competitive economic conditions for the provision of the derivative constituted an infringement of competition regulations. The non-imposition of a fine due to the absence of precedents must necessarily be a case of restrictive application, which should reasonably be projected onto the novelty of the conduct itself being analyzed and not so much on the novelty of the market in question.</w:t>
      </w:r>
    </w:p>
    <w:p>
      <w:r>
        <w:t>Even in the most favorable thesis for the involved entities, according to which the admissibility of the syndication of the senior credit extended to the syndicated provision of the coverage, the agreement among the banks to jointly circumvent the commitment made with clients to offer the coverage under the best conditions adjusted to the reference market situation at the time of formalization fully corresponds to the concept of collusive conduct prohibited by Article 1 of the LDC and Article 101 of the TFEU.</w:t>
      </w:r>
    </w:p>
    <w:p>
      <w:r>
        <w:t>Regarding the allegations linked to the total coincidence of the investigated conduct with the generalized international practice and the expert reports that would support it, it should be noted that the comparative analysis must be based on a thorough and correct exposition of the facts subject to examination by the involved parties. In relation to the conduct reproached in this Legal Basis, circumscribed according to what is indicated in section 4.1, it is naturally not possible to defend that international practice supports the conduct consisting of colluding in the provision of interest rate coverage so that the client could not know that it was not being offered under the best conditions, adjusted to the reference market situation.</w:t>
      </w:r>
    </w:p>
    <w:p>
      <w:r>
        <w:t>The principle of legal certainty and the requirement derived from foreseeability regarding that the analyzed conduct could be declared incompatible with competition norms is manifestly fulfilled in the present case. That the involved entities knew or should reasonably have known that the conduct under analysis constituted an infringement of Articles 1 of the LDC and 101 of the TFEU is especially clear, not only due to the evidence gathered but also due to the dimension and essentially sophisticated nature of the involved companies and the technical advice they possess. The jurisprudence of the European Union has indicated that the condition of the subject of the conduct must be taken into account when assessing the foreseeability of whether it is considered infringing competition regulations. Thus, "The scope of the concept of foreseeability largely depends on the content of the text in question, the scope it covers, and the number and condition of its addressees. The foreseeability of the law is not incompatible with the fact that the affected person is obliged to seek appropriate legal advice to assess the potential consequences of a particular act in</w:t>
      </w:r>
    </w:p>
    <w:p>
      <w:r>
        <w:rPr>
          <w:b/>
        </w:rPr>
        <w:t>[Pages 100–102]</w:t>
      </w:r>
    </w:p>
    <w:p>
      <w:r>
        <w:t>a reasonable measure, given the circumstances of the case. This is especially true in the case of professionals, who are accustomed to the need to exercise great caution in the performance of their activities. Therefore, it is to be expected that they pay special attention to the assessment of the risks involved in such exercise (see the judgment of October 22, 2015, AC-Treuhand/Commission, C-194/14 P, EU:C:2015:717, paragraph 42 and cited case law)” (judgment of the General Court of November 10, 2017, case T-180/15). The entities involved in this file were in an optimal position to assess the risks arising from their coordination conduct to set the economic conditions of the interest rate risk coverage of the syndicated loan.</w:t>
      </w:r>
    </w:p>
    <w:p>
      <w:r>
        <w:t>FIFTH. OTHER ALLEGATIONS AND ISSUES RAISED IN THE ADVISORY PHASE</w:t>
      </w:r>
    </w:p>
    <w:p>
      <w:r>
        <w:t>5.1 Allegations regarding the violation of the defense rights of the parties.</w:t>
      </w:r>
    </w:p>
    <w:p>
      <w:r>
        <w:t>Several of the accused entities point out that during the processing of the file, various incidents and procedural defects have occurred that have caused them defenselessness.</w:t>
      </w:r>
    </w:p>
    <w:p>
      <w:r>
        <w:t>a) Defenselessness due to the lack of extension of the deadline to submit allegations</w:t>
      </w:r>
    </w:p>
    <w:p>
      <w:r>
        <w:t>SABADELL and CAIXABANK (folios 46617-46618) argue that the denial of an extension of the deadline for allegations, as well as the notification of the proposed resolution or the granting of response deadlines immediately prior to holiday periods, represents a systematic reduction of their defense possibilities, as they did not have sufficient time to respond to the PR.</w:t>
      </w:r>
    </w:p>
    <w:p>
      <w:r>
        <w:t>It does not seem reasonable to reproach the action of the Competition Directorate, by not proceeding to extend the deadline for allegations regarding the PR, for causing defenselessness, when it has limited itself to respecting the limits established by the LDC for the procedures of this process. It should be reiterated what the Competition Authority has already pointed out regarding this issue: “Ultimately, the parties have not had only 15 days to analyze the administrative file, but all the months that the instruction of the file has lasted since its initiation, as well as a double opportunity to submit allegations (to the PCH and to the PR) that does not exist in other competition procedures, such as the community one where parties can only allege to the Statement of Objections of the European Commission.”111</w:t>
      </w:r>
    </w:p>
    <w:p>
      <w:r>
        <w:t>b) Defenselessness due to lack of reasoned response to their allegations</w:t>
      </w:r>
    </w:p>
    <w:p>
      <w:r>
        <w:t>CAIXABANK (folios 46613-46616) also alleges that the DC does not provide a sufficiently reasoned and differentiated response to the allegations made by the entity to the PCH in its PR. CAIXABANK understands that many of its allegations are not even assessed and opts for a common, undifferentiated, and little detailed response to the allegations of all the accused. This entity considers that due to this, material defenselessness occurs, because there would be no contradiction and the necessary individualization of responsibility would not be respected.</w:t>
      </w:r>
    </w:p>
    <w:p>
      <w:r>
        <w:t>As the DC points out in its Proposal Report, the entities reiterate arguments that coincide with each other and have already been raised throughout the instruction of the file, making it perfectly appropriate to respond to the allegations grouped by themes, without this causing defenselessness, to the extent that it is relevant to provide a reasoned and justified response to the arguments of the interested parties. This Chamber does not share CAIXABANK's consideration that many of its allegations are not assessed and, in fact, does not specifically identify which arguments have not been responded to in the PR.</w:t>
      </w:r>
    </w:p>
    <w:p>
      <w:r>
        <w:t>c) Defenselessness due to lack of appeal grounds</w:t>
      </w:r>
    </w:p>
    <w:p>
      <w:r>
        <w:t>On the other hand, CAIXABANK (folios 46618-46619) alleges that defenselessness has occurred, as the DC established in its dismissive agreement of the request for the initiation of conventional termination that no appeal could be made against it.</w:t>
      </w:r>
    </w:p>
    <w:p>
      <w:r>
        <w:t>This Chamber must clarify that, in purity, the agreement of the Director of Competition dismissing the request for the initiation of conventional termination that was notified to CAIXABANK by literal transcription did not indicate that no appeal could be made against it. However, in the document through which the competent Subdirectorate of the DC notifies such agreement, there is indeed an indication stating that “Against this agreement, no appeal can be made as it is a procedural act that does not meet the requirements set forth in Article 47 of Law 15/2007, of July 3, on the Defense of Competition, without prejudice to the fact that its eventual opposition may be raised for consideration in the resolution that concludes the procedure and for the challenge in the appeal that, if applicable, is filed against it (Article 107.1 of Law 30/1992, of November 26, on the Legal Regime of Public Administrations and the Common Administrative Procedure).”</w:t>
      </w:r>
    </w:p>
    <w:p>
      <w:r>
        <w:t>Now, regarding any agreement of the DC that may self-classify as procedural, supposedly not susceptible to appeal in the administrative route, the interested party recipient of the same may appeal it before the Council of the CNMC under Article 47 of the LDC, if they consider that such agreement, according to its motivation and the consequences derived from it, generates defenselessness and/or irreparable prejudice. The National Court has had the opportunity to rule on various appeals against agreements of non-initiation of a conventional termination procedure, indicating that it is “a qualified procedural act and subject to challenge in accordance with the provisions of Article 25 of the jurisdictional law”112. Consequently, CAIXABANK could have reported the error in the notification of the agreement by filing an appeal under Article 47 of the LDC. In any case, the error in such notification could have the effect of keeping the challenge to that agreement open (it would avoid preclusion), but it cannot invalidate the present resolution.</w:t>
      </w:r>
    </w:p>
    <w:p>
      <w:r>
        <w:t>It should be added, additionally, as has been repeatedly stated by the Competition Authority in previous pronouncements113, that the conventional termination of a sanctioning file initiated for possible infringements of competition law is not a subjective right of the accused companies, so that any initiative for conventional termination may be rejected by the CNMC in accordance with the provisions of Articles 52 of the LDC and 39 of the RDC, after assessing all the concurrent circumstances and considering that the key element of the decision is the assessment of the best way to preserve competition in the markets.</w:t>
      </w:r>
    </w:p>
    <w:p>
      <w:r>
        <w:t>This interpretation regarding conventional termination has been confirmed by the contentious jurisdiction in various rulings arising from the challenge of the decision not to initiate conventional termination. Thus, the aforementioned judgment of the National Court of January 30, 2013 (rec. 57/2012) states that:</w:t>
      </w:r>
    </w:p>
    <w:p>
      <w:r>
        <w:t xml:space="preserve">“Now, there is no subjective right of companies to a conventional agreement, as the appellants claim, so that any initiative may be rejected by the Administration, which under Article 52 LDC and Article 39 of the RDC has a power and not an obligation, once proposed by the administered, after assessing all the concurrent circumstances and without losing sight of the fact that the priority is to preserve competition in the markets. The appellants have the right to submit the request and to have that request responded to by the Administration, as indeed happened in this case, but they do not have the right to compel the Administration to initiate the Conventional Termination file, a power legally reserved for the Administration given that the objective of this file is to satisfy the general interest, not the particular interest of those who have allegedly engaged in the prohibited practices. The appeal to the public interest as the ultimate limit of the agreement or Conventional Termination, in addition to reiterating the requirement of Article 88 of Law 30/1992 and by the 112 Judgments of May 9, 2013 (rec. 404/2011), January 30, 2013 (rec. 57/2012), and July 5, 2012 (rec. 398/2011). </w:t>
        <w:br/>
        <w:t>113 By way of example: Resolutions of the CNC of May 8, 2013, Expte. R/0137/13, SPECIAL PRICES, AUTO REISEN, of February 21, 2013, Expte. R/0124/12 AVIS, or March 5, 2012, Expte R/0094/11 TRANSCALIT), as well as this Council in its resolutions of February 20, 2014 (Expte R/0160/13 UDER), September 11, 2014 (Expte R/0276/14 AUTOMOBILE MANUFACTURERS 2) and February 11, 2015 (Expte. R/AJ/391/14 TELEFÓNICA).</w:t>
      </w:r>
    </w:p>
    <w:p>
      <w:r>
        <w:rPr>
          <w:b/>
        </w:rPr>
        <w:t>[Pages 103–105]</w:t>
      </w:r>
    </w:p>
    <w:p>
      <w:r>
        <w:t>Article 103 of the Constitution gives a very broad margin to the CNC to accept or reject the proposal.”</w:t>
      </w:r>
    </w:p>
    <w:p>
      <w:r>
        <w:t>The Supreme Court has also reiterated (ruling of October 5, 2015) the margin of appreciation enjoyed by the Competition Directorate to assess the circumstances involved in the context of conventional termination, taking into account the nature and significance of the practices attributed, the number of affected parties, and the difficulty in reaching appropriate commitments to remedy the harmful effects on competition.</w:t>
      </w:r>
    </w:p>
    <w:p>
      <w:r>
        <w:t>Finally, the reasons set forth in this same resolution also constitute the motivation for the denial of the requested conventional termination.</w:t>
      </w:r>
    </w:p>
    <w:p>
      <w:r>
        <w:t>This Chamber, therefore, cannot accept the allegation that the notification of the agreement not to initiate the conventional termination to CAIXABANK was capable of causing it any kind of material defenselessness.</w:t>
      </w:r>
    </w:p>
    <w:p>
      <w:r>
        <w:t>d) Defenselessness due to lack of motivation of the evidence practice agreement</w:t>
      </w:r>
    </w:p>
    <w:p>
      <w:r>
        <w:t>It is appropriate to respond to the allegations of the involved entities regarding the alleged lack of sufficient motivation of the evidence practice agreement and complementary actions adopted by this Chamber on September 21, 2017. In it, the incorporation of documentary evidence and the request for a report from the Bank of Spain were agreed upon. At the same time, other evidence requested by the parties was denied, in particular, (i) the ratification by the experts in expert reports submitted and incorporated as documentary evidence; (ii) requests or requirements for reports from regulatory bodies (European Central Bank, European Investment Bank) and the European Commission; (iii) requests or requirements for reports from sectoral associations (Spanish Banking Association), from foreign credit entities, and from Central Counterparties (CCPs); (iv) the lifting of confidentiality regarding documents that serve as the basis for statements from the Competition Directorate, in particular the arbitration award adopted on November 11, 2016 (folios 40202 to 40366). The involved parties allege that such denial of evidence was made without sufficient motivation. In turn, another allegation related to the possible existence of defenselessness partially connects with that denial of evidence and is the one made by SABADELL (folios 46496-46499) when it states that certain incriminating or exculpatory documents (the repeated arbitration award) have been declared confidential for this entity, which has not had access to them.</w:t>
      </w:r>
    </w:p>
    <w:p>
      <w:r>
        <w:t>This Chamber understands, contrary to what the involved parties allege, that the evidence practice agreement and complementary actions of September 21, 2017 sufficiently and differentially motivated the denial of part of the proposed evidence. Within the framework of the exceptional nature of evidence practice at the Council stage, as a discretionary action of the Council, which must agree to it to the extent that it considers necessary to clarify issues not included in the instruction and that are necessary for forming its judgment before resolving, the Competition Chamber agreed to practice those evidences that it deemed appropriate and relevant.</w:t>
      </w:r>
    </w:p>
    <w:p>
      <w:r>
        <w:t>As this Chamber and the previous CNC have resolved in previous sanctioning files114, the intervention through oral observations before the Council by experts to ratify the conclusions of expert reports already submitted and incorporated into the file has also not been considered necessary regarding the present sanctioning file. The reports are included in the file as documentary evidence, and notes or addenda were added regarding them, also incorporated into the file, to respond to the considerations of the DC in the PR on various aspects of such reports. The oral presentation by the experts responsible for such initial and complementary reports of the conclusions or arguments included in them, for the better defense of the position of the involved entities that commissioned them, is not considered by this Chamber to have any additional added value to clarify the established facts regarding the behaviors subject to this file.</w:t>
      </w:r>
    </w:p>
    <w:p>
      <w:r>
        <w:t>Regarding the requests for reports from regulatory bodies (Bank of Spain, European Central Bank, European Investment Bank), as explicitly stated in the complementary actions agreement, this Chamber considered that the request for a report from the Bank of Spain, in its capacity as the public body responsible for the regulation and supervision of the Spanish banking system, was admissible, with such report being sufficient for the purposes requested by the involved parties, and therefore, it was not appropriate to formulate any request to the other mentioned bodies.</w:t>
      </w:r>
    </w:p>
    <w:p>
      <w:r>
        <w:t>Likewise, as indicated in such agreement of September 21, 2017, the requests for reports from sectoral associations, foreign credit entities, and Central Counterparties were not deemed necessary by the Chamber for forming its judgment before resolving, in light of the instruction carried out by the DC and the Proposal Report submitted.</w:t>
      </w:r>
    </w:p>
    <w:p>
      <w:r>
        <w:t>The Chamber motivated in detail that the appropriate and most objective channel for contrasting and, if necessary, completing the factual set that serves as the basis for the decision to be made, was the request for a report not to private entities but to regulatory bodies, such as the Bank of Spain, in coherence with the regulatory background (thus, Article 17 of the LDC, repealed by Law 3/2013, regarding coordination with sectoral regulators and supervisors) and the practice of the Competition Authority both in the field of concentration files and sanctioning ones. The content of the specific aspects regarding which a report was requested from the Bank of Spain, included in the complementary actions agreement, duly notified to the involved parties, allows them to verify the effective inclusion of issues related both to the regulation and to the contractual framework114 Thus, Resolution of March 5, 2015, Expte. S/0486/13 TOYOTA DEALERS or Resolution of the CNC of December 26, 2013, Expte. S/0423/12 MUNTERS).</w:t>
      </w:r>
    </w:p>
    <w:p>
      <w:r>
        <w:t>and the national, European, and international practice regarding the investigated conduct.</w:t>
      </w:r>
    </w:p>
    <w:p>
      <w:r>
        <w:t>This Chamber considers it relevant to emphasize, contrary to what the banking entities pointed out in their allegations to the PR, that the evidence supporting the participation of the four investigated entities in the conduct is based on documents in the file, included in the PCH, the PR, and referenced in this Resolution, to which the involved parties have had access. None of the imputations rests on confidential information for the affected party, but rather on a plurality of elements of judgment present in the file and to which they have had access, with scrupulous guarantee of their rights of defense.</w:t>
      </w:r>
    </w:p>
    <w:p>
      <w:r>
        <w:t>e) Defenselessness due to insufficient motivation of the denial of the oral hearing</w:t>
      </w:r>
    </w:p>
    <w:p>
      <w:r>
        <w:t>Regarding the alleged insufficient motivation of the denial of the oral hearing before the Council, requested by the four involved entities, it should be reiterated, as this Chamber has pointed out in previous resolutions, that the hearing is provided for in the LDC as an action that the Council may agree to at its discretion, “when it considers it appropriate for the analysis and judgment of the object of the file” (art. 19.1 RDC). The Competition Chamber, taking into account that it is its prerogative to agree to hold a hearing when it deems it convenient for the examination and analysis of the object of the file, and in light of the established facts and the available documentation, does not consider it necessary for the valuation of the present matter to grant the requests for a hearing, without this denial leading to any type of defenselessness for the parties, as has been repeatedly pointed out by the National Court and given the ample opportunities, utilized by the involved parties throughout the procedure, to present allegations and confront the arguments of the DC.</w:t>
      </w:r>
    </w:p>
    <w:p>
      <w:r>
        <w:t>As this Chamber anticipated in the agreement of complementary actions and evidence practice of September 21, 2017, the arguments of the involved parties regarding the technical complexity of the conduct being investigated and the affected financial operations, as well as the singular relevance for the market of the resolution to be adopted, which they believe would justify in this case the holding of an oral hearing, in the opinion of this Chamber, are an argument that precisely advises adhering to the written dimension of the procedure, given the degree of precision, rigor, and detail contained in the allegations and expert opinions submitted in writing, which exhaustively analyze the debated issues and have allowed for a meticulous study and considered evaluation by this Chamber, without any need or added value being identified that could be provided by either the ratification of the experts or the subsequent explanation or summary of the positions of the parties in an oral hearing.</w:t>
      </w:r>
    </w:p>
    <w:p>
      <w:r>
        <w:rPr>
          <w:b/>
        </w:rPr>
        <w:t>[Pages 106–108]</w:t>
      </w:r>
    </w:p>
    <w:p>
      <w:r>
        <w:t xml:space="preserve">5.2 Mitigating Circumstances of Liability  </w:t>
        <w:br/>
        <w:t xml:space="preserve">Two of the parties involved raise in their allegations, as a subsidiary argument to those related to the absence of infringement, the existence of a mitigating circumstance for having previously and autonomously implemented the commitments proposed in the initiation of the conventional termination.  </w:t>
        <w:br/>
        <w:t xml:space="preserve">Thus, CAIXABANK states that it has adopted "an ambitious Protocol for action in negotiating the conditions of the hedging derivatives of syndicated loans for project finance in order to resolve any possible doubts raised by the Competition Directorate of the CNMC regarding the negotiations aimed at the conventional termination of the File." It accompanies a certificate confirming that the Management Committee of CAIXABANK, on April 10, 2017, approved a text that is attached, "Protocol for determining the price of hedging derivatives in syndicated financing," which includes a series of measures that CAIXABANK "will propose to the rest of the entities in the syndicate" and individual commitments from CAIXABANK.  </w:t>
        <w:br/>
        <w:t xml:space="preserve">In turn, SABADELL indicates in its allegations to the PR that since April 19, 2017, it has been fully applying the commitments offered in connection with the request for Conventional Termination.  </w:t>
        <w:br/>
        <w:t xml:space="preserve">As noted in the Background section, on February 8, 2017, a letter from the four financial entities proposing the conventional termination of the procedure and submitting a proposal for commitments was registered with the CNMC, in accordance with the provisions of Articles 52 of the LDC and 39 of the RDC115. The Competition Directorate considered that the substantive conditions allowing, in general, and as established in paragraph 23 of the Communication of the now-defunct National Competition Commission, not to agree to the initiation of the conventional termination were met.  </w:t>
        <w:br/>
        <w:t xml:space="preserve">Specifically, the investigated conduct would have had, in the opinion of the DC, irreversible effects on competition over a significant period of time, affecting the market for interest rate hedging derivatives associated with syndicated loans.  </w:t>
        <w:br/>
        <w:t xml:space="preserve">Additionally, what is of greater relevance for assessing a possible mitigating circumstance of liability at this stage, the DC understood that the commitments offered were not adequate to resolve the effects on competition arising from the conduct subject to the file and to sufficiently guarantee the public interest. As the DC specifies in its Proposal Report [paragraph (7)]: "In the opinion of the Competition Directorate, the commitments were essentially aimed at ensuring the information that the client would have and at providing transparency, at least from a formal perspective, to the system for determining the price of the floor or the swap rate, both aspects being desirable as they are inherent to good banking practice. However, being the case, they do not solve the problems detected in the PCH regarding the coordinated action of the banking entities. And in this regard, in the opinion of the Competition Directorate, the commitments only serve to enshrine the coordination among banks in determining the prices of the derivative, not allowing differences in quotes between entities, which, in practice, would perpetuate the situation described in the PCH and that has led to the accusation made by the Competition Directorate."  </w:t>
        <w:br/>
        <w:t xml:space="preserve">According to the provisions of Article 64.3 of the LDC, the performance of actions that end the infringement, as well as putting in place measures to remedy the effects caused by the conduct, may be considered as a mitigating factor for the imposition of the sanction. In fact, this same Chamber has recognized such a mitigating factor in a relatively recent previous file116. However, in the present case, this Chamber agrees with the DC in finding a clear insufficiency and lack of rigor in the commitments announced as already effective by the parties involved. The analyzed conduct is not resolved exclusively with commitments of transparency, which are already established by regulatory and jurisprudential means. To that extent, the information provided by SABADELL and CAIXABANK does not, in the opinion of this Chamber, meet the requirements established in Article 64.3 letters a) and c) of the LDC for the appreciation of a mitigating circumstance.  </w:t>
        <w:br/>
        <w:t xml:space="preserve">In recent years, numerous judgments from the Supreme Court have been issued regarding errors in the contracting of complex financial products. These judgments relate to different types of products or services (swaps or financial exchanges, preferred shares, structured products related to underlying assets, "unit-linked" insurance, etc.), affecting in many cases retail clients, but also professional clients.  </w:t>
        <w:br/>
        <w:t xml:space="preserve">The common link among the various cases from which this jurisprudence originates is that they involve civil contracting, although subject to administrative discipline, fundamentally due to the financial nature of the products or services, which makes them sophisticated or complex and difficult for the client to value. Furthermore, the information available to the parties regarding the contract is essentially asymmetric, to the detriment of the client. As a rule, this generates that the entity providing the service must assume certain pre-contractual duties of conduct. Essentially, a general duty of information applies (as established in Article 209 of the TRLMV, cited in the section related to the regulatory framework) whose proper fulfillment must allow the client to understand the nature and risks of the specific type of financial instrument being offered, placing them in a position to make informed decisions. The judgments of the Supreme Court in this area precisely recognize the existence of error-defect regarding a substantial element of the contracting in cases of non-compliance with pre-contractual duties of conduct, which allows for the presumption of insufficient knowledge on the part of the client regarding the contracted product and its risks117.  </w:t>
        <w:br/>
        <w:t xml:space="preserve">116 Resolution of February 28, 2017, S/DC/0511/14 RENFE OPERADORA.  </w:t>
        <w:br/>
        <w:t xml:space="preserve">117 By way of example, judgments from the TS of October 20, 2015: "the lack of accreditation of compliance with these information duties allows for the presumption of insufficient knowledge on the part of the client regarding the contracted product and its associated risks, which vitiates consent" and of December 30, 2015: "the appreciation of the error or defect of representation of the true costs or risks associated with the contracted product implies in the reasoning of the trial court that the clients, had they known, would not have contracted it, that is, knowing what they would have to pay according to the fluctuations of the reference interest rate, the Euribor, they would not have contracted the product." And in a more nuanced manner, the judgment of the Supreme Court of February 4, 2016: "When, as occurs in contracting in the securities market, the legal system imposes a duty on one of the parties to inform (...), in such case, the omission of that information, or the provision of inaccurate, incomplete, unclear information or without sufficient prior notice, determines that the error of the counterparty must be considered excusable."  </w:t>
        <w:br/>
        <w:t xml:space="preserve">The commitments offered by the four investigated banks – which according to the allegations have been implemented by two of them – may contribute to remedy issues related to the existence of error in the contracting of this type of products, in which there is essential asymmetric information between the parties regarding the economic conditions determining the value of the contracted coverage. However, what is analyzed in this file is a conduct infringing Article 1 of the LDC and Article 101 of the TFEU, consisting of the illicit concertation to enable the investigated banks to set economic conditions for the interest rate risk coverage of the syndicated loan for project finance that are substantially distant from the "fair value" of the hedging instrument. The commitments offered by the parties involved do not constitute effective measures by themselves to prevent, avoid, and, where appropriate, promptly detect this type of conduct.  </w:t>
        <w:br/>
        <w:t xml:space="preserve">Considering the aforementioned considerations, the opinion of this competent Chamber is that the commitments proposed by CAIXABANK and SABADELL are not sufficient to meet the requirements that would allow them to be assessed as a mitigating circumstance, in accordance with the provisions of Article 64.3 of the LDC.  </w:t>
        <w:br/>
        <w:t xml:space="preserve">5.3 On the Possible Liability of Executives, pursuant to Article 63.2 of the LDC  </w:t>
        <w:br/>
        <w:t xml:space="preserve">Both in their allegations to the PR and in the allegations to the agreement of complementary actions of September 21, 2017, VAPAT has argued that the Treasury executives of the investigated banks, whom it identifies in its writings, are the material authors of the investigated conduct and should be subject to the sanction provided for in paragraph 2 of Article 63 of the LDC. VAPAT links this aspect to the existence of bonuses, variable compensations, etc., and in fact requested the practice of evidence in this regard, which was not admitted by this Chamber, to obtain a certificate from the parties involved on whether the identified Treasury executives receive, in addition to their ordinary remuneration, any other variable compensation related to the financial derivatives marketed.  </w:t>
        <w:br/>
        <w:t>Indeed, Article 63.2 of the LDC empowers the CNMC to impose such sanctions, in view of the participation of natural persons in the infringing conduct, and always provided that the legal requirements for this are met. Such provision serves to introduce an additional deterrent effect aimed at those individuals who represent the infringing companies or entities in the activities they carry out. The CNMC has imposed</w:t>
      </w:r>
    </w:p>
    <w:p>
      <w:r>
        <w:rPr>
          <w:b/>
        </w:rPr>
        <w:t>[Pages 109–111]</w:t>
      </w:r>
    </w:p>
    <w:p>
      <w:r>
        <w:t>the legal framework imposes a duty on one of the parties to inform (...), in such case, the omission of that information, or the provision of inaccurate, incomplete, unclear information or without sufficient prior notice, determines that the error of the counterparty must be considered excusable.”</w:t>
      </w:r>
    </w:p>
    <w:p>
      <w:r>
        <w:t>108</w:t>
      </w:r>
    </w:p>
    <w:p>
      <w:r>
        <w:t>fines to individuals who are executives of entities violating competition law in three different sanctioning proceedings to date118, based on the Resolution Proposal formulated by the instructing body. In this case, there has been no proposal from the instructing body. Both in the emails exchanged between the banking entities involved prior to the closing of the operations and in the audio recordings of telephone conversations sent by the investigated entities during the processing of the file, the natural persons involved in the formalization of the derivative are mentioned, sometimes only by name without surnames and the reference to the bank they represent. However, this Chamber considers that there are also no elements derived from the instruction that justify urging the DC to proceed with the investigation and, if applicable, to initiate and carry out instructional actions that allow determining the possible responsibility of the legal representatives or persons who make up the governing bodies of the involved entities. In accordance with all the above, this Chamber does not appreciate elements that allow individualizing the responsibility of the conduct on specific executives of the involved entities.</w:t>
      </w:r>
    </w:p>
    <w:p>
      <w:r>
        <w:t>5.4 Request for confidentiality The following companies have requested confidentiality for certain information presented in the resolution phase of the procedure. BBVA requests confidentiality for the following documentation: - Annex Document I (folio 48232) to its letter of January 25, 2018, submitted in response to a request for information, for containing confidential information related to business volumes. A non-confidential version is provided as Annex II (folio 48223). - Confidential Document number 1 (folio 47304.1 to 1 to 47304.1.7) attached to its letter of May 9, 2017. SABADELL requests confidentiality for the following documentation: - Letter of January 18, 2018 (folios 48161-48163), in response to the request for information regarding the entity's business volume. A non-confidential version is provided as Annex 1 (folios 48177-48180). SANTANDER requests confidentiality for the following documentation: 118 Resolutions of May 26, 2016 (Expte. S/0504/14 AIO), June 30, 2016 (Expte. S/DC/0519/14 INFRASTRUCTURAS FERROVIARIAS), and November 10, 2016 (Expte. S/0555/15 Prosegur-Loomis).</w:t>
      </w:r>
    </w:p>
    <w:p>
      <w:r>
        <w:t>109</w:t>
      </w:r>
    </w:p>
    <w:p>
      <w:r>
        <w:t>- Annex Document No. 1 (folio 48204) to its letter of January 23, 2018, submitted in response to a request for information on business volume. A non-confidential version is provided (folio 48203). CAIXABANK requests confidentiality for the following documentation: - Annex Document 1. Response to the request [Confidential Version] (folio 48185) to its letter of January 22, 2018, submitted in response to a request for information on business volume. A non-confidential version is provided: annex 2 (folio 48186). In application of Article 42 of the LDC, the information requested by the parties is declared confidential, except for that relating to the total business volume of the companies corresponding to the year 2017. In addition, the allegations letter of January 9, 2018 (folios 48101-48106) submitted by SABADELL and the judgment provided as an annex to it from the Court of First Instance No. 99 of Madrid (folios 48107-48116) is declared confidential ex officio, in accordance with its prior request for confidentiality regarding judicial documentation attached to its allegations letter of June 27, 2017 (folios 47422-47425). Likewise, the letter sent by the services of the European Commission (folios 47783-47785) in response to the submission of documentation provided for in Article 11.4 of Regulation 1/2003 is declared confidential, by virtue of the provisions of Article 42, last paragraph, of the LDC.</w:t>
      </w:r>
    </w:p>
    <w:p>
      <w:r>
        <w:t>SIXTH. DETERMINATION OF THE SANCTION 6.1 Criteria expressed by the Supreme Court The determination of the sanction must conform to the criteria expressed in the Judgment of the Supreme Court of January 29, 2015119 which are, essentially, the following:  The percentage limits provided in Article 63.1 of the LDC must be conceived as the maximum level of a sanctioning range in which the sanctions, depending on the severity of the conduct, must be individualized. Such limits “constitute, in each case, the ceiling of the pecuniary sanction within a scale that, starting from the minimum value, culminates in the corresponding percentage.” “These are percentage figures that mark the maximum of the sanctioning rigor for the sanction corresponding to the infringing conduct that, within the respective category, has the highest unlawful density. Each of those three percentages, precisely because of their quality as a cap or ceiling of the applicable sanctioning response to the most reprehensible infringement of the possible within its category, must serve as a reference to calculate the fine to be imposed on the rest of the infringements from them and downwards.”  Regarding the base on which to calculate the percentage of the fine, which in this case could reach up to 10% for being a very serious infringement, Article 63.1 of the LDC refers to the “total business volume of the infringing company in the fiscal year immediately preceding the imposition of the fine,” a concept with which the legislator, as the Supreme Court points out, “has wanted to emphasize that the business figure used as the base of the percentage is not limited to a part but to the "whole" of that volume.” Based on these premises, it must be concluded that the determination of the sanction must be specified in a range that runs from zero to 10% of the total business volume of the infringing companies in the fiscal year prior to the issuance of the resolution. Within that sanctioning range, the fine must be determined in accordance with the graduation criteria provided in Article 64 of Law 15/2007.</w:t>
      </w:r>
    </w:p>
    <w:p>
      <w:r>
        <w:t>6.2 Criteria for the determination of the sanction: general assessment of the conduct The analyzed conduct constitutes a unique and continuous infringement, consisting of the concerted action between the accused banking entities with the aim of raising the price of the derivative contracted by clients as a hedging instrument against interest rate risk – a risk associated with a syndicated loan granted by the same entities and intended for project finance – above what would have resulted “under market conditions,” which generated a cost to the client, contrary to what was agreed with the accused entities, which was “at zero cost.” Therefore, it is a very serious infringement (art. 62.4.a of the LDC) that may be sanctioned with a fine of up to 10% of the total business volume of the infringing company in the fiscal year immediately preceding the imposition of the fine (art. 63.1.c), that is, 2016. The billing of the mentioned companies, related to the year 2016, is as follows: Total business volume Entities infringing in 2016 (€) SANTANDER 74,876,000,000 SABADELL 7,693,202,000 BBVA 41,156,000,000 CAIXABANK 12,054,725,800</w:t>
      </w:r>
    </w:p>
    <w:p>
      <w:r>
        <w:rPr>
          <w:b/>
        </w:rPr>
        <w:t>[Pages 112–114]</w:t>
      </w:r>
    </w:p>
    <w:p>
      <w:r>
        <w:t>The sanctioning percentage, which will be applied in this proceeding to the total turnover of each infringing entity, must be determined based on the graduation criteria of Article 64.1 of the LDC, following the criteria of the jurisprudence of the Supreme Court mentioned in the previous section.</w:t>
      </w:r>
    </w:p>
    <w:p>
      <w:r>
        <w:t>The entities implicated in this proceeding consensually unified, prior to the closing of the coverage, the type or "price" offered to the client in such a way that it was higher than the "market price," which was the price they had committed to offer the client, simulating that they were indeed offering that "market price."</w:t>
      </w:r>
    </w:p>
    <w:p>
      <w:r>
        <w:t>Regarding the characteristics of the affected market (art. 64.1.a), this Chamber considers that, although the conduct could affect the financing decisions of companies, which must take into account this additional cost generated by financial entities when contracting interest rate derivatives at the time of deciding whether to carry out a project with syndicated financing, it has not been proven that the infringement could have produced cascading effects on other markets and on consumers. Therefore, this possibility has not been taken into account when determining the sanction.</w:t>
      </w:r>
    </w:p>
    <w:p>
      <w:r>
        <w:t>According to the data in the file (see the comments on Table 2), during the period of the infringement, the four implicated entities simultaneously participated in more than 36% of the project finance operations financed with syndicated loans, although this average increased to nearly 47% following the acquisition of Banesto in 2013. The percentage significantly increases if we consider the operations in which at least three of the implicated entities participated simultaneously, with an average of almost 49% for the entire period of the infringement, and more than 62% since 2013 (art. 64.1.b).</w:t>
      </w:r>
    </w:p>
    <w:p>
      <w:r>
        <w:t>The geographical market affected by the infringement is the entirety of the Spanish market, which is susceptible to affecting intra-community trade (art. 64.1.c). The conduct took place from 2006 until the initiation of the proceeding in 2016. The duration of participation in the conduct is the same for all the implicated entities (art. 64.1.d).</w:t>
      </w:r>
    </w:p>
    <w:p>
      <w:r>
        <w:t>As explained in the fourth legal basis, the existence of effects in the market has been proven (art. 64.1.e), consisting of the establishment of a floor or an artificially high fixed rate (depending on whether it is a collar or swap) to the detriment of the client, who thus faces a cost that does not correspond to the "zero cost" agreed upon in the contracts at the time of establishing the derivatives.</w:t>
      </w:r>
    </w:p>
    <w:p>
      <w:r>
        <w:t>The above criteria allow for a general assessment of the infringement in terms of its sanction, which translates into a general sanctioning rate of 4.5%.</w:t>
      </w:r>
    </w:p>
    <w:p>
      <w:r>
        <w:t>6.3 Criteria for the individual assessment of the conduct</w:t>
      </w:r>
    </w:p>
    <w:p>
      <w:r>
        <w:t>Regarding the assessment of the conduct of the four entities, it is advisable to take into account several additional factors so that the sanction reflects their effective participation in the infringement.</w:t>
      </w:r>
    </w:p>
    <w:p>
      <w:r>
        <w:t>As already mentioned, the duration of the conduct (art. 64.1.d) is the same for the four financial entities, exceeding 10 years.</w:t>
      </w:r>
    </w:p>
    <w:p>
      <w:r>
        <w:t>Regarding the effective dimension of the market affected by the infringement (art. 64.1.a), the following table shows the turnover of the infringing entities in the affected market (VNMA) during the months their respective infringements lasted, according to what has been provided by the implicated entities.</w:t>
      </w:r>
    </w:p>
    <w:p>
      <w:r>
        <w:t xml:space="preserve">Turnover in the affected market </w:t>
        <w:br/>
        <w:t xml:space="preserve">Infringing Entities VNMA (€) % of total VNMA </w:t>
        <w:br/>
        <w:t xml:space="preserve">SANTANDER [60,000,000-70,000,000] 26.26 </w:t>
        <w:br/>
        <w:t xml:space="preserve">SABADELL [40,000,000-50,000,000] 17.04 </w:t>
        <w:br/>
        <w:t xml:space="preserve">BBVA [50,000,000-60,000,000] 21.76 </w:t>
        <w:br/>
        <w:t>CAIXABANK [90,000,000-100,000,000] 34.94</w:t>
      </w:r>
    </w:p>
    <w:p>
      <w:r>
        <w:t>No aggravating or mitigating circumstances provided for in Articles 64.2 and 64.3 have been observed for any of the infringing entities.</w:t>
      </w:r>
    </w:p>
    <w:p>
      <w:r>
        <w:t>6.4 Sanctioning rate and adequacy of the sanction</w:t>
      </w:r>
    </w:p>
    <w:p>
      <w:r>
        <w:t>Following the aforementioned Judgment of the Supreme Court, the set of factors presented above – severity of the infringement, characteristics and dimension of the affected market, geographical scope of the conduct, participation of the infringers in the conduct – allows for the specification, within the sanctioning scale that runs up to 10% of the total turnover, of the global assessment of the unlawful density of the conduct of the companies.</w:t>
      </w:r>
    </w:p>
    <w:p>
      <w:r>
        <w:t>The sanctioning rate that corresponds to each infringing entity, according to the severity and circumstances of the conduct, and with their respective participation in it, is shown in the following table:</w:t>
      </w:r>
    </w:p>
    <w:p>
      <w:r>
        <w:t xml:space="preserve">Sanctioning rate </w:t>
        <w:br/>
        <w:t xml:space="preserve">Infringing Entities (% of total turnover) </w:t>
        <w:br/>
        <w:t xml:space="preserve">SANTANDER 5.4 </w:t>
        <w:br/>
        <w:t xml:space="preserve">SABADELL 5.0 </w:t>
        <w:br/>
        <w:t xml:space="preserve">BBVA 5.2 </w:t>
        <w:br/>
        <w:t>CAIXABANK 5.8</w:t>
      </w:r>
    </w:p>
    <w:p>
      <w:r>
        <w:t>However, although the sanctioning rate is proportionate to the characteristics of the collusive conduct and to a company's participation in the infringement, if applied to the total turnover of multiproduct companies as is the case – that is, companies that present a high proportion of their activity outside the affected market – it could result in a disproportionate sanction.</w:t>
      </w:r>
    </w:p>
    <w:p>
      <w:r>
        <w:t>The four infringing entities dedicate less than 0.1% of their total turnover to the activity affected by the infringement. That is, only a very small amount of the turnover of these companies corresponds to the market affected by the conduct.</w:t>
      </w:r>
    </w:p>
    <w:p>
      <w:r>
        <w:t>Similarly, to assess the proportionality/deterrence element of the sanctions, it is necessary to estimate the illicit benefit that the infringing entity could have obtained from the conduct under very prudent assumptions and apply an incremental factor.</w:t>
      </w:r>
    </w:p>
    <w:p>
      <w:r>
        <w:t>For these reasons, and according to the estimates made, the sanctioning rate that would correspond to SANTANDER according to the severity of the conduct and its participation in the infringement (5.4%) is not applied, but rather a sanction that is considered proportional and sufficiently deterrent of 23.9 million euros.</w:t>
      </w:r>
    </w:p>
    <w:p>
      <w:r>
        <w:t>Likewise, in the case of SABADELL, the sanctioning rate that would correspond to it according to the severity of the conduct and its participation in the infringement (5.0%) is not applied, but rather a sanction that is considered proportional and sufficiently deterrent of 15.5 million euros.</w:t>
      </w:r>
    </w:p>
    <w:p>
      <w:r>
        <w:t>In the case of BBVA, the sanctioning rate that would correspond to it according to the severity of the conduct and its participation in the infringement (5.2%) is considered, but the sanction of 19.8 million euros is deemed proportional and sufficiently deterrent.</w:t>
      </w:r>
    </w:p>
    <w:p>
      <w:r>
        <w:t>These assumptions refer to various economic parameters, among others the profit margin of companies under competitive conditions, the price increase resulting from the infringement, and the price elasticity of demand in the relevant market. When possible, the assumptions that have been made are based on data from the infringing companies themselves or on public databases related to the relevant market. The assumptions regarding these parameters are very prudent because they are required to always be reasonable from an economic point of view, and in case of doubt, the most favorable values for the companies are always taken.</w:t>
      </w:r>
    </w:p>
    <w:p>
      <w:r>
        <w:rPr>
          <w:b/>
        </w:rPr>
        <w:t>[Pages 115–116]</w:t>
      </w:r>
    </w:p>
    <w:p>
      <w:r>
        <w:t>Finally, the sanctioning rate that would correspond to CAIXABANK according to the severity of the conduct and its participation in the infringement (5.8%), but it is considered that a fine of 31.8 million euros is proportional and sufficiently deterrent. Therefore, the sanctions to be imposed on the four financial entities are as follows:</w:t>
      </w:r>
    </w:p>
    <w:p>
      <w:r>
        <w:t xml:space="preserve">Infringing Entities          Sanction (€)  </w:t>
        <w:br/>
        <w:t xml:space="preserve">SANTANDER                   23,900,000  </w:t>
        <w:br/>
        <w:t xml:space="preserve">SABADELL                     15,500,000  </w:t>
        <w:br/>
        <w:t xml:space="preserve">BBVA                         19,800,000  </w:t>
        <w:br/>
        <w:t>CAIXABANK                   31,800,000</w:t>
      </w:r>
    </w:p>
    <w:p>
      <w:r>
        <w:t xml:space="preserve">VI. RESOLVES  </w:t>
        <w:br/>
        <w:t xml:space="preserve">In accordance with all the above, the Competition Chamber of the National Commission of Markets and Competition resolves:  </w:t>
        <w:br/>
        <w:t xml:space="preserve">First. To declare a very serious infringement of Article 1 of Law 15/2007 and Article 101 of the TFEU, consisting of a concerted action aimed at setting the price above market conditions for the derivatives used as coverage for the interest rate risk associated with syndicated loans in project financing, in the terms established in the Fourth Legal Basis.  </w:t>
        <w:br/>
        <w:t xml:space="preserve">Second. To declare BANCO SANTANDER, S.A., BANCO SABADELL, S.A., BANCO BILBAO VIZCAYA ARGENTARIA, S.A., and CAIXABANK, S.A. responsible for said infringement from the year 2006 to the year 2016.  </w:t>
        <w:br/>
        <w:t xml:space="preserve">Third. In accordance with the responsibility of each company in the infringement referred to in the previous resolve, the following sanctions are imposed:  </w:t>
        <w:br/>
        <w:t xml:space="preserve">- BANCO SANTANDER, S.A.: 23,900,000 euros  </w:t>
        <w:br/>
        <w:t xml:space="preserve">- BANCO SABADELL, S.A.: 15,500,000 euros  </w:t>
        <w:br/>
        <w:t xml:space="preserve">- BANCO BILBAO VIZCAYA ARGENTARIA, S.A.: 19,800,000 euros  </w:t>
        <w:br/>
        <w:t>- CAIXABANK, S.A.: 31,800,000 euros</w:t>
      </w:r>
    </w:p>
    <w:p>
      <w:r>
        <w:t xml:space="preserve">Fourth. To urge the infringing companies to refrain in the future from engaging in conduct similar to that typified and sanctioned in this Resolution.  </w:t>
        <w:br/>
        <w:t xml:space="preserve">Fifth. To request the Competition Directorate of this National Commission of Markets and Competition to monitor the full compliance with this Resolution.  </w:t>
        <w:br/>
        <w:t xml:space="preserve">Sixth. To resolve on the confidentiality regarding the documentation provided by the companies in accordance with what is indicated in the Fifth Legal Basis.  </w:t>
        <w:br/>
        <w:t>This Resolution shall be communicated to the Competition Directorate of the National Commission of Markets and Competition and notified to the interested parties, informing them that no administrative appeal can be filed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