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https://www.cnmc.es/expedientes/sdc059116</w:t>
      </w:r>
    </w:p>
    <w:p>
      <w:r>
        <w:t>Pages translated : 5</w:t>
      </w:r>
    </w:p>
    <w:p/>
    <w:p>
      <w:r>
        <w:rPr>
          <w:b/>
        </w:rPr>
        <w:t>[Pages 1–3]</w:t>
      </w:r>
    </w:p>
    <w:p>
      <w:r>
        <w:t xml:space="preserve">AGREEMENT (Exp. S/DC/0591/16, ART MOVES)  </w:t>
        <w:br/>
        <w:t xml:space="preserve">President  </w:t>
        <w:br/>
        <w:t xml:space="preserve">Mr. José María Marín Quemada  </w:t>
        <w:br/>
        <w:t xml:space="preserve">Counselors  </w:t>
        <w:br/>
        <w:t xml:space="preserve">Ms. María Ortiz Aguilar  </w:t>
        <w:br/>
        <w:t xml:space="preserve">Mr. Fernando Torremocha y García-Sáenz  </w:t>
        <w:br/>
        <w:t xml:space="preserve">Mr. Josep María Guinart Solá  </w:t>
        <w:br/>
        <w:t xml:space="preserve">Ms. Clotilde de la Higuera González  </w:t>
        <w:br/>
        <w:t xml:space="preserve">Secretary  </w:t>
        <w:br/>
        <w:t xml:space="preserve">Mr. Joaquim Hortalà i Vallvé  </w:t>
        <w:br/>
        <w:t xml:space="preserve">In Madrid, on June 1, 2017  </w:t>
        <w:br/>
        <w:t xml:space="preserve">The COMPETITION CHAMBER of the National Commission of Markets and Competition, with the composition mentioned above, has taken this AGREEMENT within the framework of File S/DC/0591/16 ART MOVES.  </w:t>
        <w:br/>
        <w:t>The Rapporteur has been Counselor Mr. Fernando Torremocha y García-Sáenz.</w:t>
      </w:r>
    </w:p>
    <w:p>
      <w:r>
        <w:t xml:space="preserve">BACKGROUND  </w:t>
        <w:br/>
        <w:t xml:space="preserve">FIRST.- At the beginning of November 2014, within the framework of Sanctioning File S/DC/0544/14 INTERNATIONAL MOVES, and as a result of inspections carried out at the premises of four moving companies, "certain documents were found containing information, apparently related to possible practices contrary to Law 15/2007 of July 3, on the Defense of Competition, consisting of market allocation and/or the exchange of sensitive commercial information, related to the bidding process in public and private tenders for the relocation of artworks" (folios 2 to 10).  </w:t>
        <w:br/>
        <w:t>On March 7, 2016, the Competition Directorate, under the provisions of Article 49 of Law 15/2007, agreed to initiate Reserved Information DP/0105/15, in order to preliminarily determine the existence of circumstances justifying the initiation of sanctioning proceedings and, consequently, under the provisions of Article 27 of Law 3/2013 of June 4, creating the National Commission of Markets and Competition, on June 22 and 23, 2016, carried out home inspections at the premises of four companies (folios 16 to 32, 36 to 66, 78 to 92, and 104 to 206), in accordance with the provisions of the Investigation Order of June 13, 2016 (folios 11 to 15, 33 and 37, 73 to 77, and 99 to 103).</w:t>
      </w:r>
    </w:p>
    <w:p>
      <w:r>
        <w:t xml:space="preserve">SECOND.- On September 8, 2016, the Competition Directorate agreed to initiate Investigation Procedure S/DC/0591/16, incorporating all documentation into it, in order to proceed with the analysis of the information gathered during the inspections, "in relation to possible conduct contrary to Law 15/2007 in the sector of transportation services, production and assembly of artworks and exhibition elements, and auxiliary activities" (folio 1).  </w:t>
        <w:br/>
        <w:t>To this end, on September 13, 2016, the Competition Directorate sent Information Requests to the four inspected companies and to three other companies. Responses were received on September 23, 26, and 28, as well as on September 29 and October 6, 2016.</w:t>
      </w:r>
    </w:p>
    <w:p>
      <w:r>
        <w:t>THIRD.- The investigated companies are engaged in the national and international transportation of goods by road, rail, or air, essentially for the relocation of artworks; the custody and storage of all kinds of goods; and the operation of general deposit warehouses, on their own account or on behalf of third parties; in activities ancillary to land transportation as a transport operator, manufacturing and selling packaging, and selling materials, tools, and equipment related to packaging and similar; in any activity ancillary to transportation, such as relocation and its accessory operations, the design, assembly, and disassembly of fairs and exhibitions, restoration, rehabilitation, and, in general, the conservation of artworks and the construction of climate-controlled display cases for better preservation of the artworks; in any activity, directly or indirectly, related to the transportation of exhibitions; and in the design and execution of museum projects, technical museum consulting, and the supply, equipment, installation, application, and maintenance of all types of equipment, furniture, audiovisual media, and materials necessary for the conservation and storage of artworks.</w:t>
      </w:r>
    </w:p>
    <w:p>
      <w:r>
        <w:t xml:space="preserve">PROVEN FACTS  </w:t>
        <w:br/>
        <w:t>The behaviors analyzed in this File refer "to the provision of transportation services for artworks and cultural goods, packaging and unpacking, storage, conditioning of rooms for their exhibition, and additional services necessary to carry out the above."</w:t>
      </w:r>
    </w:p>
    <w:p>
      <w:r>
        <w:t xml:space="preserve">I.- Operation of the sector providing transportation services for artworks.  </w:t>
        <w:br/>
        <w:t xml:space="preserve">According to the information contained in the File, the providers or entities owning artworks (OOAA) or cultural goods invite several companies in the sector by mail to participate in tenders, attaching the Technical Conditions and Particular Clauses and informing about the deadline for submitting the economic offer. The OOAA providers have discretion when inviting or selecting transport companies, and similarly, the invited companies have the option to decline participation.  </w:t>
        <w:br/>
        <w:t xml:space="preserve">In general, the invitations sent by the OOAA providers to the transport companies are processed confidentially, with the invited companies being blind copied or sent individualized emails.  </w:t>
        <w:br/>
        <w:t xml:space="preserve">The OOAA transport companies are aware of the difficulty in being awarded certain contracts, due to the conditions of the tender itself or the alleged preference of the providers for certain companies in the sector.  </w:t>
        <w:br/>
        <w:t xml:space="preserve">Regarding the procedure followed in the providers' tenders, administrative documentation (envelope A), technical proposals (envelope B), and economic proposals (envelope C) are submitted. The contracting committee evaluates the criteria established in the administrative and technical specifications, and the scores assigned by bidding companies are published in the minutes of the opening of envelope B in the contractor's profile. For the economic proposal, the contracting committee proceeds to the public opening of envelope C, and the evaluation and classification of the received offers are carried out in a private session (reckless offers, rectification...). At the end of the tender process, the OOAA providers inform the transport companies whether or not they have been awarded the tender.  </w:t>
        <w:br/>
        <w:t xml:space="preserve">The transport companies that are not awarded the contract try to gather information from the contractor about which companies have submitted bids or the results of the opening of the tender envelopes, offered prices, etc. They also track the tenders they did not win and compile statistics with the results of the tenders they participated in.  </w:t>
        <w:br/>
        <w:t xml:space="preserve">The OOAA transport companies work with various international agents and vice versa. For example, the ARTIM Association has a contact database of different agents for consultation by its members.  </w:t>
        <w:br/>
        <w:t>Finally, according to the data obtained in the inspections of Feltrero, EDICT, Ordax, the transport companies managing an exhibition subcontract certain services required for a specific exhibition to other companies in the sector, such as boxes for transporting the OOAA, packaging and unpacking, transportation, storage of OOAA in their own facilities, overnight stays.</w:t>
      </w:r>
    </w:p>
    <w:p>
      <w:r>
        <w:t>II.- The purpose of the referenced actions is to determine whether the contacts between the investigated companies constitute or may constitute a violation of Article 1 of Law 15/2007 and specifically (1) a market allocation; (2) a price-fixing agreement, through the establishment of minimum transportation costs; and/or (3) an exchange of sensitive commercial information, in order to reduce structural costs and be more competitive against other operators in the OOAA relocation market, hindering or limiting the entry of new operators.</w:t>
      </w:r>
    </w:p>
    <w:p>
      <w:r>
        <w:rPr>
          <w:b/>
        </w:rPr>
        <w:t>[Pages 4–5]</w:t>
      </w:r>
    </w:p>
    <w:p>
      <w:r>
        <w:t>1st.- Market allocation.- (…) In the opinion of the Competition Directorate, the possible market allocation agreements reflected in the documents, notwithstanding the doubts regarding the implementation in 2010, would have prescribed under Article 68 of Law 15/2007.</w:t>
      </w:r>
    </w:p>
    <w:p>
      <w:r>
        <w:t>Concerning the company [XXX], the Competition Directorate, despite the inspections carried out, has not been able to prove that the market allocation was ultimately implemented, nor the identity of the applicant company, nor of the other participating companies, and therefore, it cannot be affirmed that there is a violation of Law 15/2007.</w:t>
      </w:r>
    </w:p>
    <w:p>
      <w:r>
        <w:t>2nd.- Price fixing through minimum cost agreement.- (…) The application of a minimum cost agreement among the mentioned companies would lead to the offers of the companies involved in the Agreement being artificially more competitive than those of other competing companies, by setting a minimum expenditure on transportation, employing a joint network of trucks and hindering the activity of competitors in the OOAA transport market and/or the entry of new competitors into the market.</w:t>
      </w:r>
    </w:p>
    <w:p>
      <w:r>
        <w:t>Notwithstanding the above, the alleged minimum transport cost agreement would have prescribed; and on the other hand, without evidence that this attempt at an agreement has materialized, despite the inspections carried out.</w:t>
      </w:r>
    </w:p>
    <w:p>
      <w:r>
        <w:t>3rd.- Exchange of sensitive information.- (…) The Competition Directorate has not found evidence that these contacts were part of an anticompetitive strategy. The repercussions that the entry into force of the Private Security Law had on the operations of the transport companies would explain the contacts between them to exchange opinions and negotiate jointly with public and private bodies on issues related to these security measures.</w:t>
      </w:r>
    </w:p>
    <w:p>
      <w:r>
        <w:t>Taking all of the above into account, the Competition Directorate understands that the analyzed behaviors have either prescribed or are not sufficient to prove the existence of a violation of competition defense regulations, despite the inspections and information requests made.</w:t>
      </w:r>
    </w:p>
    <w:p>
      <w:r>
        <w:t>PROPOSAL FOR ARCHIVING</w:t>
      </w:r>
    </w:p>
    <w:p>
      <w:r>
        <w:t>In light of all the above, the Competition Directorate, under the provisions of Article 49.3 of Law 15/2007 of July 3, on Competition Defense and in accordance with the provisions of Article 27 of the Competition Defense Regulation, on April 21, 2017, submits to this Competition Chamber a Proposal for the non-initiation of sanctioning proceedings, as well as the archiving of the actions within the framework of the Reserved Information S/DC/0591/16 MUDANZAS ARTE, considering that the practices subject to analysis have either prescribed or do not present sufficient indications to prove the existence of a violation of Article 1 of Law 15/2007.</w:t>
      </w:r>
    </w:p>
    <w:p>
      <w:r>
        <w:t>Having seen the cited provisions and others of general application, this COMPETITION CHAMBER of the National Commission of Markets and Competition, in the Plenary Session held in the city of Madrid today, Thursday, June 1, 2017,</w:t>
      </w:r>
    </w:p>
    <w:p>
      <w:r>
        <w:t>HAS AGREED</w:t>
      </w:r>
    </w:p>
    <w:p>
      <w:r>
        <w:t>SOLE.- Under the provisions of Article 49.3 of Law 15/2007 of July 3, on Competition Defense, in harmony and accordance with Article 27 of the Competition Defense Regulation, it is agreed not to initiate sanctioning proceedings and to archive the actions carried out within the framework of the Reserved Information S/DC/0591/16 MUDANZAS ARTE, either because the behaviors have prescribed or because they do not present sufficient indications to prove the existence of a violation of Article 1 of Law 15/2007.</w:t>
      </w:r>
    </w:p>
    <w:p>
      <w:r>
        <w:t>This AGREEMENT shall be communicated to the Competition Directorate of this National Commission of Markets and Competition and shall be duly notified to all interested parties, informing them that no appeal can be made against it in this prior administrative route, being able to do so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