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https://www.cnmc.es/expedientes/sdc059216</w:t>
      </w:r>
    </w:p>
    <w:p>
      <w:r>
        <w:t>Pages translated : 9</w:t>
      </w:r>
    </w:p>
    <w:p/>
    <w:p>
      <w:r>
        <w:rPr>
          <w:b/>
        </w:rPr>
        <w:t>[Pages 1–3]</w:t>
      </w:r>
    </w:p>
    <w:p>
      <w:r>
        <w:t xml:space="preserve">RESOLUTION  </w:t>
        <w:br/>
        <w:t xml:space="preserve">(File S/DC/0592/16 LABORATORIOS MARTÍ TORS)  </w:t>
        <w:br/>
        <w:t xml:space="preserve">COMPETITION CHAMBER  </w:t>
        <w:br/>
        <w:t xml:space="preserve">PRESIDENT  </w:t>
        <w:br/>
        <w:t xml:space="preserve">Mr. José María Marín Quemada  </w:t>
        <w:br/>
        <w:t xml:space="preserve">COUNCILORS  </w:t>
        <w:br/>
        <w:t xml:space="preserve">Mr. Josep María Guinart Solà  </w:t>
        <w:br/>
        <w:t xml:space="preserve">Ms. María Ortiz Aguilar  </w:t>
        <w:br/>
        <w:t xml:space="preserve">Mr. Fernando Torremocha y García - Sáenz  </w:t>
        <w:br/>
        <w:t xml:space="preserve">Mr. Benigno Valdés Díaz  </w:t>
        <w:br/>
        <w:t xml:space="preserve">SECRETARY  </w:t>
        <w:br/>
        <w:t xml:space="preserve">Mr. Tomás Suárez-Inclán González  </w:t>
        <w:br/>
        <w:t xml:space="preserve">In Madrid, on December 15, 2016  </w:t>
        <w:br/>
        <w:t xml:space="preserve">The COMPETITION CHAMBER of the CNMC, with the composition stated above, has issued this Resolution in File S/DC/0592/16 LABORATORIOS MARTÍ TORS, instructed by the Competition Directorate (hereinafter, DC) of the CNMC.  </w:t>
        <w:br/>
        <w:t>Mr. Benigno Valdés Díaz has been the Responsible Councilor.</w:t>
      </w:r>
    </w:p>
    <w:p>
      <w:r>
        <w:t xml:space="preserve">BACKGROUND  </w:t>
        <w:br/>
        <w:t>FIRST.- On July 26, 2016, sent by the Basque Competition Authority (AVC) and in accordance with the provisions of Law 1/2002, of February 21, on Coordination of the State and the Autonomous Communities in matters of Competition Defense, a complaint was received in the Competition Directorate of the CNMC, filed on January 25, 2016, by Ms. [XXX], a pharmacist and owner of a pharmacy located in San Sebastián, against the laboratory MARTÍ TOR IMPOMEDIC, S.L. (page 3), for an alleged imposition of prices on certain cosmetic products –specifically, the proteoglycan ampoules– and for the refusal to supply the complainant if she did not comply with said prices. The complaint is accompanied by the actions carried out by the AVC (pages 7 to 87).</w:t>
      </w:r>
    </w:p>
    <w:p>
      <w:r>
        <w:t>SECOND.- The Competition Directorate, in order to determine whether there could be indications of infringement in the investigated facts, and whether the circumstances justifying the initiation of a sanctioning proceeding were present, decided to carry out a confidential inquiry under the reference DP/0147/16. Within the framework of this confidential inquiry, on September 12, 2016, the Competition Directorate issued a request for information to the reported laboratory, in which information was requested regarding the company's activity, the product and geographic market in which it operates, and its distribution system. Additionally, it was required to explain its pricing policy, market share, and main competitors (pages 88 to 89). On October 4, 2016, the response letter from the reported laboratory was received (pages 92 to 157).</w:t>
      </w:r>
    </w:p>
    <w:p>
      <w:r>
        <w:t xml:space="preserve">ESTABLISHED FACTS  </w:t>
        <w:br/>
        <w:t>FIRST.- The parties in this File are: as complainant, [XXX], owner of the Plaza Guipúzcoa pharmacy, located in San Sebastián; and as respondent, MARTÍ TOR IMPOMEDIC, S.L. (MARTÍ TOR), a company whose corporate purpose is the manufacture and sale of cosmetic products and preparations with medicinal plants, in particular dermopharmacy products distributed through wholesalers, clinics, and direct sales to a selection of pharmacies. It markets its products throughout the national territory under the registered trademark "Martí Derm La Fórmula" (page 93).</w:t>
      </w:r>
    </w:p>
    <w:p>
      <w:r>
        <w:t>SECOND.- The affected Market. MARTÍ TOR is active in the wholesale trade of perfumery and cosmetic products (CNAE 4645). Therefore, the alleged conduct analyzed would affect the retail distribution market of cosmetic products, in the pharmaceutical channel and online sales. According to national precedents (C-0102/08 NMAS1/MERCAPITAL/BEAUTY BELL, C/0486/12 DIA/SCHLECKER, N-0522 AVIATE/CADYSSA/IBEDROPER, and N-07049 IBERDROPER/JUTECO) and community precedents (M.186 HENKEL/NOBEL, M.312 SANOFI/YVES SAINT LAURENT, M.1534 PINAULTPRINTEMPS-REDOUTE/GICCI, M.2951 A.S.WATSON/KRUIDVAT, M.3643 SEPHORA/EL CORTE INGLÉS/JV), related to the perfumery and cosmetics sector, a distinction is made, based on the range of the product sold, between luxury products and mass consumer products. Although both serve a similar function, they are generally not interchangeable. The luxury category includes high-quality products, relatively expensive and marketed under a prestigious brand. In contrast, mass consumer products are cheaper and simpler, with supermarkets being an important sales channel for them. According to the European Commission, both markets could be segmented into categories, such as makeup products, treatments, perfumes for men and women, etc. The EC has left the geographical definition of the retail distribution of luxury perfumery and cosmetic products open. However, in the mentioned precedents, it has considered that the market is at least national. Likewise, online sales via the Internet must be considered, at least, national. The luxury perfumery and cosmetics market "is characterized by the presence of large multinational companies, alongside which coexist small highly specialized companies, and the distribution generally follows the patterns of selective distribution, with a high degree of competition, given the existence of a large number of suppliers" (S/0257/10 - NATURAL BISSÉ). Regarding MARTÍ TOR's situation in the market, and according to its own information, the only data available regarding its market share is provided by the auditing company HMR, which places it in 14th position, with the [CONFIDENTIAL] of the group of laboratories operating in the "Personal Care" market (page 96). It also identifies its main competitors in the national market as SeSderma, Industrial Farmacéutica Cantabria (IFC), ISDIN, Beiersdorf, PIERRE FABRE, Caudalie, Lierac, Bioderma, VICHY, and La Roche Posay (page 96).</w:t>
      </w:r>
    </w:p>
    <w:p>
      <w:r>
        <w:t>THIRD.- MARTÍ TOR markets dermocosmetic products, considered within the "selective" group. The distribution channel is exclusive to sales in pharmacies, parapharmacies, and, in some specific cases, perfumeries that include the sale of parapharmacy products. It also sells its products to wholesalers and exclusive distributors to supply the pharmacy channel. The distribution system does not vary according to the type of distributor, but the commercial conditions, concessions, materials, and tools provided to the customer do vary, depending on the business volume and involvement with the brand. It is exactly the same for all autonomous communities, except for the Canary Islands due to their logistical peculiarities (pages 93 and 94). There are neither contracts nor order forms where the contracting conditions are set forth (pages 32 and 94).</w:t>
      </w:r>
    </w:p>
    <w:p>
      <w:r>
        <w:t>The reported conduct refers to a specific product, the "Proteoglycan" ampoules, but in the email dated November 5, 2014, a similar pattern of action is observed regarding other products, such as "Proteum" and "Beauty and Go" (pages 13 and 14). According to the catalog provided by MARTÍ TOR itself to the AVC (pages 51 to 78), the proteoglycan ampoules constitute an anti-wrinkle corrective treatment presented in two versions and two formats: "Proteoglycan Ampoules" in formats of 10 (C.N. 248302.6) and 30 ampoules (C.N. 247379.9) and "Proteoglycan FPS Ampoules" in formats of 10 (C.N. 264259.1) and 30 ampoules (C.N. 264267.6). The respondent also markets the product "Proteum serum," an anti-wrinkle, firming, and antioxidant fluid presented in a 30 ml format (C.N. 173136.4) and the product "Beauty and Go," a case that</w:t>
      </w:r>
    </w:p>
    <w:p>
      <w:r>
        <w:rPr>
          <w:b/>
        </w:rPr>
        <w:t>[Pages 4–6]</w:t>
      </w:r>
    </w:p>
    <w:p>
      <w:r>
        <w:t>minimum resale prices.</w:t>
      </w:r>
    </w:p>
    <w:p>
      <w:r>
        <w:t>THIRD.- The object of this file is to determine whether MARTÍ TOR has engaged in prohibited conduct by setting recommended prices that have acted as minimum resale prices, thus violating Article 1 of Law 15/2007, of July 3, on the Defense of Competition (LDC).</w:t>
      </w:r>
    </w:p>
    <w:p>
      <w:r>
        <w:t>There are neither contracts nor order forms where the contracting conditions are set forth. However, following the investigations carried out by the Competition Directorate, the imposition of minimum resale prices has been proven, at least for the products "Proteoglycan Ampoules," "Proteun Serum," and "Beauty and Go." It is also proven that there was a refusal to supply the product until the price conditions were met (See Proven Fact THIRD, Letters (i) and following), without the respondent's allegations being able to refute this point.</w:t>
      </w:r>
    </w:p>
    <w:p>
      <w:r>
        <w:t>SECOND.- Article 1.1 of the LDC establishes that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 […]".</w:t>
      </w:r>
    </w:p>
    <w:p>
      <w:r>
        <w:t>The relationships between the parties in this File are, following the provisions of Regulation (EU) No. 330/2010, of April 20 (OJEU of 23.04.10), of the European Commission regarding the application of Article 101, paragraph 3, of the Treaty on the Functioning of the European Union to certain categories of vertical agreements and concerted practices, of a vertical nature, since they take place between companies operating at different levels of the distribution chain and refer to the conditions under which they can acquire, sell or resell certain goods.</w:t>
      </w:r>
    </w:p>
    <w:p>
      <w:r>
        <w:t>In its Article 4, Royal Decree 261/2008, of February 22, which approves the Competition Defense Regulation (RDC), considers as particularly serious restrictions the restriction of the buyer's ability to determine the selling price, the restriction of the territory or clientele to which the buyer may sell the contractual goods, and the restriction of active or passive sales to end users by members of a selective distribution system.</w:t>
      </w:r>
    </w:p>
    <w:p>
      <w:r>
        <w:t>However, the negative consequences for competition arising from such restrictions depend on their ability to reduce competition and facilitate collusion, whether explicitly or tacitly. Indeed, it is necessary to analyze the legal and economic context in which this vertical price fixing is occurring, as required by Article 3 of the RDC, which excludes the application of Articles 1 to 3 of the LDC to conduct that, considering its legal and economic context, is not suitable to significantly affect competition.</w:t>
      </w:r>
    </w:p>
    <w:p>
      <w:r>
        <w:t>The RDC in its Article 2 exempts certain conduct from the application of the de minimis exemption, even when the market share of the intervening companies could be considered of lesser importance. Among them, in paragraph a) of the second paragraph of that article, the establishment of minimum resale prices is included.</w:t>
      </w:r>
    </w:p>
    <w:p>
      <w:r>
        <w:rPr>
          <w:b/>
        </w:rPr>
        <w:t>[Pages 7–9]</w:t>
      </w:r>
    </w:p>
    <w:p>
      <w:r>
        <w:t>DC in its Art. 2 exempts certain behaviors from the application of the de minimis exemption, even when the market share of the participating companies may be considered of lesser importance. Among them, in section a) of the second paragraph of that article, the establishment of a fixed or minimum resale price to which the buyer must adhere is included. However, given the vertical nature of this conduct, its exclusion from the de minimis rule does not prevent its individual analysis to verify the existence of appreciable effects contrary to competition and, if applicable, for companies to present their efficiency claims.</w:t>
      </w:r>
    </w:p>
    <w:p>
      <w:r>
        <w:t>In this regard, the Council of the now-defunct CNC, in its Resolution of December 3, 2009 (Expte. S/0105/08 EL CORRAL DE LAS FLAMENCAS, Legal Basis Third), states that "... Article 5 of Law 15/2007 establishes regarding Conducts of lesser importance the following: 'The prohibitions set forth in Articles 1 to 3 of this Law shall not apply to those conducts that, due to their minor importance, are not capable of significantly affecting competition. The criteria for delimiting conducts of lesser importance shall be determined by regulation, taking into account, among others, the market share. Royal Decree 261/2008, of February 22, which approves the Competition Defense Regulation (RDC), has established these criteria for the delimitation of de minimis conducts. In its Article 1, it delimits conducts of lesser importance based on market share. Among others, it includes conducts between companies that are neither actual nor potential competitors, when the market share of each does not exceed 15 percent in any of the affected relevant markets. The RDC in its Article 2 exempts certain conducts from the application of the de minimis exemption, even when the market share of the participating companies may be considered of lesser importance. Among them, in section a) of the second paragraph of that article, the establishment of a fixed or minimum resale price to which the buyer must adhere is included. The regulation considers that the setting of vertical prices is capable of causing harm to competition. Therefore, closely following the Commission's de minimis Communication, Article 2 of the RDC excludes this type of conduct from the concept of lesser importance by quota, preventing its automatic exemption. However, given the vertical nature of this conduct, its exclusion from the de minimis rule – or from the block exemption for certain categories of vertical agreements and concerted practices (section 62 of the Guidelines on vertical restrictions) – does not prevent its individual analysis to verify the existence of appreciable effects contrary to competition and, if applicable, for companies to present their efficiency claims. The Council understands that in those cases where the setting of resale prices does not have the capacity to significantly affect competition in the market, Article 3 of the RDC may apply, which states: 'Without prejudice to the provisions of the previous articles and for the purposes established in Articles 5 and 53.1.b) of Law 15/2007, of July 3, the Council of the National Competition Commission may declare Articles 1 to 3 of the aforementioned Law inapplicable to conducts that, considering their legal and economic context, are not suitable to significantly affect competition.'"</w:t>
      </w:r>
    </w:p>
    <w:p>
      <w:r>
        <w:t>In the same vein, the Resolution of the Council of the now-defunct CNC of December 17, 2010 (Expte. S/0257/10 NATURA BISSE INTERNACIONAL, Legal Basis Second, reiterated doctrine in Expte. S/0417/12 MANTRA) establishes the following: "Regarding the analysis of Article 1, it is appropriate to follow the grounds set forth by the Council in the RCNC S/105/08 El Corral de las Flamencas. In that resolution, it was argued that while a pricing conduct is exempt from the automatic application of the de minimis Rule that would apply due to its market share, this exception does not prevent its individual analysis to assess the existence or absence of effects, and thus in that Resolution, the Council stated the following: 'The Council understands that in those cases where the setting of resale prices does not have the capacity to significantly affect competition in the market, Article 3 of the RDC may apply, which states: 'Without prejudice to the provisions of the previous articles and for the purposes established in Articles 5 and 53.1.b) of Law 15/2007, of July 3, the Council of the National Competition Commission may declare Articles 1 to 3 of the aforementioned law inapplicable to conducts that, considering their legal and economic context, are not suitable to significantly affect competition.' It is appropriate to assess whether in this specific case the de minimis doctrine outlined above applies, analyzing the legal and economic context in which the conduct has taken place. In this sense, if we consider the characteristics of the reference market, which is atomized in nature, with numerous and relevant competitors (See Proven Fact SECOND), as well as the specific position of the reported party in the referred market, where it has a not significant market share [CONFIDENTIAL] within the group of laboratories operating in the Personal Care market (See, in both cases, Proven Fact SECOND), these elements restrict the impact that the reported conduct could have on the market, limiting the appreciable effects contrary to competition, which is why it would be a suitable case for the application of the aforementioned doctrine that allows declaring the inapplicability of Articles 1 to 3 of the LDC in those cases where the setting of resale prices does not have the capacity to significantly affect competition.</w:t>
      </w:r>
    </w:p>
    <w:p>
      <w:r>
        <w:t>Notwithstanding the above, the DC, and this COMPETITION CHAMBER agrees, considers it appropriate to remind the reported party, in response to its allegations regarding customers who "try to set prices well below the recommended" (See Proven Fact THIRD) that, even though these customers carry out an aggressive pricing policy, the defense of the commercial interests of the reported party does not justify its intervention in the pricing of distributors, who must enjoy full freedom for their establishment. This is because the recommendation of prices cannot become a minimum resale price setting, and the pressure measures developed to achieve compliance with these minimum prices are contrary to the provisions of Article 1 of the LDC, without prejudice to the fact that exceptionally, as occurs in the current case, the legal-economic context justifies the non-application of said article. Price freedom is an essential pillar for maintaining competition in the market and benefits all economic operators and especially consumers, with no justification for practices such as those carried out by the reported party.</w:t>
      </w:r>
    </w:p>
    <w:p>
      <w:r>
        <w:t>For the reasons stated, although the setting of prices constitutes an infringement of Article 1.1.a) of the LDC, it does not seem that, considering the economic context in which it has been carried out, it is capable of significantly affecting competition.</w:t>
      </w:r>
    </w:p>
    <w:p>
      <w:r>
        <w:t>THIRD.- In light of all the above, and in accordance with the provisions of Article 49.3 of Law 15/2007, of July 3, on Competition Defense, the DC proposes the non-initiation of the sanctioning procedure, as well as the filing of the proceedings, considering that it has not been proven, in light of the information contained in the File, that the setting of minimum retail prices carried out by MARTÍ TOR, even constituting an infringement classified in Article 1.1.a) of the LDC, is capable of significantly affecting competition. This COMPETITION CHAMBER agrees and adopts the proposal of the DC.</w:t>
      </w:r>
    </w:p>
    <w:p>
      <w:r>
        <w:t>By virtue of all that has been stated, and in view of the aforementioned legal provisions and other generally applicable provisions, this COMPETITION CHAMBER of the National Commission of Markets and Competition, in its Session of December 15, 2016, and in relation to the facts examined in this File,</w:t>
      </w:r>
    </w:p>
    <w:p>
      <w:r>
        <w:t>HAS RESOLVED</w:t>
      </w:r>
    </w:p>
    <w:p>
      <w:r>
        <w:t>SOLE.- The non-initiation of the sanctioning procedure, as well as the filing of the proceedings followed in the File in question, considering that in light of the information contained in the File it has not been proven that the setting of minimum retail prices carried out by MARTÍ TOR is capable of significantly affecting competition.</w:t>
      </w:r>
    </w:p>
    <w:p>
      <w:r>
        <w:t>This Resolution shall be communicated to the Competition Directorate of the CNMC and shall be duly notified to the interested parties, informing them that there is no possibility of appeal in this prior administrative route, being able to do so, within two months from the day following the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