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line="259"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Vấn đề chính của nhà thuốc</w:t>
      </w:r>
    </w:p>
    <w:p w:rsidR="00000000" w:rsidDel="00000000" w:rsidP="00000000" w:rsidRDefault="00000000" w:rsidRPr="00000000" w14:paraId="00000002">
      <w:pPr>
        <w:spacing w:line="259"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1a. Quy trình mở nhà thuốc</w:t>
      </w:r>
    </w:p>
    <w:p w:rsidR="00000000" w:rsidDel="00000000" w:rsidP="00000000" w:rsidRDefault="00000000" w:rsidRPr="00000000" w14:paraId="00000003">
      <w:pPr>
        <w:spacing w:line="259" w:lineRule="auto"/>
        <w:ind w:left="108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-Để mở nhà thuốc/quầy thuốc cần có người phụ trách chuyên môn dược, người này cần có Chứng chỉ hành nghề (CCHN), nếu là nhà thuốc thì cần CCHN của dược sĩ đại học, nếu là quầy thuốc cần CCHN của Ds Cao Đẳng, Trung cấp.</w:t>
      </w:r>
    </w:p>
    <w:p w:rsidR="00000000" w:rsidDel="00000000" w:rsidP="00000000" w:rsidRDefault="00000000" w:rsidRPr="00000000" w14:paraId="00000004">
      <w:pPr>
        <w:spacing w:line="259" w:lineRule="auto"/>
        <w:ind w:left="108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Thông thường người có CCHN này sẽ đứng tên là chủ nhà thuốc luôn (có lúc DS có CCHN này sẽ là chủ thực sự, có lúc là hợp tác với chủ nhà thuốc)</w:t>
      </w:r>
    </w:p>
    <w:p w:rsidR="00000000" w:rsidDel="00000000" w:rsidP="00000000" w:rsidRDefault="00000000" w:rsidRPr="00000000" w14:paraId="00000005">
      <w:pPr>
        <w:spacing w:line="259" w:lineRule="auto"/>
        <w:ind w:left="108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Ds sẽ mang giấy tờ (hợp đồng thuê, mượn mặt bằng, CMND, CCHN, bằng cấp chuyên môn đến ủy ban quận, huyện để đăng ký kinh doanh (quá trình này họ có thể tự làm hoặc thuê người làm, quá trình này sẽ mất 2-10 ngày tùy nơi), sau khi có giấy ĐKKD thì ds nên liên hệ bên thuế để đăng ký thuế, và xin lùi thời gian tính thuế (nếu đăng ký muộn có thể bị phạt)</w:t>
      </w:r>
    </w:p>
    <w:p w:rsidR="00000000" w:rsidDel="00000000" w:rsidP="00000000" w:rsidRDefault="00000000" w:rsidRPr="00000000" w14:paraId="00000006">
      <w:pPr>
        <w:spacing w:line="259" w:lineRule="auto"/>
        <w:ind w:left="108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Sau khi có đkkd thì sẽ nộp hồ sơ lên Sở Y Tế (SYT) để xin được thẩm định GPP</w:t>
      </w:r>
      <w:r w:rsidDel="00000000" w:rsidR="00000000" w:rsidRPr="00000000">
        <w:rPr>
          <w:rFonts w:ascii="Calibri" w:cs="Calibri" w:eastAsia="Calibri" w:hAnsi="Calibri"/>
          <w:color w:val="4472c4"/>
          <w:sz w:val="26"/>
          <w:szCs w:val="26"/>
          <w:rtl w:val="0"/>
        </w:rPr>
        <w:t xml:space="preserve">, bộ giấy tờ này nhiều SYT sẽ yêu cầu nộp cùng bản photo hợp đồng phần mềm</w:t>
      </w:r>
      <w:r w:rsidDel="00000000" w:rsidR="00000000" w:rsidRPr="00000000">
        <w:rPr>
          <w:rFonts w:ascii="Calibri" w:cs="Calibri" w:eastAsia="Calibri" w:hAnsi="Calibri"/>
          <w:sz w:val="26"/>
          <w:szCs w:val="26"/>
          <w:rtl w:val="0"/>
        </w:rPr>
        <w:t xml:space="preserve">, sau khi thẩm định GPP đạt, SYT sẽ cấp giấy GPP, và giấy đủ đkkd, </w:t>
      </w:r>
      <w:r w:rsidDel="00000000" w:rsidR="00000000" w:rsidRPr="00000000">
        <w:rPr>
          <w:rFonts w:ascii="Calibri" w:cs="Calibri" w:eastAsia="Calibri" w:hAnsi="Calibri"/>
          <w:b w:val="1"/>
          <w:bCs w:val="1"/>
          <w:color w:val="4472c4"/>
          <w:sz w:val="26"/>
          <w:szCs w:val="26"/>
          <w:rtl w:val="0"/>
        </w:rPr>
        <w:t xml:space="preserve">mã liên thông, </w:t>
      </w:r>
      <w:r w:rsidDel="00000000" w:rsidR="00000000" w:rsidRPr="00000000">
        <w:rPr>
          <w:rFonts w:ascii="Calibri" w:cs="Calibri" w:eastAsia="Calibri" w:hAnsi="Calibri"/>
          <w:b w:val="1"/>
          <w:bCs w:val="1"/>
          <w:sz w:val="26"/>
          <w:szCs w:val="26"/>
          <w:rtl w:val="0"/>
        </w:rPr>
        <w:t xml:space="preserve">(</w:t>
      </w:r>
      <w:r w:rsidDel="00000000" w:rsidR="00000000" w:rsidRPr="00000000">
        <w:rPr>
          <w:rFonts w:ascii="Calibri" w:cs="Calibri" w:eastAsia="Calibri" w:hAnsi="Calibri"/>
          <w:sz w:val="26"/>
          <w:szCs w:val="26"/>
          <w:rtl w:val="0"/>
        </w:rPr>
        <w:t xml:space="preserve">mã liên thông có thể trả cùng hoặc trả sau giấy GPP tùy từng SYT, phổ biến là trả sau 7-10n ngày, có </w:t>
      </w:r>
      <w:r w:rsidDel="00000000" w:rsidR="00000000" w:rsidRPr="00000000">
        <w:rPr>
          <w:rFonts w:ascii="Calibri" w:cs="Calibri" w:eastAsia="Calibri" w:hAnsi="Calibri"/>
          <w:b w:val="1"/>
          <w:bCs w:val="1"/>
          <w:sz w:val="26"/>
          <w:szCs w:val="26"/>
          <w:rtl w:val="0"/>
        </w:rPr>
        <w:t xml:space="preserve">Thanh Hóa, Hưng Yên, TP.HCM</w:t>
      </w:r>
      <w:r w:rsidDel="00000000" w:rsidR="00000000" w:rsidRPr="00000000">
        <w:rPr>
          <w:rFonts w:ascii="Calibri" w:cs="Calibri" w:eastAsia="Calibri" w:hAnsi="Calibri"/>
          <w:sz w:val="26"/>
          <w:szCs w:val="26"/>
          <w:rtl w:val="0"/>
        </w:rPr>
        <w:t xml:space="preserve"> là phải có mã mới được thẩm định)- quá trình này thông thường các nhà thuốc thuê người làm GPP cho.</w:t>
      </w:r>
    </w:p>
    <w:p w:rsidR="00000000" w:rsidDel="00000000" w:rsidP="00000000" w:rsidRDefault="00000000" w:rsidRPr="00000000" w14:paraId="00000007">
      <w:pPr>
        <w:spacing w:after="160" w:line="259" w:lineRule="auto"/>
        <w:ind w:left="108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Khi nhận được giấy GPP và giấy đủ đkkd dược thì nhà thuốc/quầy thuốc chính thức được hoạt động (tuy nhiên rất nhiều nơi các nhà thuốc/quầy thuốc bán chui, ko có giấy tờ, hoặc chưa có giấy tờ đầy đủ đã bán)</w:t>
      </w:r>
    </w:p>
    <w:p w:rsidR="00000000" w:rsidDel="00000000" w:rsidP="00000000" w:rsidRDefault="00000000" w:rsidRPr="00000000" w14:paraId="00000008">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1b. Một số quy định bắt buộc của nhà thuốc có liên quan đến công ty</w:t>
      </w:r>
    </w:p>
    <w:p w:rsidR="00000000" w:rsidDel="00000000" w:rsidP="00000000" w:rsidRDefault="00000000" w:rsidRPr="00000000" w14:paraId="00000009">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Khi hoạt động trong lĩnh vực kinh doanh thuốc thì các nhà thuốc/quầy thuốc bắt buộc phải tuân thủ theo các quy định của ngành nghề, và quy định này tập trung trong cuốn “hướng dẫn thực hành tốt nhà thuốc”. Các quy định này thường không ảnh hưởng trực tiếp đến pm nên chỉ giới thiệu để biết vậy. Sau đây là các quy định liên quan trực tiếp đến pm:</w:t>
      </w:r>
    </w:p>
    <w:p w:rsidR="00000000" w:rsidDel="00000000" w:rsidP="00000000" w:rsidRDefault="00000000" w:rsidRPr="00000000" w14:paraId="0000000A">
      <w:pPr>
        <w:numPr>
          <w:ilvl w:val="0"/>
          <w:numId w:val="3"/>
        </w:numPr>
        <w:spacing w:line="259" w:lineRule="auto"/>
        <w:ind w:left="1080" w:hanging="360"/>
        <w:rPr>
          <w:rFonts w:ascii="Times New Roman" w:cs="Times New Roman" w:eastAsia="Times New Roman" w:hAnsi="Times New Roman"/>
          <w:sz w:val="26"/>
          <w:szCs w:val="26"/>
        </w:rPr>
      </w:pPr>
      <w:r w:rsidDel="00000000" w:rsidR="00000000" w:rsidRPr="00000000">
        <w:rPr>
          <w:rFonts w:ascii="Calibri" w:cs="Calibri" w:eastAsia="Calibri" w:hAnsi="Calibri"/>
          <w:sz w:val="26"/>
          <w:szCs w:val="26"/>
          <w:rtl w:val="0"/>
        </w:rPr>
        <w:t xml:space="preserve">Các nhà thuốc cần nhập xuất liên thông Dược Quốc Gia: theo quy định tất cả các sản phẩm là thuốc tại nhà thuốc khi nhập vào và bán ra cần nhập xuất trên phần mềm để liên thông dược quốc gia (SYT vào DQG sẽ biết được các thông tin này), tuy nhiên lại có 2 vấn đề giữa yêu cầu và thực tế:</w:t>
      </w:r>
    </w:p>
    <w:p w:rsidR="00000000" w:rsidDel="00000000" w:rsidP="00000000" w:rsidRDefault="00000000" w:rsidRPr="00000000" w14:paraId="0000000B">
      <w:pPr>
        <w:spacing w:line="259" w:lineRule="auto"/>
        <w:ind w:left="108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nhập hàng: theo quy định của ngành, các sản phẩm thuốc để nhập vào nhà thuốc cần có nguồn gốc xuất xứ (hóa đơn tài chính của công ty), tuy nhiên nhiều quầy không lấy được hóa đơn vì vậy họ thường chỉ nhập các phiếu có hóa đơn vào liên thông. SYT quan tâm đến lô hạn và số đăng ký nên khi nhập hàng cần them lô hạn.</w:t>
      </w:r>
    </w:p>
    <w:p w:rsidR="00000000" w:rsidDel="00000000" w:rsidP="00000000" w:rsidRDefault="00000000" w:rsidRPr="00000000" w14:paraId="0000000C">
      <w:pPr>
        <w:spacing w:line="259" w:lineRule="auto"/>
        <w:ind w:left="108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xuất bán: theo quy định của ngành sẽ có thuốc kê đơn (bác sĩ kê đơn mới được bán), thuốc không kê đơn vì vậy khi bán hàng thuốc kê đơn trên phần mềm thì các nhà thuốc phải để tên bác sĩ khi bán.</w:t>
      </w:r>
    </w:p>
    <w:p w:rsidR="00000000" w:rsidDel="00000000" w:rsidP="00000000" w:rsidRDefault="00000000" w:rsidRPr="00000000" w14:paraId="0000000D">
      <w:pPr>
        <w:numPr>
          <w:ilvl w:val="0"/>
          <w:numId w:val="3"/>
        </w:numPr>
        <w:spacing w:line="259" w:lineRule="auto"/>
        <w:ind w:left="1080" w:hanging="360"/>
        <w:rPr>
          <w:rFonts w:ascii="Times New Roman" w:cs="Times New Roman" w:eastAsia="Times New Roman" w:hAnsi="Times New Roman"/>
          <w:sz w:val="26"/>
          <w:szCs w:val="26"/>
        </w:rPr>
      </w:pPr>
      <w:r w:rsidDel="00000000" w:rsidR="00000000" w:rsidRPr="00000000">
        <w:rPr>
          <w:rFonts w:ascii="Calibri" w:cs="Calibri" w:eastAsia="Calibri" w:hAnsi="Calibri"/>
          <w:sz w:val="26"/>
          <w:szCs w:val="26"/>
          <w:rtl w:val="0"/>
        </w:rPr>
        <w:t xml:space="preserve">Các nhà thuốc cần có mã liên thông (mã này do SYT cấp), mã này sẽ gắn với pm làm cầu nối chuyển dữ liệu từ phần mềm lên DQG. Một số SYT sẽ trả mã liên thông cho các nhà thuốc luôn cùng giấy GPP, một số SYT các nhà thuốc phải lên syt để tra mã liên thông sau 10-30 ngày, một số SYT rất khó khăn trong xin mã, phải có mã LT mới được thẩm định.</w:t>
      </w:r>
    </w:p>
    <w:p w:rsidR="00000000" w:rsidDel="00000000" w:rsidP="00000000" w:rsidRDefault="00000000" w:rsidRPr="00000000" w14:paraId="0000000E">
      <w:pPr>
        <w:numPr>
          <w:ilvl w:val="0"/>
          <w:numId w:val="2"/>
        </w:numPr>
        <w:spacing w:after="160" w:line="259" w:lineRule="auto"/>
        <w:ind w:left="720" w:hanging="360"/>
        <w:rPr>
          <w:rFonts w:ascii="Noto Sans Symbols" w:cs="Noto Sans Symbols" w:eastAsia="Noto Sans Symbols" w:hAnsi="Noto Sans Symbols"/>
          <w:sz w:val="26"/>
          <w:szCs w:val="26"/>
        </w:rPr>
      </w:pPr>
      <w:r w:rsidDel="00000000" w:rsidR="00000000" w:rsidRPr="00000000">
        <w:rPr>
          <w:rFonts w:ascii="Calibri" w:cs="Calibri" w:eastAsia="Calibri" w:hAnsi="Calibri"/>
          <w:sz w:val="26"/>
          <w:szCs w:val="26"/>
          <w:rtl w:val="0"/>
        </w:rPr>
        <w:t xml:space="preserve">Để xin mã liên thông cần khách hàng cung cấp đủ bộ giấy tờ: giấy ĐKKD, đủ đk kinh doanh dược, GPP, CCHN</w:t>
      </w:r>
    </w:p>
    <w:p w:rsidR="00000000" w:rsidDel="00000000" w:rsidP="00000000" w:rsidRDefault="00000000" w:rsidRPr="00000000" w14:paraId="0000000F">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1c. Tái thẩm và thẩm định mới</w:t>
      </w:r>
    </w:p>
    <w:p w:rsidR="00000000" w:rsidDel="00000000" w:rsidP="00000000" w:rsidRDefault="00000000" w:rsidRPr="00000000" w14:paraId="00000010">
      <w:pPr>
        <w:numPr>
          <w:ilvl w:val="0"/>
          <w:numId w:val="3"/>
        </w:numPr>
        <w:spacing w:line="259" w:lineRule="auto"/>
        <w:ind w:left="1080" w:hanging="360"/>
        <w:rPr>
          <w:rFonts w:ascii="Times New Roman" w:cs="Times New Roman" w:eastAsia="Times New Roman" w:hAnsi="Times New Roman"/>
          <w:sz w:val="26"/>
          <w:szCs w:val="26"/>
        </w:rPr>
      </w:pPr>
      <w:r w:rsidDel="00000000" w:rsidR="00000000" w:rsidRPr="00000000">
        <w:rPr>
          <w:rFonts w:ascii="Calibri" w:cs="Calibri" w:eastAsia="Calibri" w:hAnsi="Calibri"/>
          <w:sz w:val="26"/>
          <w:szCs w:val="26"/>
          <w:rtl w:val="0"/>
        </w:rPr>
        <w:t xml:space="preserve">Sau khi hoạt động 3 năm thì các NT sẽ hết hạn GPP, ở thời điểm này NT sẽ tái thẩm hoặc thẩm định mới.</w:t>
      </w:r>
    </w:p>
    <w:p w:rsidR="00000000" w:rsidDel="00000000" w:rsidP="00000000" w:rsidRDefault="00000000" w:rsidRPr="00000000" w14:paraId="00000011">
      <w:pPr>
        <w:spacing w:line="259" w:lineRule="auto"/>
        <w:ind w:left="108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thẩm định mới: nhà thuốc sẽ làm thủ tục đóng cửa hạ biển nhà thuốc hiện tại (mặc dù có thể vẫn bán hàng), và làm thủ tục mở nhà thuốc mới như 1a (</w:t>
      </w:r>
      <w:r w:rsidDel="00000000" w:rsidR="00000000" w:rsidRPr="00000000">
        <w:rPr>
          <w:rFonts w:ascii="Calibri" w:cs="Calibri" w:eastAsia="Calibri" w:hAnsi="Calibri"/>
          <w:b w:val="1"/>
          <w:bCs w:val="1"/>
          <w:sz w:val="26"/>
          <w:szCs w:val="26"/>
          <w:rtl w:val="0"/>
        </w:rPr>
        <w:t xml:space="preserve">thay đổi dược sĩ, thay đổi địa điểm kinh doanh, thay đổi lĩnh vực bán hoặc nghỉ một thời gian rồi mở lại</w:t>
      </w:r>
      <w:r w:rsidDel="00000000" w:rsidR="00000000" w:rsidRPr="00000000">
        <w:rPr>
          <w:rFonts w:ascii="Calibri" w:cs="Calibri" w:eastAsia="Calibri" w:hAnsi="Calibri"/>
          <w:sz w:val="26"/>
          <w:szCs w:val="26"/>
          <w:rtl w:val="0"/>
        </w:rPr>
        <w:t xml:space="preserve">), và họ sẽ </w:t>
      </w:r>
      <w:r w:rsidDel="00000000" w:rsidR="00000000" w:rsidRPr="00000000">
        <w:rPr>
          <w:rFonts w:ascii="Calibri" w:cs="Calibri" w:eastAsia="Calibri" w:hAnsi="Calibri"/>
          <w:color w:val="c00000"/>
          <w:sz w:val="26"/>
          <w:szCs w:val="26"/>
          <w:rtl w:val="0"/>
        </w:rPr>
        <w:t xml:space="preserve">cần hợp đồng phần mềm cho nhà thuốc mớ</w:t>
      </w:r>
      <w:r w:rsidDel="00000000" w:rsidR="00000000" w:rsidRPr="00000000">
        <w:rPr>
          <w:rFonts w:ascii="Calibri" w:cs="Calibri" w:eastAsia="Calibri" w:hAnsi="Calibri"/>
          <w:color w:val="8eaadb"/>
          <w:sz w:val="26"/>
          <w:szCs w:val="26"/>
          <w:rtl w:val="0"/>
        </w:rPr>
        <w:t xml:space="preserve">i</w:t>
      </w:r>
      <w:r w:rsidDel="00000000" w:rsidR="00000000" w:rsidRPr="00000000">
        <w:rPr>
          <w:rFonts w:ascii="Calibri" w:cs="Calibri" w:eastAsia="Calibri" w:hAnsi="Calibri"/>
          <w:sz w:val="26"/>
          <w:szCs w:val="26"/>
          <w:rtl w:val="0"/>
        </w:rPr>
        <w:t xml:space="preserve"> này (tùy SYT có yêu cầu hay ko nhưng 80% yêu cầu), ngoài ra về mặt lý thuyết thì nhà thuốc chưa hoạt động vì vậy trước ngày thẩm định sẽ phải </w:t>
      </w:r>
      <w:r w:rsidDel="00000000" w:rsidR="00000000" w:rsidRPr="00000000">
        <w:rPr>
          <w:rFonts w:ascii="Calibri" w:cs="Calibri" w:eastAsia="Calibri" w:hAnsi="Calibri"/>
          <w:color w:val="c00000"/>
          <w:sz w:val="26"/>
          <w:szCs w:val="26"/>
          <w:rtl w:val="0"/>
        </w:rPr>
        <w:t xml:space="preserve">xóa dữ liệu nhập hàng bán hàng trên phần mềm liên thông</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12">
      <w:pPr>
        <w:spacing w:after="160" w:line="259" w:lineRule="auto"/>
        <w:ind w:left="1080" w:firstLine="0"/>
        <w:rPr>
          <w:rFonts w:ascii="Calibri" w:cs="Calibri" w:eastAsia="Calibri" w:hAnsi="Calibri"/>
          <w:color w:val="c00000"/>
          <w:sz w:val="26"/>
          <w:szCs w:val="26"/>
        </w:rPr>
      </w:pPr>
      <w:r w:rsidDel="00000000" w:rsidR="00000000" w:rsidRPr="00000000">
        <w:rPr>
          <w:rFonts w:ascii="Calibri" w:cs="Calibri" w:eastAsia="Calibri" w:hAnsi="Calibri"/>
          <w:sz w:val="26"/>
          <w:szCs w:val="26"/>
          <w:rtl w:val="0"/>
        </w:rPr>
        <w:t xml:space="preserve">+, tái thẩm: các nhà thuốc phải nộp hồ sơ xin tái thẩm (thông thường có nhờ dịch vụ GPP) và về mặt luật thì họ sẽ cần dữ liệu nhập xuất hàng hóa trong 3 năm vừa qua, các dữ liệu này sẽ được thể hiện cả trong bộ sổ GPP (</w:t>
      </w:r>
      <w:r w:rsidDel="00000000" w:rsidR="00000000" w:rsidRPr="00000000">
        <w:rPr>
          <w:rFonts w:ascii="Calibri" w:cs="Calibri" w:eastAsia="Calibri" w:hAnsi="Calibri"/>
          <w:color w:val="c00000"/>
          <w:sz w:val="26"/>
          <w:szCs w:val="26"/>
          <w:rtl w:val="0"/>
        </w:rPr>
        <w:t xml:space="preserve">công ty sẽ hướng dẫn để Nt thiết lập được việc hiển thị vào các sổ GPP trong video “hướng dẫn thiết lập bộ sổ GPP).</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