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horizon-cl6-2026-01-circbio-09"/>
    <w:p>
      <w:pPr>
        <w:pStyle w:val="Heading1"/>
      </w:pPr>
      <w:r>
        <w:t xml:space="preserve">HORIZON-CL6-2026-01-CIRCBIO-09</w:t>
      </w:r>
    </w:p>
    <w:bookmarkStart w:id="20" w:name="Xcae252e17e0783e98d41defc43da3c8a0f093d4"/>
    <w:p>
      <w:pPr>
        <w:pStyle w:val="Heading2"/>
      </w:pPr>
      <w:r>
        <w:t xml:space="preserve">Proposal: TRUE VALUE CHAINS — Balancing Bioeconomy, Food Security, Climate and Biodiversity Through Phase-Resolved Supply Chain Analytics</w:t>
      </w:r>
    </w:p>
    <w:p>
      <w:pPr>
        <w:pStyle w:val="FirstParagraph"/>
      </w:pPr>
      <w:r>
        <w:rPr>
          <w:b/>
          <w:bCs/>
        </w:rPr>
        <w:t xml:space="preserve">Call:</w:t>
      </w:r>
      <w:r>
        <w:t xml:space="preserve"> </w:t>
      </w:r>
      <w:r>
        <w:t xml:space="preserve">HORIZON-CL6-2026-01-CIRCBIO-09</w:t>
      </w:r>
      <w:r>
        <w:br/>
      </w:r>
      <w:r>
        <w:rPr>
          <w:b/>
          <w:bCs/>
        </w:rPr>
        <w:t xml:space="preserve">Call Title:</w:t>
      </w:r>
      <w:r>
        <w:t xml:space="preserve"> </w:t>
      </w:r>
      <w:r>
        <w:t xml:space="preserve">Balancing food security, bioeconomy, climate and biodiversity objectives to unlock sustainable value chains</w:t>
      </w:r>
      <w:r>
        <w:br/>
      </w:r>
      <w:r>
        <w:rPr>
          <w:b/>
          <w:bCs/>
        </w:rPr>
        <w:t xml:space="preserve">Action Type:</w:t>
      </w:r>
      <w:r>
        <w:t xml:space="preserve"> </w:t>
      </w:r>
      <w:r>
        <w:t xml:space="preserve">Research and Innovation Action (RIA)</w:t>
      </w:r>
      <w:r>
        <w:br/>
      </w:r>
      <w:r>
        <w:rPr>
          <w:b/>
          <w:bCs/>
        </w:rPr>
        <w:t xml:space="preserve">Opening Date:</w:t>
      </w:r>
      <w:r>
        <w:t xml:space="preserve"> </w:t>
      </w:r>
      <w:r>
        <w:t xml:space="preserve">17 April 2026</w:t>
      </w:r>
      <w:r>
        <w:br/>
      </w:r>
      <w:r>
        <w:rPr>
          <w:b/>
          <w:bCs/>
        </w:rPr>
        <w:t xml:space="preserve">Deadline:</w:t>
      </w:r>
      <w:r>
        <w:t xml:space="preserve"> </w:t>
      </w:r>
      <w:r>
        <w:t xml:space="preserve">17 September 2026, 17:00 Brussels time</w:t>
      </w:r>
      <w:r>
        <w:br/>
      </w:r>
      <w:r>
        <w:rPr>
          <w:b/>
          <w:bCs/>
        </w:rPr>
        <w:t xml:space="preserve">Indicative Budget Request:</w:t>
      </w:r>
      <w:r>
        <w:t xml:space="preserve"> </w:t>
      </w:r>
      <w:r>
        <w:t xml:space="preserve">€6,000,000</w:t>
      </w:r>
      <w:r>
        <w:br/>
      </w:r>
      <w:r>
        <w:rPr>
          <w:b/>
          <w:bCs/>
        </w:rPr>
        <w:t xml:space="preserve">Total Call Budget:</w:t>
      </w:r>
      <w:r>
        <w:t xml:space="preserve"> </w:t>
      </w:r>
      <w:r>
        <w:t xml:space="preserve">€12,000,000</w:t>
      </w:r>
      <w:r>
        <w:br/>
      </w:r>
      <w:r>
        <w:rPr>
          <w:b/>
          <w:bCs/>
        </w:rPr>
        <w:t xml:space="preserve">Project Acronym (provisional):</w:t>
      </w:r>
      <w:r>
        <w:t xml:space="preserve"> </w:t>
      </w:r>
      <w:r>
        <w:t xml:space="preserve">TrueVal-Chains</w:t>
      </w:r>
      <w:r>
        <w:br/>
      </w:r>
      <w:r>
        <w:rPr>
          <w:b/>
          <w:bCs/>
        </w:rPr>
        <w:t xml:space="preserve">Status:</w:t>
      </w:r>
      <w:r>
        <w:t xml:space="preserve"> </w:t>
      </w:r>
      <w:r>
        <w:t xml:space="preserve">DRAFT v0.1 — April 2026</w:t>
      </w:r>
      <w:r>
        <w:br/>
      </w:r>
      <w:r>
        <w:rPr>
          <w:b/>
          <w:bCs/>
        </w:rPr>
        <w:t xml:space="preserve">Lead Author:</w:t>
      </w:r>
      <w:r>
        <w:t xml:space="preserve"> </w:t>
      </w:r>
      <w:r>
        <w:t xml:space="preserve">SNJ</w:t>
      </w:r>
      <w:r>
        <w:br/>
      </w:r>
      <w:r>
        <w:rPr>
          <w:b/>
          <w:bCs/>
        </w:rPr>
        <w:t xml:space="preserve">Action required from:</w:t>
      </w:r>
      <w:r>
        <w:t xml:space="preserve"> </w:t>
      </w:r>
      <w:r>
        <w:t xml:space="preserve">April 2026</w:t>
      </w:r>
    </w:p>
    <w:p>
      <w:r>
        <w:pict>
          <v:rect style="width:0;height:1.5pt" o:hralign="center" o:hrstd="t" o:hr="t"/>
        </w:pict>
      </w:r>
    </w:p>
    <w:bookmarkEnd w:id="20"/>
    <w:bookmarkStart w:id="29" w:name="executive-summary"/>
    <w:p>
      <w:pPr>
        <w:pStyle w:val="Heading2"/>
      </w:pPr>
      <w:r>
        <w:t xml:space="preserve">EXECUTIVE SUMMARY</w:t>
      </w:r>
    </w:p>
    <w:p>
      <w:pPr>
        <w:pStyle w:val="FirstParagraph"/>
      </w:pPr>
      <w:r>
        <w:rPr>
          <w:b/>
          <w:bCs/>
        </w:rPr>
        <w:t xml:space="preserve">TrueVal-Chains</w:t>
      </w:r>
      <w:r>
        <w:t xml:space="preserve"> </w:t>
      </w:r>
      <w:r>
        <w:t xml:space="preserve">is a 54-month, €6 million Research and Innovation Action (RIA) submitted under Horizon Europe Call HORIZON-CL6-2026-01-CIRCBIO-09:</w:t>
      </w:r>
      <w:r>
        <w:t xml:space="preserve"> </w:t>
      </w:r>
      <w:r>
        <w:rPr>
          <w:i/>
          <w:iCs/>
        </w:rPr>
        <w:t xml:space="preserve">Balancing food security, bioeconomy, climate and biodiversity objectives to unlock sustainable value chains</w:t>
      </w:r>
      <w:r>
        <w:t xml:space="preserve">.</w:t>
      </w:r>
    </w:p>
    <w:bookmarkStart w:id="21" w:name="the-problem"/>
    <w:p>
      <w:pPr>
        <w:pStyle w:val="Heading3"/>
      </w:pPr>
      <w:r>
        <w:t xml:space="preserve">The Problem</w:t>
      </w:r>
    </w:p>
    <w:p>
      <w:pPr>
        <w:pStyle w:val="FirstParagraph"/>
      </w:pPr>
      <w:r>
        <w:t xml:space="preserve">The EU's bioeconomy agenda — backed by the CRCF Regulation (2025), the Nature Credits Roadmap (2025), and the revised CAP — has created a regulatory architecture that demands one thing above all else:</w:t>
      </w:r>
      <w:r>
        <w:t xml:space="preserve"> </w:t>
      </w:r>
      <w:r>
        <w:rPr>
          <w:b/>
          <w:bCs/>
        </w:rPr>
        <w:t xml:space="preserve">reliable, supply-chain-resolved quantitative evidence</w:t>
      </w:r>
      <w:r>
        <w:t xml:space="preserve"> </w:t>
      </w:r>
      <w:r>
        <w:t xml:space="preserve">on how agricultural value, environmental performance, and food security interact across the farm-to-market chain. That evidence does not yet exist at the resolution policymakers and markets need. Without it, carbon farming certification risks greenwashing, nature credits cannot be priced credibly, farmers remain price-takers unable to monetise their stewardship, and land-use conflict assessments remain speculative.</w:t>
      </w:r>
    </w:p>
    <w:bookmarkEnd w:id="21"/>
    <w:bookmarkStart w:id="22" w:name="the-solution"/>
    <w:p>
      <w:pPr>
        <w:pStyle w:val="Heading3"/>
      </w:pPr>
      <w:r>
        <w:t xml:space="preserve">The Solution</w:t>
      </w:r>
    </w:p>
    <w:p>
      <w:pPr>
        <w:pStyle w:val="FirstParagraph"/>
      </w:pPr>
      <w:r>
        <w:t xml:space="preserve">This project develops, validates and deploys the</w:t>
      </w:r>
      <w:r>
        <w:t xml:space="preserve"> </w:t>
      </w:r>
      <w:r>
        <w:rPr>
          <w:b/>
          <w:bCs/>
        </w:rPr>
        <w:t xml:space="preserve">True Value Framework (TVF)</w:t>
      </w:r>
      <w:r>
        <w:t xml:space="preserve"> </w:t>
      </w:r>
      <w:r>
        <w:t xml:space="preserve">— a quantitative, phase-resolved supply chain intelligence methodology built to produce exactly this evidence. TVF maps each commodity supply chain into discrete, measurable phases, each defined by a physical state, a transformation, a measurable output, and a transparency classification. Across each phase, the framework accounts simultaneously for physical flows, economic value distribution, Scope 1/2/3 GHG emissions, natural capital (biodiversity, water, soil, carbon sequestration), and social equity — generating the integrated accounts that the CRCF, Nature Credits, and EU EAA frameworks require but currently lack.</w:t>
      </w:r>
    </w:p>
    <w:bookmarkEnd w:id="22"/>
    <w:bookmarkStart w:id="23" w:name="X1e383f8657225b0bd1bf869350dcbe4b5bce687"/>
    <w:p>
      <w:pPr>
        <w:pStyle w:val="Heading3"/>
      </w:pPr>
      <w:r>
        <w:t xml:space="preserve">Three Commodity Systems — One Comparative Framework</w:t>
      </w:r>
    </w:p>
    <w:p>
      <w:pPr>
        <w:pStyle w:val="FirstParagraph"/>
      </w:pPr>
      <w:r>
        <w:t xml:space="preserve">The project applies TVF to three strategically chosen commodity systems that together span the full range of governance environments, supply chain architectures, and policy challenges relevant to the call:</w:t>
      </w:r>
    </w:p>
    <w:p>
      <w:pPr>
        <w:pStyle w:val="BodyText"/>
      </w:pPr>
      <w:r>
        <w:rPr>
          <w:b/>
          <w:bCs/>
        </w:rPr>
        <w:t xml:space="preserve">1. Shea — West Africa to EU</w:t>
      </w:r>
      <w:r>
        <w:t xml:space="preserve"> </w:t>
      </w:r>
      <w:r>
        <w:t xml:space="preserve">(anchor commodity)</w:t>
      </w:r>
      <w:r>
        <w:br/>
      </w:r>
      <w:r>
        <w:t xml:space="preserve">Mapping the full supply chain from parkland agroforestry in Senegal, Burkina Faso, Mali and Ghana through to EU cosmetics and chocolate manufacturers. Shea is the most direct link between the Great Green Wall (GGW) — the AU/EU's flagship $33 billion Sahel restoration programme, currently only ~2% achieved — and EU corporate Scope 3 obligations under CSRD. The project delivers the first phase-resolved Scope 3 GHG emission factors for shea, unlocking carbon and nature credit revenue for 4–6 million women cooperative members along the GGW corridor.</w:t>
      </w:r>
    </w:p>
    <w:p>
      <w:pPr>
        <w:pStyle w:val="BodyText"/>
      </w:pPr>
      <w:r>
        <w:rPr>
          <w:b/>
          <w:bCs/>
        </w:rPr>
        <w:t xml:space="preserve">2. Olive Oil — Spain and Italy</w:t>
      </w:r>
      <w:r>
        <w:t xml:space="preserve"> </w:t>
      </w:r>
      <w:r>
        <w:t xml:space="preserve">(EU cooperative anchor)</w:t>
      </w:r>
      <w:r>
        <w:br/>
      </w:r>
      <w:r>
        <w:t xml:space="preserve">Spain is the world's largest olive oil producer; cooperatives account for ~65% of production. Italy is the critical bulk trade destination — the Spain→Italy value flow is a textbook case of value appropriation asymmetry. The project delivers a cooperative business model innovation assessment, olive mill waste circular bioeconomy analysis, natural capital accounts for Andalusian olive systems, and policy recommendations benchmarked against the OECD's existing Spain policy recommendations. The ROBIN Horizon Europe project (Andalusia governance) is identified as a direct complementarity partner.</w:t>
      </w:r>
    </w:p>
    <w:p>
      <w:pPr>
        <w:pStyle w:val="BodyText"/>
      </w:pPr>
      <w:r>
        <w:rPr>
          <w:b/>
          <w:bCs/>
        </w:rPr>
        <w:t xml:space="preserve">3. Diversification Commodities — Argentine Soya/Beef and Spanish Cherries</w:t>
      </w:r>
      <w:r>
        <w:br/>
      </w:r>
      <w:r>
        <w:t xml:space="preserve">Tests TVF scalability across a high-deforestation-risk Global South commodity (Argentine soya/beef, directly relevant to the EU Deforestation Regulation) and a domestically bounded EU horticultural system (Spanish cherries). Together these generate the cross-governance comparative dataset needed to make the project's policy recommendations universally applicable, not case-specific.</w:t>
      </w:r>
    </w:p>
    <w:bookmarkEnd w:id="23"/>
    <w:bookmarkStart w:id="24" w:name="methodology"/>
    <w:p>
      <w:pPr>
        <w:pStyle w:val="Heading3"/>
      </w:pPr>
      <w:r>
        <w:t xml:space="preserve">Methodology</w:t>
      </w:r>
    </w:p>
    <w:p>
      <w:pPr>
        <w:pStyle w:val="FirstParagraph"/>
      </w:pPr>
      <w:r>
        <w:t xml:space="preserve">TVF is grounded in the</w:t>
      </w:r>
      <w:r>
        <w:t xml:space="preserve"> </w:t>
      </w:r>
      <w:r>
        <w:rPr>
          <w:b/>
          <w:bCs/>
        </w:rPr>
        <w:t xml:space="preserve">Negotiation–Definition–Contribution (N-D-C) triadic analytical structure</w:t>
      </w:r>
      <w:r>
        <w:t xml:space="preserve"> </w:t>
      </w:r>
      <w:r>
        <w:t xml:space="preserve">— a formally validated framework that models each supply chain phase as a system of constraints (D), outputs (C), and emergent stable state (N). Sustainability is measured as the D/C balance: imbalance reveals structural fragility, value leakage, or environmental risk. The framework has been developed and validated on the gold supply chain (Phases 0–7) and is now extended to agricultural commodity systems. TVF is directly compatible with SEEA natural capital accounting, IPBES biodiversity valuation, the GHG Protocol Scope 3 standard, and the EU Economic Accounts for Agriculture (EAA) framework.</w:t>
      </w:r>
    </w:p>
    <w:bookmarkEnd w:id="24"/>
    <w:bookmarkStart w:id="25" w:name="consortium"/>
    <w:p>
      <w:pPr>
        <w:pStyle w:val="Heading3"/>
      </w:pPr>
      <w:r>
        <w:t xml:space="preserve">Consortium</w:t>
      </w:r>
    </w:p>
    <w:p>
      <w:pPr>
        <w:pStyle w:val="FirstParagraph"/>
      </w:pPr>
      <w:r>
        <w:t xml:space="preserve">A minimum of 7 partners across EU Member States and Associated Countries, combining:</w:t>
      </w:r>
    </w:p>
    <w:p>
      <w:pPr>
        <w:numPr>
          <w:ilvl w:val="0"/>
          <w:numId w:val="1001"/>
        </w:numPr>
      </w:pPr>
      <w:r>
        <w:t xml:space="preserve">True Value Analytics (TVF methodology, project coordination)</w:t>
      </w:r>
    </w:p>
    <w:p>
      <w:pPr>
        <w:numPr>
          <w:ilvl w:val="0"/>
          <w:numId w:val="1001"/>
        </w:numPr>
      </w:pPr>
      <w:r>
        <w:t xml:space="preserve">Impact Agri / Jon White (supply chain analytics, West Africa)</w:t>
      </w:r>
    </w:p>
    <w:p>
      <w:pPr>
        <w:numPr>
          <w:ilvl w:val="0"/>
          <w:numId w:val="1001"/>
        </w:numPr>
      </w:pPr>
      <w:r>
        <w:t xml:space="preserve">Spanish cooperative federation or research institute (Cooperativas Agro-alimentarias de España / IFAPA)</w:t>
      </w:r>
    </w:p>
    <w:p>
      <w:pPr>
        <w:numPr>
          <w:ilvl w:val="0"/>
          <w:numId w:val="1001"/>
        </w:numPr>
      </w:pPr>
      <w:r>
        <w:t xml:space="preserve">Italian university or national research agency (Università di Bari / CREA)</w:t>
      </w:r>
    </w:p>
    <w:p>
      <w:pPr>
        <w:numPr>
          <w:ilvl w:val="0"/>
          <w:numId w:val="1001"/>
        </w:numPr>
      </w:pPr>
      <w:r>
        <w:t xml:space="preserve">West African research partner (Nitidæ / ISRA / CIFOR-ICRAF)</w:t>
      </w:r>
    </w:p>
    <w:p>
      <w:pPr>
        <w:numPr>
          <w:ilvl w:val="0"/>
          <w:numId w:val="1001"/>
        </w:numPr>
      </w:pPr>
      <w:r>
        <w:t xml:space="preserve">SSH/policy partner (WUR, INRAE, or equivalent)</w:t>
      </w:r>
    </w:p>
    <w:p>
      <w:pPr>
        <w:numPr>
          <w:ilvl w:val="0"/>
          <w:numId w:val="1001"/>
        </w:numPr>
      </w:pPr>
      <w:r>
        <w:t xml:space="preserve">Digital platform / technology partner</w:t>
      </w:r>
    </w:p>
    <w:p>
      <w:pPr>
        <w:pStyle w:val="FirstParagraph"/>
      </w:pPr>
      <w:r>
        <w:t xml:space="preserve">A formally constituted</w:t>
      </w:r>
      <w:r>
        <w:t xml:space="preserve"> </w:t>
      </w:r>
      <w:r>
        <w:rPr>
          <w:b/>
          <w:bCs/>
        </w:rPr>
        <w:t xml:space="preserve">Multi-Actor Panel</w:t>
      </w:r>
      <w:r>
        <w:t xml:space="preserve"> </w:t>
      </w:r>
      <w:r>
        <w:t xml:space="preserve">includes shea women's cooperatives, olive cooperative representatives, EU cosmetics and food manufacturers, farm accountants, and EU and African policymakers — fulfilling the call's genuine co-creation requirement.</w:t>
      </w:r>
    </w:p>
    <w:bookmarkEnd w:id="25"/>
    <w:bookmarkStart w:id="26" w:name="expected-outcomes"/>
    <w:p>
      <w:pPr>
        <w:pStyle w:val="Heading3"/>
      </w:pPr>
      <w:r>
        <w:t xml:space="preserve">Expected Outcomes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Call Outcome</w:t>
            </w:r>
          </w:p>
        </w:tc>
        <w:tc>
          <w:tcPr/>
          <w:p>
            <w:pPr>
              <w:pStyle w:val="Compact"/>
            </w:pPr>
            <w:r>
              <w:t xml:space="preserve">Project Delivery</w:t>
            </w:r>
          </w:p>
        </w:tc>
      </w:tr>
      <w:tr>
        <w:tc>
          <w:tcPr/>
          <w:p>
            <w:pPr>
              <w:pStyle w:val="Compact"/>
            </w:pPr>
            <w:r>
              <w:t xml:space="preserve">Improved decision-maker understanding of bioeconomy/nature market impacts</w:t>
            </w:r>
          </w:p>
        </w:tc>
        <w:tc>
          <w:tcPr/>
          <w:p>
            <w:pPr>
              <w:pStyle w:val="Compact"/>
            </w:pPr>
            <w:r>
              <w:t xml:space="preserve">Phase-resolved quantitative assessments; land-use conflict indices; biomass threshold models for 3 commodity systems</w:t>
            </w:r>
          </w:p>
        </w:tc>
      </w:tr>
      <w:tr>
        <w:tc>
          <w:tcPr/>
          <w:p>
            <w:pPr>
              <w:pStyle w:val="Compact"/>
            </w:pPr>
            <w:r>
              <w:t xml:space="preserve">Society benefits from aligned bioeconomy, climate and biodiversity activities</w:t>
            </w:r>
          </w:p>
        </w:tc>
        <w:tc>
          <w:tcPr/>
          <w:p>
            <w:pPr>
              <w:pStyle w:val="Compact"/>
            </w:pPr>
            <w:r>
              <w:t xml:space="preserve">Novel business models tested with cooperatives; circular bioeconomy pathways for olive and shea by-products</w:t>
            </w:r>
          </w:p>
        </w:tc>
      </w:tr>
      <w:tr>
        <w:tc>
          <w:tcPr/>
          <w:p>
            <w:pPr>
              <w:pStyle w:val="Compact"/>
            </w:pPr>
            <w:r>
              <w:t xml:space="preserve">Farmers gain income diversification opportunities</w:t>
            </w:r>
          </w:p>
        </w:tc>
        <w:tc>
          <w:tcPr/>
          <w:p>
            <w:pPr>
              <w:pStyle w:val="Compact"/>
            </w:pPr>
            <w:r>
              <w:t xml:space="preserve">Carbon/nature credit pathways under CRCF; cooperative value capture improvement tools; Scope 3 data for downstream markets</w:t>
            </w:r>
          </w:p>
        </w:tc>
      </w:tr>
      <w:tr>
        <w:tc>
          <w:tcPr/>
          <w:p>
            <w:pPr>
              <w:pStyle w:val="Compact"/>
            </w:pPr>
            <w:r>
              <w:t xml:space="preserve">Policymakers equipped for evidence-based policy</w:t>
            </w:r>
          </w:p>
        </w:tc>
        <w:tc>
          <w:tcPr/>
          <w:p>
            <w:pPr>
              <w:pStyle w:val="Compact"/>
            </w:pPr>
            <w:r>
              <w:t xml:space="preserve">Policy recommendations for CAP, CRCF, Nature Credits, EU Bioeconomy Strategy; input to EAA revision; national briefs for 5 countries</w:t>
            </w:r>
          </w:p>
        </w:tc>
      </w:tr>
    </w:tbl>
    <w:bookmarkEnd w:id="26"/>
    <w:bookmarkStart w:id="27" w:name="budget"/>
    <w:p>
      <w:pPr>
        <w:pStyle w:val="Heading3"/>
      </w:pPr>
      <w:r>
        <w:t xml:space="preserve">Budget</w:t>
      </w:r>
    </w:p>
    <w:p>
      <w:pPr>
        <w:pStyle w:val="FirstParagraph"/>
      </w:pPr>
      <w:r>
        <w:t xml:space="preserve">€6,000,000 over 54 months, with the largest allocation to Shea/West Africa field research (WP2: €1.5M) reflecting the data collection challenge in the GGW corridor. Personnel costs ~65% of total, consistent with EC norms.</w:t>
      </w:r>
    </w:p>
    <w:bookmarkEnd w:id="27"/>
    <w:bookmarkStart w:id="28" w:name="why-this-proposal-will-score-well"/>
    <w:p>
      <w:pPr>
        <w:pStyle w:val="Heading3"/>
      </w:pPr>
      <w:r>
        <w:t xml:space="preserve">Why This Proposal Will Score Well</w:t>
      </w:r>
    </w:p>
    <w:p>
      <w:pPr>
        <w:numPr>
          <w:ilvl w:val="0"/>
          <w:numId w:val="1002"/>
        </w:numPr>
      </w:pPr>
      <w:r>
        <w:rPr>
          <w:b/>
          <w:bCs/>
        </w:rPr>
        <w:t xml:space="preserve">Excellence:</w:t>
      </w:r>
      <w:r>
        <w:t xml:space="preserve"> </w:t>
      </w:r>
      <w:r>
        <w:t xml:space="preserve">Methodologically novel (phase-resolved TVF; N-D-C triadic accounting; first Scope 3 emission factors for shea); directly responsive to every scope element of the call</w:t>
      </w:r>
    </w:p>
    <w:p>
      <w:pPr>
        <w:numPr>
          <w:ilvl w:val="0"/>
          <w:numId w:val="1002"/>
        </w:numPr>
      </w:pPr>
      <w:r>
        <w:rPr>
          <w:b/>
          <w:bCs/>
        </w:rPr>
        <w:t xml:space="preserve">Impact:</w:t>
      </w:r>
      <w:r>
        <w:t xml:space="preserve"> </w:t>
      </w:r>
      <w:r>
        <w:t xml:space="preserve">Credible, quantified pathways to all four call expected outcomes; direct input to 2026 CRCF Delegated Acts and Nature Credits certification; GGW financing leverage; CSRD/Scope 3 commercial exploitation pathway</w:t>
      </w:r>
    </w:p>
    <w:p>
      <w:pPr>
        <w:numPr>
          <w:ilvl w:val="0"/>
          <w:numId w:val="1002"/>
        </w:numPr>
      </w:pPr>
      <w:r>
        <w:rPr>
          <w:b/>
          <w:bCs/>
        </w:rPr>
        <w:t xml:space="preserve">Implementation:</w:t>
      </w:r>
      <w:r>
        <w:t xml:space="preserve"> </w:t>
      </w:r>
      <w:r>
        <w:t xml:space="preserve">Modular WP structure with clear deliverables; experienced multi-actor consortium; dedicated coordination task for intra-topic collaboration as required</w:t>
      </w:r>
    </w:p>
    <w:p>
      <w:pPr>
        <w:pStyle w:val="FirstParagraph"/>
      </w:pPr>
      <w:r>
        <w:rPr>
          <w:b/>
          <w:bCs/>
        </w:rPr>
        <w:t xml:space="preserve">Submission deadline: 17 September 2026, 17:00 Brussels time</w:t>
      </w:r>
    </w:p>
    <w:p>
      <w:r>
        <w:pict>
          <v:rect style="width:0;height:1.5pt" o:hralign="center" o:hrstd="t" o:hr="t"/>
        </w:pict>
      </w:r>
    </w:p>
    <w:bookmarkEnd w:id="28"/>
    <w:bookmarkEnd w:id="29"/>
    <w:bookmarkStart w:id="30" w:name="document-navigation"/>
    <w:p>
      <w:pPr>
        <w:pStyle w:val="Heading2"/>
      </w:pPr>
      <w:r>
        <w:t xml:space="preserve">DOCUMENT NAVIGATION</w:t>
      </w:r>
    </w:p>
    <w:p>
      <w:pPr>
        <w:numPr>
          <w:ilvl w:val="0"/>
          <w:numId w:val="1003"/>
        </w:numPr>
      </w:pPr>
      <w:hyperlink w:anchor="Xb38c8e7a3f2bf63e48ee7e99827267a01c4ad36">
        <w:r>
          <w:rPr>
            <w:rStyle w:val="Hyperlink"/>
          </w:rPr>
          <w:t xml:space="preserve">1. Strategic Alignment and Rationale</w:t>
        </w:r>
      </w:hyperlink>
    </w:p>
    <w:p>
      <w:pPr>
        <w:numPr>
          <w:ilvl w:val="0"/>
          <w:numId w:val="1003"/>
        </w:numPr>
      </w:pPr>
      <w:hyperlink w:anchor="X7c61ecc75bcc0d9a0ea05a962850bb5a7c0831f">
        <w:r>
          <w:rPr>
            <w:rStyle w:val="Hyperlink"/>
          </w:rPr>
          <w:t xml:space="preserve">2. Research Objectives</w:t>
        </w:r>
      </w:hyperlink>
    </w:p>
    <w:p>
      <w:pPr>
        <w:numPr>
          <w:ilvl w:val="0"/>
          <w:numId w:val="1003"/>
        </w:numPr>
      </w:pPr>
      <w:hyperlink w:anchor="X4b485db0c36592036e0d7619172eca7cc4965b5">
        <w:r>
          <w:rPr>
            <w:rStyle w:val="Hyperlink"/>
          </w:rPr>
          <w:t xml:space="preserve">3. Commodities and Geographic Focus</w:t>
        </w:r>
      </w:hyperlink>
    </w:p>
    <w:p>
      <w:pPr>
        <w:numPr>
          <w:ilvl w:val="0"/>
          <w:numId w:val="1003"/>
        </w:numPr>
      </w:pPr>
      <w:hyperlink w:anchor="X1616c3074c147e0336caba84cf3d466054c1098">
        <w:r>
          <w:rPr>
            <w:rStyle w:val="Hyperlink"/>
          </w:rPr>
          <w:t xml:space="preserve">4. Methodology — The True Value Framework (TVF)</w:t>
        </w:r>
      </w:hyperlink>
    </w:p>
    <w:p>
      <w:pPr>
        <w:numPr>
          <w:ilvl w:val="0"/>
          <w:numId w:val="1003"/>
        </w:numPr>
      </w:pPr>
      <w:hyperlink w:anchor="X16123273ac26ab593f50ee67cd3c5ac92d2d130">
        <w:r>
          <w:rPr>
            <w:rStyle w:val="Hyperlink"/>
          </w:rPr>
          <w:t xml:space="preserve">5. Work Package Structure</w:t>
        </w:r>
      </w:hyperlink>
    </w:p>
    <w:p>
      <w:pPr>
        <w:numPr>
          <w:ilvl w:val="0"/>
          <w:numId w:val="1003"/>
        </w:numPr>
      </w:pPr>
      <w:hyperlink w:anchor="Xc2da1982f51fe1aff16b19387c7441b8ede5b6e">
        <w:r>
          <w:rPr>
            <w:rStyle w:val="Hyperlink"/>
          </w:rPr>
          <w:t xml:space="preserve">6. Consortium Design</w:t>
        </w:r>
      </w:hyperlink>
    </w:p>
    <w:p>
      <w:pPr>
        <w:numPr>
          <w:ilvl w:val="0"/>
          <w:numId w:val="1003"/>
        </w:numPr>
      </w:pPr>
      <w:hyperlink w:anchor="Xd8eb05ab5d390815b4d167ef14f8f2e1a7885a1">
        <w:r>
          <w:rPr>
            <w:rStyle w:val="Hyperlink"/>
          </w:rPr>
          <w:t xml:space="preserve">7. Expected Outcomes and Impact</w:t>
        </w:r>
      </w:hyperlink>
    </w:p>
    <w:p>
      <w:pPr>
        <w:numPr>
          <w:ilvl w:val="0"/>
          <w:numId w:val="1003"/>
        </w:numPr>
      </w:pPr>
      <w:hyperlink w:anchor="Xb757ff8d861ef095ae4012649e28cf181bcd4a0">
        <w:r>
          <w:rPr>
            <w:rStyle w:val="Hyperlink"/>
          </w:rPr>
          <w:t xml:space="preserve">8. Budget Framework</w:t>
        </w:r>
      </w:hyperlink>
    </w:p>
    <w:p>
      <w:pPr>
        <w:numPr>
          <w:ilvl w:val="0"/>
          <w:numId w:val="1003"/>
        </w:numPr>
      </w:pPr>
      <w:hyperlink w:anchor="X2d9bbab09edc5219c665d042f82f0478f2195a8">
        <w:r>
          <w:rPr>
            <w:rStyle w:val="Hyperlink"/>
          </w:rPr>
          <w:t xml:space="preserve">9. Policy Alignment</w:t>
        </w:r>
      </w:hyperlink>
    </w:p>
    <w:p>
      <w:pPr>
        <w:numPr>
          <w:ilvl w:val="0"/>
          <w:numId w:val="1003"/>
        </w:numPr>
      </w:pPr>
      <w:hyperlink w:anchor="X784f6bcad0ae6458f80caff933fe9acb634ec02">
        <w:r>
          <w:rPr>
            <w:rStyle w:val="Hyperlink"/>
          </w:rPr>
          <w:t xml:space="preserve">10. Complementarity with Ongoing Horizon Europe Projects</w:t>
        </w:r>
      </w:hyperlink>
    </w:p>
    <w:p>
      <w:pPr>
        <w:numPr>
          <w:ilvl w:val="0"/>
          <w:numId w:val="1003"/>
        </w:numPr>
      </w:pPr>
      <w:hyperlink w:anchor="X944409ca8fa53e9e685035b142da34983e70df5">
        <w:r>
          <w:rPr>
            <w:rStyle w:val="Hyperlink"/>
          </w:rPr>
          <w:t xml:space="preserve">11. Dissemination and Exploitation Strategy</w:t>
        </w:r>
      </w:hyperlink>
    </w:p>
    <w:p>
      <w:pPr>
        <w:numPr>
          <w:ilvl w:val="0"/>
          <w:numId w:val="1003"/>
        </w:numPr>
      </w:pPr>
      <w:hyperlink w:anchor="X2606b47b284c5374d11e972a88f332b88e4a023">
        <w:r>
          <w:rPr>
            <w:rStyle w:val="Hyperlink"/>
          </w:rPr>
          <w:t xml:space="preserve">12. Multi-Actor Approach Statement</w:t>
        </w:r>
      </w:hyperlink>
    </w:p>
    <w:p>
      <w:pPr>
        <w:numPr>
          <w:ilvl w:val="0"/>
          <w:numId w:val="1003"/>
        </w:numPr>
      </w:pPr>
      <w:hyperlink w:anchor="Xa346225cfcd871b7b528835098fd1b374448f63">
        <w:r>
          <w:rPr>
            <w:rStyle w:val="Hyperlink"/>
          </w:rPr>
          <w:t xml:space="preserve">13. Social Sciences and Humanities Integration</w:t>
        </w:r>
      </w:hyperlink>
    </w:p>
    <w:p>
      <w:pPr>
        <w:numPr>
          <w:ilvl w:val="0"/>
          <w:numId w:val="1003"/>
        </w:numPr>
      </w:pPr>
      <w:hyperlink w:anchor="X7b3b14457c4253d01791e3ea545a1ea53d25af5">
        <w:r>
          <w:rPr>
            <w:rStyle w:val="Hyperlink"/>
          </w:rPr>
          <w:t xml:space="preserve">14. Key Risks and Mitigation</w:t>
        </w:r>
      </w:hyperlink>
    </w:p>
    <w:p>
      <w:pPr>
        <w:numPr>
          <w:ilvl w:val="0"/>
          <w:numId w:val="1003"/>
        </w:numPr>
      </w:pPr>
      <w:hyperlink w:anchor="Xd474d15743c5df2f5473eab03709938fdb9f5cc">
        <w:r>
          <w:rPr>
            <w:rStyle w:val="Hyperlink"/>
          </w:rPr>
          <w:t xml:space="preserve">15. Draft Action Plan and Timeline</w:t>
        </w:r>
      </w:hyperlink>
    </w:p>
    <w:p>
      <w:pPr>
        <w:numPr>
          <w:ilvl w:val="0"/>
          <w:numId w:val="1003"/>
        </w:numPr>
      </w:pPr>
      <w:hyperlink w:anchor="Xf76ea67cd29adb8791d5855647e6d6135a55b40">
        <w:r>
          <w:rPr>
            <w:rStyle w:val="Hyperlink"/>
          </w:rPr>
          <w:t xml:space="preserve">16. Consortium Partner Notes and Contacts</w:t>
        </w:r>
      </w:hyperlink>
    </w:p>
    <w:p>
      <w:pPr>
        <w:numPr>
          <w:ilvl w:val="0"/>
          <w:numId w:val="1003"/>
        </w:numPr>
      </w:pPr>
      <w:hyperlink w:anchor="X08af24347352d8f130a5080a54383d351d1f49a">
        <w:r>
          <w:rPr>
            <w:rStyle w:val="Hyperlink"/>
          </w:rPr>
          <w:t xml:space="preserve">17. Annexes and Supporting Material</w:t>
        </w:r>
      </w:hyperlink>
    </w:p>
    <w:p>
      <w:r>
        <w:pict>
          <v:rect style="width:0;height:1.5pt" o:hralign="center" o:hrstd="t" o:hr="t"/>
        </w:pict>
      </w:r>
    </w:p>
    <w:bookmarkEnd w:id="30"/>
    <w:bookmarkStart w:id="34" w:name="Xb38c8e7a3f2bf63e48ee7e99827267a01c4ad36"/>
    <w:p>
      <w:pPr>
        <w:pStyle w:val="Heading2"/>
      </w:pPr>
      <w:r>
        <w:t xml:space="preserve">1. Strategic Alignment and Rationale</w:t>
      </w:r>
    </w:p>
    <w:bookmarkStart w:id="31" w:name="Xdd4c2fce7acf1035c5f4220e913b0e685e2deef"/>
    <w:p>
      <w:pPr>
        <w:pStyle w:val="Heading3"/>
      </w:pPr>
      <w:r>
        <w:t xml:space="preserve">1.1 The Problem This Proposal Addresses</w:t>
      </w:r>
    </w:p>
    <w:p>
      <w:pPr>
        <w:pStyle w:val="FirstParagraph"/>
      </w:pPr>
      <w:r>
        <w:t xml:space="preserve">The EU's bioeconomy and nature market strategies — including the Carbon Removals and Carbon Farming (CRCF) Regulation (EU 2025/2358), the Nature Credits Roadmap, and the Common Agricultural Policy (CAP) — require a fundamental transformation of how agricultural value is measured, distributed, and governed. Yet a critical gap persists:</w:t>
      </w:r>
      <w:r>
        <w:t xml:space="preserve"> </w:t>
      </w:r>
      <w:r>
        <w:rPr>
          <w:b/>
          <w:bCs/>
        </w:rPr>
        <w:t xml:space="preserve">the methods and tools for quantifying the full, phase-resolved True Value of agricultural supply chains — including their environmental, social and climate costs and benefits — are not yet operational at the farm-to-market level.</w:t>
      </w:r>
    </w:p>
    <w:p>
      <w:pPr>
        <w:pStyle w:val="BodyText"/>
      </w:pPr>
      <w:r>
        <w:t xml:space="preserve">Without this analytical infrastructure, policymakers cannot credibly balance bioeconomy incentives against food security safeguards. Farmers remain price-takers, unable to demonstrate the full value of their environmental stewardship. Markets for carbon credits, nature credits, and biodiversity offsets lack the supply chain grounding needed to prevent greenwashing, perverse incentives, and land-use conflicts.</w:t>
      </w:r>
    </w:p>
    <w:bookmarkEnd w:id="31"/>
    <w:bookmarkStart w:id="32" w:name="X11b272925b56b660b0e4935e566f28df041a38f"/>
    <w:p>
      <w:pPr>
        <w:pStyle w:val="Heading3"/>
      </w:pPr>
      <w:r>
        <w:t xml:space="preserve">1.2 The Opportunity</w:t>
      </w:r>
    </w:p>
    <w:p>
      <w:pPr>
        <w:pStyle w:val="FirstParagraph"/>
      </w:pPr>
      <w:r>
        <w:t xml:space="preserve">This proposal develops and validates the</w:t>
      </w:r>
      <w:r>
        <w:t xml:space="preserve"> </w:t>
      </w:r>
      <w:r>
        <w:rPr>
          <w:b/>
          <w:bCs/>
        </w:rPr>
        <w:t xml:space="preserve">True Value Framework (TVF)</w:t>
      </w:r>
      <w:r>
        <w:t xml:space="preserve"> </w:t>
      </w:r>
      <w:r>
        <w:t xml:space="preserve">— a quantitative, phase-resolved supply chain intelligence methodology — across three strategically chosen commodity systems:</w:t>
      </w:r>
    </w:p>
    <w:p>
      <w:pPr>
        <w:numPr>
          <w:ilvl w:val="0"/>
          <w:numId w:val="1004"/>
        </w:numPr>
      </w:pPr>
      <w:r>
        <w:rPr>
          <w:b/>
          <w:bCs/>
        </w:rPr>
        <w:t xml:space="preserve">Shea</w:t>
      </w:r>
      <w:r>
        <w:t xml:space="preserve"> </w:t>
      </w:r>
      <w:r>
        <w:t xml:space="preserve">(West Africa: Senegal, Burkina Faso, Mali, Ghana) — connecting the Great Green Wall (GGW) initiative and African women's cooperatives to EU cosmetics and food manufacturers</w:t>
      </w:r>
    </w:p>
    <w:p>
      <w:pPr>
        <w:numPr>
          <w:ilvl w:val="0"/>
          <w:numId w:val="1004"/>
        </w:numPr>
      </w:pPr>
      <w:r>
        <w:rPr>
          <w:b/>
          <w:bCs/>
        </w:rPr>
        <w:t xml:space="preserve">Olive Oil</w:t>
      </w:r>
      <w:r>
        <w:t xml:space="preserve"> </w:t>
      </w:r>
      <w:r>
        <w:t xml:space="preserve">(Spain, with Italy as the critical bulk-trade market) — the world's largest cooperative-based agricultural commodity, anchored in proven bioeconomy governance models</w:t>
      </w:r>
    </w:p>
    <w:p>
      <w:pPr>
        <w:numPr>
          <w:ilvl w:val="0"/>
          <w:numId w:val="1004"/>
        </w:numPr>
      </w:pPr>
      <w:r>
        <w:rPr>
          <w:b/>
          <w:bCs/>
        </w:rPr>
        <w:t xml:space="preserve">Diversification commodities</w:t>
      </w:r>
      <w:r>
        <w:t xml:space="preserve"> </w:t>
      </w:r>
      <w:r>
        <w:t xml:space="preserve">(Argentine soya/beef, Spanish cherries, other agri-food products) — to test framework scalability and cross-regional land-use conflict analysis</w:t>
      </w:r>
    </w:p>
    <w:p>
      <w:pPr>
        <w:pStyle w:val="FirstParagraph"/>
      </w:pPr>
      <w:r>
        <w:t xml:space="preserve">This selection is not arbitrary. These three systems together cover: (a) a North-South supply chain with deep Scope 3 GHG and biodiversity implications (Shea/GGW); (b) a mature EU cooperative sector with documented natural capital governance challenges (Olive Oil/Spain); and (c) a Global South commodity with high land-use conflict risk and AfCFTA relevance (Argentina/soya). Together they generate the comparative dataset required to produce generalizable, policy-applicable findings.</w:t>
      </w:r>
    </w:p>
    <w:bookmarkEnd w:id="32"/>
    <w:bookmarkStart w:id="33" w:name="X8f3d292d9bc33d256affff6307f1ce678e65b05"/>
    <w:p>
      <w:pPr>
        <w:pStyle w:val="Heading3"/>
      </w:pPr>
      <w:r>
        <w:t xml:space="preserve">1.3 Why Now</w:t>
      </w:r>
    </w:p>
    <w:p>
      <w:pPr>
        <w:numPr>
          <w:ilvl w:val="0"/>
          <w:numId w:val="1005"/>
        </w:numPr>
      </w:pPr>
      <w:r>
        <w:t xml:space="preserve">The EU Nature Credits Roadmap (2025) requires certification methodologies that do not yet exist at supply chain resolution</w:t>
      </w:r>
    </w:p>
    <w:p>
      <w:pPr>
        <w:numPr>
          <w:ilvl w:val="0"/>
          <w:numId w:val="1005"/>
        </w:numPr>
      </w:pPr>
      <w:r>
        <w:t xml:space="preserve">The CRCF Regulation (adopted November 2025) demands monitoring, reporting and verification tools for carbon farming — tools this project will develop and test</w:t>
      </w:r>
    </w:p>
    <w:p>
      <w:pPr>
        <w:numPr>
          <w:ilvl w:val="0"/>
          <w:numId w:val="1005"/>
        </w:numPr>
      </w:pPr>
      <w:r>
        <w:t xml:space="preserve">The EU Vision for Agriculture and Food explicitly calls for "fair income for farmers" and "resilient supply chains"</w:t>
      </w:r>
    </w:p>
    <w:p>
      <w:pPr>
        <w:numPr>
          <w:ilvl w:val="0"/>
          <w:numId w:val="1005"/>
        </w:numPr>
      </w:pPr>
      <w:r>
        <w:t xml:space="preserve">The GGW received $14 billion in pledges in 2021, yet only ~2% of restoration targets have been met; this project provides the value chain intelligence to unlock that capital</w:t>
      </w:r>
    </w:p>
    <w:p>
      <w:pPr>
        <w:numPr>
          <w:ilvl w:val="0"/>
          <w:numId w:val="1005"/>
        </w:numPr>
      </w:pPr>
      <w:r>
        <w:t xml:space="preserve">The deadline (17 September 2026) aligns with growing institutional urgency to operationalize these frameworks before the 2027 CAP review cycle</w:t>
      </w:r>
    </w:p>
    <w:p>
      <w:r>
        <w:pict>
          <v:rect style="width:0;height:1.5pt" o:hralign="center" o:hrstd="t" o:hr="t"/>
        </w:pict>
      </w:r>
    </w:p>
    <w:bookmarkEnd w:id="33"/>
    <w:bookmarkEnd w:id="34"/>
    <w:bookmarkStart w:id="37" w:name="X7c61ecc75bcc0d9a0ea05a962850bb5a7c0831f"/>
    <w:p>
      <w:pPr>
        <w:pStyle w:val="Heading2"/>
      </w:pPr>
      <w:r>
        <w:t xml:space="preserve">2. Research Objectives</w:t>
      </w:r>
    </w:p>
    <w:bookmarkStart w:id="35" w:name="primary-objective"/>
    <w:p>
      <w:pPr>
        <w:pStyle w:val="Heading3"/>
      </w:pPr>
      <w:r>
        <w:t xml:space="preserve">Primary Objective</w:t>
      </w:r>
    </w:p>
    <w:p>
      <w:pPr>
        <w:pStyle w:val="FirstParagraph"/>
      </w:pPr>
      <w:r>
        <w:t xml:space="preserve">To develop, validate and deploy a</w:t>
      </w:r>
      <w:r>
        <w:t xml:space="preserve"> </w:t>
      </w:r>
      <w:r>
        <w:rPr>
          <w:b/>
          <w:bCs/>
        </w:rPr>
        <w:t xml:space="preserve">phase-resolved True Value Chain (TVC) analytical framework</w:t>
      </w:r>
      <w:r>
        <w:t xml:space="preserve"> </w:t>
      </w:r>
      <w:r>
        <w:t xml:space="preserve">that enables farmers, cooperatives, policymakers and market operators to quantify, balance and communicate the full spectrum of bioeconomy, food security, climate and biodiversity impacts across agricultural supply chains.</w:t>
      </w:r>
    </w:p>
    <w:bookmarkEnd w:id="35"/>
    <w:bookmarkStart w:id="36" w:name="specific-objectives"/>
    <w:p>
      <w:pPr>
        <w:pStyle w:val="Heading3"/>
      </w:pPr>
      <w:r>
        <w:t xml:space="preserve">Specific Objectives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Objective</w:t>
            </w:r>
          </w:p>
        </w:tc>
        <w:tc>
          <w:tcPr/>
          <w:p>
            <w:pPr>
              <w:pStyle w:val="Compact"/>
            </w:pPr>
            <w:r>
              <w:t xml:space="preserve">Call Alignment</w:t>
            </w:r>
          </w:p>
        </w:tc>
      </w:tr>
      <w:tr>
        <w:tc>
          <w:tcPr/>
          <w:p>
            <w:pPr>
              <w:pStyle w:val="Compact"/>
            </w:pPr>
            <w:r>
              <w:t xml:space="preserve">SO1</w:t>
            </w:r>
          </w:p>
        </w:tc>
        <w:tc>
          <w:tcPr/>
          <w:p>
            <w:pPr>
              <w:pStyle w:val="Compact"/>
            </w:pPr>
            <w:r>
              <w:t xml:space="preserve">Develop and validate natural capital accounting methods integrating economics, biodiversity and climate into agricultural supply chain accounts</w:t>
            </w:r>
          </w:p>
        </w:tc>
        <w:tc>
          <w:tcPr/>
          <w:p>
            <w:pPr>
              <w:pStyle w:val="Compact"/>
            </w:pPr>
            <w:r>
              <w:t xml:space="preserve">Scope: explore natural capital accounting</w:t>
            </w:r>
          </w:p>
        </w:tc>
      </w:tr>
      <w:tr>
        <w:tc>
          <w:tcPr/>
          <w:p>
            <w:pPr>
              <w:pStyle w:val="Compact"/>
            </w:pPr>
            <w:r>
              <w:t xml:space="preserve">SO2</w:t>
            </w:r>
          </w:p>
        </w:tc>
        <w:tc>
          <w:tcPr/>
          <w:p>
            <w:pPr>
              <w:pStyle w:val="Compact"/>
            </w:pPr>
            <w:r>
              <w:t xml:space="preserve">Analyse existing and develop new innovative business models and value chains enabling fair value capture for primary producers</w:t>
            </w:r>
          </w:p>
        </w:tc>
        <w:tc>
          <w:tcPr/>
          <w:p>
            <w:pPr>
              <w:pStyle w:val="Compact"/>
            </w:pPr>
            <w:r>
              <w:t xml:space="preserve">Scope: develop new innovative business models</w:t>
            </w:r>
          </w:p>
        </w:tc>
      </w:tr>
      <w:tr>
        <w:tc>
          <w:tcPr/>
          <w:p>
            <w:pPr>
              <w:pStyle w:val="Compact"/>
            </w:pPr>
            <w:r>
              <w:t xml:space="preserve">SO3</w:t>
            </w:r>
          </w:p>
        </w:tc>
        <w:tc>
          <w:tcPr/>
          <w:p>
            <w:pPr>
              <w:pStyle w:val="Compact"/>
            </w:pPr>
            <w:r>
              <w:t xml:space="preserve">Quantify Scope 1, 2 and 3 GHG emissions at phase resolution across the full shea, olive oil and diversification supply chains</w:t>
            </w:r>
          </w:p>
        </w:tc>
        <w:tc>
          <w:tcPr/>
          <w:p>
            <w:pPr>
              <w:pStyle w:val="Compact"/>
            </w:pPr>
            <w:r>
              <w:t xml:space="preserve">Scope: farm to macro level interdisciplinary research</w:t>
            </w:r>
          </w:p>
        </w:tc>
      </w:tr>
      <w:tr>
        <w:tc>
          <w:tcPr/>
          <w:p>
            <w:pPr>
              <w:pStyle w:val="Compact"/>
            </w:pPr>
            <w:r>
              <w:t xml:space="preserve">SO4</w:t>
            </w:r>
          </w:p>
        </w:tc>
        <w:tc>
          <w:tcPr/>
          <w:p>
            <w:pPr>
              <w:pStyle w:val="Compact"/>
            </w:pPr>
            <w:r>
              <w:t xml:space="preserve">Assess land-use conflicts, food security risks and leakage effects across the three commodity systems</w:t>
            </w:r>
          </w:p>
        </w:tc>
        <w:tc>
          <w:tcPr/>
          <w:p>
            <w:pPr>
              <w:pStyle w:val="Compact"/>
            </w:pPr>
            <w:r>
              <w:t xml:space="preserve">Scope: land-use conflicts, food security risks</w:t>
            </w:r>
          </w:p>
        </w:tc>
      </w:tr>
      <w:tr>
        <w:tc>
          <w:tcPr/>
          <w:p>
            <w:pPr>
              <w:pStyle w:val="Compact"/>
            </w:pPr>
            <w:r>
              <w:t xml:space="preserve">SO5</w:t>
            </w:r>
          </w:p>
        </w:tc>
        <w:tc>
          <w:tcPr/>
          <w:p>
            <w:pPr>
              <w:pStyle w:val="Compact"/>
            </w:pPr>
            <w:r>
              <w:t xml:space="preserve">Develop biomass supply-demand threshold models assessing tipping points where bioeconomy market prices alter production decisions</w:t>
            </w:r>
          </w:p>
        </w:tc>
        <w:tc>
          <w:tcPr/>
          <w:p>
            <w:pPr>
              <w:pStyle w:val="Compact"/>
            </w:pPr>
            <w:r>
              <w:t xml:space="preserve">Scope: biomass supply and demand threshold effects</w:t>
            </w:r>
          </w:p>
        </w:tc>
      </w:tr>
      <w:tr>
        <w:tc>
          <w:tcPr/>
          <w:p>
            <w:pPr>
              <w:pStyle w:val="Compact"/>
            </w:pPr>
            <w:r>
              <w:t xml:space="preserve">SO6</w:t>
            </w:r>
          </w:p>
        </w:tc>
        <w:tc>
          <w:tcPr/>
          <w:p>
            <w:pPr>
              <w:pStyle w:val="Compact"/>
            </w:pPr>
            <w:r>
              <w:t xml:space="preserve">Produce evidence-based policy recommendations for the design of sustainable business models and value chains, addressing farmer income diversification under the CRCF and Nature Credits frameworks</w:t>
            </w:r>
          </w:p>
        </w:tc>
        <w:tc>
          <w:tcPr/>
          <w:p>
            <w:pPr>
              <w:pStyle w:val="Compact"/>
            </w:pPr>
            <w:r>
              <w:t xml:space="preserve">Scope: recommendations for policy and business model design</w:t>
            </w:r>
          </w:p>
        </w:tc>
      </w:tr>
      <w:tr>
        <w:tc>
          <w:tcPr/>
          <w:p>
            <w:pPr>
              <w:pStyle w:val="Compact"/>
            </w:pPr>
            <w:r>
              <w:t xml:space="preserve">SO7</w:t>
            </w:r>
          </w:p>
        </w:tc>
        <w:tc>
          <w:tcPr/>
          <w:p>
            <w:pPr>
              <w:pStyle w:val="Compact"/>
            </w:pPr>
            <w:r>
              <w:t xml:space="preserve">Pilot the integration of TVF outputs into EU Economic Accounts for Agriculture and CRCF certification processes</w:t>
            </w:r>
          </w:p>
        </w:tc>
        <w:tc>
          <w:tcPr/>
          <w:p>
            <w:pPr>
              <w:pStyle w:val="Compact"/>
            </w:pPr>
            <w:r>
              <w:t xml:space="preserve">Scope: synergies with EAA framework and CRCF</w:t>
            </w:r>
          </w:p>
        </w:tc>
      </w:tr>
    </w:tbl>
    <w:p>
      <w:r>
        <w:pict>
          <v:rect style="width:0;height:1.5pt" o:hralign="center" o:hrstd="t" o:hr="t"/>
        </w:pict>
      </w:r>
    </w:p>
    <w:bookmarkEnd w:id="36"/>
    <w:bookmarkEnd w:id="37"/>
    <w:bookmarkStart w:id="41" w:name="X4b485db0c36592036e0d7619172eca7cc4965b5"/>
    <w:p>
      <w:pPr>
        <w:pStyle w:val="Heading2"/>
      </w:pPr>
      <w:r>
        <w:t xml:space="preserve">3. Commodities and Geographic Focus</w:t>
      </w:r>
    </w:p>
    <w:bookmarkStart w:id="38" w:name="Xf4290fd25d036f170ae94742334da19d5d9b1df"/>
    <w:p>
      <w:pPr>
        <w:pStyle w:val="Heading3"/>
      </w:pPr>
      <w:r>
        <w:t xml:space="preserve">3.1 Shea — West Africa to EU (Anchor Commodity)</w:t>
      </w:r>
    </w:p>
    <w:p>
      <w:pPr>
        <w:pStyle w:val="FirstParagraph"/>
      </w:pPr>
      <w:r>
        <w:rPr>
          <w:b/>
          <w:bCs/>
        </w:rPr>
        <w:t xml:space="preserve">Why Shea:</w:t>
      </w:r>
      <w:r>
        <w:br/>
      </w:r>
      <w:r>
        <w:t xml:space="preserve">Shea is simultaneously one of the most critical bioeconomy commodities linking the Great Green Wall (GGW) to EU markets and one of the most structurally opaque supply chains in global trade. An estimated 4–6 million women in West Africa depend on shea kernel collection and processing for their primary income. EU imports of shea butter feed the cosmetics industry (notably Unilever, L'Oréal, The Body Shop supply chains) and chocolate and confectionery manufacturers (as a cocoa butter substitute) — yet Scope 3 emissions and biodiversity impacts along this chain remain unmapped at the resolution needed for credible certification.</w:t>
      </w:r>
    </w:p>
    <w:p>
      <w:pPr>
        <w:pStyle w:val="BodyText"/>
      </w:pPr>
      <w:r>
        <w:rPr>
          <w:b/>
          <w:bCs/>
        </w:rPr>
        <w:t xml:space="preserve">Scope and Geography:</w:t>
      </w:r>
    </w:p>
    <w:p>
      <w:pPr>
        <w:numPr>
          <w:ilvl w:val="0"/>
          <w:numId w:val="1006"/>
        </w:numPr>
      </w:pPr>
      <w:r>
        <w:t xml:space="preserve">Senegal, Burkina Faso, Mali, Ghana (production zones along the GGW corridor)</w:t>
      </w:r>
    </w:p>
    <w:p>
      <w:pPr>
        <w:numPr>
          <w:ilvl w:val="0"/>
          <w:numId w:val="1006"/>
        </w:numPr>
      </w:pPr>
      <w:r>
        <w:t xml:space="preserve">Processing and export hubs: Bobo-Dioulasso (BF), Dakar (SN), Accra (GH)</w:t>
      </w:r>
    </w:p>
    <w:p>
      <w:pPr>
        <w:numPr>
          <w:ilvl w:val="0"/>
          <w:numId w:val="1006"/>
        </w:numPr>
      </w:pPr>
      <w:r>
        <w:t xml:space="preserve">EU import/refining: France, Germany, Netherlands, Italy</w:t>
      </w:r>
    </w:p>
    <w:p>
      <w:pPr>
        <w:numPr>
          <w:ilvl w:val="0"/>
          <w:numId w:val="1006"/>
        </w:numPr>
      </w:pPr>
      <w:r>
        <w:t xml:space="preserve">End markets: EU cosmetics and chocolate manufacturers; retail sustainability commitments</w:t>
      </w:r>
    </w:p>
    <w:p>
      <w:pPr>
        <w:pStyle w:val="FirstParagraph"/>
      </w:pPr>
      <w:r>
        <w:rPr>
          <w:b/>
          <w:bCs/>
        </w:rPr>
        <w:t xml:space="preserve">True Value Framework Application:</w:t>
      </w:r>
    </w:p>
    <w:p>
      <w:pPr>
        <w:numPr>
          <w:ilvl w:val="0"/>
          <w:numId w:val="1007"/>
        </w:numPr>
      </w:pPr>
      <w:r>
        <w:t xml:space="preserve">Phase-resolved supply chain mapping (collection → kernel processing → butter production → export → refining → manufacturing → retail)</w:t>
      </w:r>
    </w:p>
    <w:p>
      <w:pPr>
        <w:numPr>
          <w:ilvl w:val="0"/>
          <w:numId w:val="1007"/>
        </w:numPr>
      </w:pPr>
      <w:r>
        <w:t xml:space="preserve">Full Scope 3 GHG accounting per phase</w:t>
      </w:r>
    </w:p>
    <w:p>
      <w:pPr>
        <w:numPr>
          <w:ilvl w:val="0"/>
          <w:numId w:val="1007"/>
        </w:numPr>
      </w:pPr>
      <w:r>
        <w:t xml:space="preserve">Biodiversity and ecosystem services valuation (parkland agroforestry, carbon sequestration, soil health)</w:t>
      </w:r>
    </w:p>
    <w:p>
      <w:pPr>
        <w:numPr>
          <w:ilvl w:val="0"/>
          <w:numId w:val="1007"/>
        </w:numPr>
      </w:pPr>
      <w:r>
        <w:t xml:space="preserve">Women's cooperative income diversification modelling (beyond food/feed to cosmetics, energy, organic fertiliser, carbon credits)</w:t>
      </w:r>
    </w:p>
    <w:p>
      <w:pPr>
        <w:numPr>
          <w:ilvl w:val="0"/>
          <w:numId w:val="1007"/>
        </w:numPr>
      </w:pPr>
      <w:r>
        <w:t xml:space="preserve">Land-use conflict assessment: shea parkland vs agricultural intensification vs mining concessions</w:t>
      </w:r>
    </w:p>
    <w:p>
      <w:pPr>
        <w:pStyle w:val="FirstParagraph"/>
      </w:pPr>
      <w:r>
        <w:rPr>
          <w:b/>
          <w:bCs/>
        </w:rPr>
        <w:t xml:space="preserve">Connection to Great Green Wall:</w:t>
      </w:r>
      <w:r>
        <w:br/>
      </w:r>
      <w:r>
        <w:t xml:space="preserve">The GGW represents the world's largest ecosystem restoration programme (</w:t>
      </w:r>
      <m:oMath>
        <m:r>
          <m:t>33</m:t>
        </m:r>
        <m:r>
          <m:t>b</m:t>
        </m:r>
        <m:r>
          <m:t>i</m:t>
        </m:r>
        <m:r>
          <m:t>l</m:t>
        </m:r>
        <m:r>
          <m:t>l</m:t>
        </m:r>
        <m:r>
          <m:t>i</m:t>
        </m:r>
        <m:r>
          <m:t>o</m:t>
        </m:r>
        <m:r>
          <m:t>n</m:t>
        </m:r>
        <m:r>
          <m:t>e</m:t>
        </m:r>
        <m:r>
          <m:t>s</m:t>
        </m:r>
        <m:r>
          <m:t>t</m:t>
        </m:r>
        <m:r>
          <m:t>i</m:t>
        </m:r>
        <m:r>
          <m:t>m</m:t>
        </m:r>
        <m:r>
          <m:t>a</m:t>
        </m:r>
        <m:r>
          <m:t>t</m:t>
        </m:r>
        <m:r>
          <m:t>e</m:t>
        </m:r>
        <m:r>
          <m:t>d</m:t>
        </m:r>
        <m:r>
          <m:t>t</m:t>
        </m:r>
        <m:r>
          <m:t>o</m:t>
        </m:r>
        <m:r>
          <m:t>t</m:t>
        </m:r>
        <m:r>
          <m:t>a</m:t>
        </m:r>
        <m:r>
          <m:t>l</m:t>
        </m:r>
        <m:r>
          <m:t>c</m:t>
        </m:r>
        <m:r>
          <m:t>o</m:t>
        </m:r>
        <m:r>
          <m:t>s</m:t>
        </m:r>
        <m:r>
          <m:t>t</m:t>
        </m:r>
        <m:r>
          <m:rPr>
            <m:sty m:val="p"/>
          </m:rPr>
          <m:t>;</m:t>
        </m:r>
      </m:oMath>
      <w:r>
        <w:t xml:space="preserve">14 billion pledged by 2021). Shea agroforestry is a cornerstone of GGW land-use strategy in Senegal and Burkina Faso. This project directly addresses the documented gap: only ~2% of GGW national restoration targets achieved, partly due to absence of functioning value chain infrastructure linking restoration activities to market incentives. TVF supply chain analytics will provide the evidentiary foundation to unlock GGW-aligned carbon and nature credit mechanisms.</w:t>
      </w:r>
    </w:p>
    <w:p>
      <w:pPr>
        <w:pStyle w:val="BodyText"/>
      </w:pPr>
      <w:r>
        <w:rPr>
          <w:b/>
          <w:bCs/>
        </w:rPr>
        <w:t xml:space="preserve">Key Data Partners:</w:t>
      </w:r>
    </w:p>
    <w:p>
      <w:pPr>
        <w:numPr>
          <w:ilvl w:val="0"/>
          <w:numId w:val="1008"/>
        </w:numPr>
      </w:pPr>
      <w:r>
        <w:t xml:space="preserve">National Union of Shea Producers (Burkina Faso) — 5,000 women's cooperatives</w:t>
      </w:r>
    </w:p>
    <w:p>
      <w:pPr>
        <w:numPr>
          <w:ilvl w:val="0"/>
          <w:numId w:val="1008"/>
        </w:numPr>
      </w:pPr>
      <w:r>
        <w:t xml:space="preserve">Nitidæ (France) — SHEA GETS GREENER project alumni</w:t>
      </w:r>
    </w:p>
    <w:p>
      <w:pPr>
        <w:numPr>
          <w:ilvl w:val="0"/>
          <w:numId w:val="1008"/>
        </w:numPr>
      </w:pPr>
      <w:r>
        <w:t xml:space="preserve">CIFOR-ICRAF — existing research on shea market integration</w:t>
      </w:r>
    </w:p>
    <w:p>
      <w:pPr>
        <w:numPr>
          <w:ilvl w:val="0"/>
          <w:numId w:val="1008"/>
        </w:numPr>
      </w:pPr>
      <w:r>
        <w:t xml:space="preserve">Impact Agri (contact: Jon White) — agribusiness supply chain analytics</w:t>
      </w:r>
    </w:p>
    <w:p>
      <w:r>
        <w:pict>
          <v:rect style="width:0;height:1.5pt" o:hralign="center" o:hrstd="t" o:hr="t"/>
        </w:pict>
      </w:r>
    </w:p>
    <w:bookmarkEnd w:id="38"/>
    <w:bookmarkStart w:id="39" w:name="Xb9509d016719d0b4605be9e25c4903de730a371"/>
    <w:p>
      <w:pPr>
        <w:pStyle w:val="Heading3"/>
      </w:pPr>
      <w:r>
        <w:t xml:space="preserve">3.2 Olive Oil — Spain (and Italy as Bulk Trade Market)</w:t>
      </w:r>
    </w:p>
    <w:p>
      <w:pPr>
        <w:pStyle w:val="FirstParagraph"/>
      </w:pPr>
      <w:r>
        <w:rPr>
          <w:b/>
          <w:bCs/>
        </w:rPr>
        <w:t xml:space="preserve">Why Olive Oil:</w:t>
      </w:r>
      <w:r>
        <w:br/>
      </w:r>
      <w:r>
        <w:t xml:space="preserve">Spain is the world's largest olive oil producer, with cooperatives accounting for approximately 60–70% of total production. The Andalusian olive sector is among the most intensively studied in EU bioeconomy governance research, and Spain has received specific OECD policy recommendations on cooperative-sector reform and natural capital integration. Italy is the critical bulk trade destination for Spanish olive oil — processing, re-labelling and distributing Spanish oil under Italian brands to global markets — creating a well-documented value appropriation asymmetry that the TVF methodology is directly designed to analyse.</w:t>
      </w:r>
    </w:p>
    <w:p>
      <w:pPr>
        <w:pStyle w:val="BodyText"/>
      </w:pPr>
      <w:r>
        <w:rPr>
          <w:b/>
          <w:bCs/>
        </w:rPr>
        <w:t xml:space="preserve">Scope and Geography:</w:t>
      </w:r>
    </w:p>
    <w:p>
      <w:pPr>
        <w:numPr>
          <w:ilvl w:val="0"/>
          <w:numId w:val="1009"/>
        </w:numPr>
      </w:pPr>
      <w:r>
        <w:t xml:space="preserve">Spain: Andalusia (Jaén, Córdoba, Granada), Castilla-La Mancha — cooperative sector focus</w:t>
      </w:r>
    </w:p>
    <w:p>
      <w:pPr>
        <w:numPr>
          <w:ilvl w:val="0"/>
          <w:numId w:val="1009"/>
        </w:numPr>
      </w:pPr>
      <w:r>
        <w:t xml:space="preserve">Italy: Processing, import, and premium market re-distribution (bulk Spanish → branded Italian)</w:t>
      </w:r>
    </w:p>
    <w:p>
      <w:pPr>
        <w:numPr>
          <w:ilvl w:val="0"/>
          <w:numId w:val="1009"/>
        </w:numPr>
      </w:pPr>
      <w:r>
        <w:t xml:space="preserve">Argentina: Olive oil production expansion (Mendoza, San Juan, La Rioja) — emerging Global South competitor</w:t>
      </w:r>
    </w:p>
    <w:p>
      <w:pPr>
        <w:pStyle w:val="FirstParagraph"/>
      </w:pPr>
      <w:r>
        <w:rPr>
          <w:b/>
          <w:bCs/>
        </w:rPr>
        <w:t xml:space="preserve">True Value Framework Application:</w:t>
      </w:r>
    </w:p>
    <w:p>
      <w:pPr>
        <w:numPr>
          <w:ilvl w:val="0"/>
          <w:numId w:val="1010"/>
        </w:numPr>
      </w:pPr>
      <w:r>
        <w:t xml:space="preserve">Cooperative vs. non-cooperative value capture analysis</w:t>
      </w:r>
    </w:p>
    <w:p>
      <w:pPr>
        <w:numPr>
          <w:ilvl w:val="0"/>
          <w:numId w:val="1010"/>
        </w:numPr>
      </w:pPr>
      <w:r>
        <w:t xml:space="preserve">PDO (Protected Designation of Origin) and bioeconomy premium quantification</w:t>
      </w:r>
    </w:p>
    <w:p>
      <w:pPr>
        <w:numPr>
          <w:ilvl w:val="0"/>
          <w:numId w:val="1010"/>
        </w:numPr>
      </w:pPr>
      <w:r>
        <w:t xml:space="preserve">Olive mill waste (omurgha/pomace) as circular bioeconomy biomass — biorefineries, bioenergy, soil amendments</w:t>
      </w:r>
    </w:p>
    <w:p>
      <w:pPr>
        <w:numPr>
          <w:ilvl w:val="0"/>
          <w:numId w:val="1010"/>
        </w:numPr>
      </w:pPr>
      <w:r>
        <w:t xml:space="preserve">Land-use conflict analysis: water stress (olive is water-intensive in an increasingly arid Andalusia), olive monoculture vs. biodiversity corridors</w:t>
      </w:r>
    </w:p>
    <w:p>
      <w:pPr>
        <w:numPr>
          <w:ilvl w:val="0"/>
          <w:numId w:val="1010"/>
        </w:numPr>
      </w:pPr>
      <w:r>
        <w:t xml:space="preserve">Comparison of governance models: Spanish coops vs. Argentine private-sector supply chains</w:t>
      </w:r>
    </w:p>
    <w:p>
      <w:pPr>
        <w:numPr>
          <w:ilvl w:val="0"/>
          <w:numId w:val="1010"/>
        </w:numPr>
      </w:pPr>
      <w:r>
        <w:t xml:space="preserve">Benchmarking against OECD policy recommendations for Spain (cooperative sector reform, natural capital integration)</w:t>
      </w:r>
    </w:p>
    <w:p>
      <w:pPr>
        <w:pStyle w:val="FirstParagraph"/>
      </w:pPr>
      <w:r>
        <w:rPr>
          <w:b/>
          <w:bCs/>
        </w:rPr>
        <w:t xml:space="preserve">Key Data Partners:</w:t>
      </w:r>
    </w:p>
    <w:p>
      <w:pPr>
        <w:numPr>
          <w:ilvl w:val="0"/>
          <w:numId w:val="1011"/>
        </w:numPr>
      </w:pPr>
      <w:r>
        <w:t xml:space="preserve">Cooperativas Agro-alimentarias de España — national cooperative federation</w:t>
      </w:r>
    </w:p>
    <w:p>
      <w:pPr>
        <w:numPr>
          <w:ilvl w:val="0"/>
          <w:numId w:val="1011"/>
        </w:numPr>
      </w:pPr>
      <w:r>
        <w:t xml:space="preserve">Instituto de Investigación y Formación Agraria y Pesquera (IFAPA), Andalusia</w:t>
      </w:r>
    </w:p>
    <w:p>
      <w:pPr>
        <w:numPr>
          <w:ilvl w:val="0"/>
          <w:numId w:val="1011"/>
        </w:numPr>
      </w:pPr>
      <w:r>
        <w:t xml:space="preserve">ROBIN project (Horizon Europe-funded, Andalusia circular bioeconomy governance research) — complementarity partner</w:t>
      </w:r>
    </w:p>
    <w:p>
      <w:pPr>
        <w:numPr>
          <w:ilvl w:val="0"/>
          <w:numId w:val="1011"/>
        </w:numPr>
      </w:pPr>
      <w:r>
        <w:t xml:space="preserve">Università degli Studi di Bari Aldo Moro (Italy) — olive supply chain research</w:t>
      </w:r>
    </w:p>
    <w:p>
      <w:r>
        <w:pict>
          <v:rect style="width:0;height:1.5pt" o:hralign="center" o:hrstd="t" o:hr="t"/>
        </w:pict>
      </w:r>
    </w:p>
    <w:bookmarkEnd w:id="39"/>
    <w:bookmarkStart w:id="40" w:name="Xd4a6e35afe8080ae23cdf20615aac15a93964f9"/>
    <w:p>
      <w:pPr>
        <w:pStyle w:val="Heading3"/>
      </w:pPr>
      <w:r>
        <w:t xml:space="preserve">3.3 Diversification Commodities — Framework Scalability Testing</w:t>
      </w:r>
    </w:p>
    <w:p>
      <w:pPr>
        <w:pStyle w:val="FirstParagraph"/>
      </w:pPr>
      <w:r>
        <w:rPr>
          <w:b/>
          <w:bCs/>
        </w:rPr>
        <w:t xml:space="preserve">Argentine Soya and Beef:</w:t>
      </w:r>
      <w:r>
        <w:br/>
      </w:r>
      <w:r>
        <w:t xml:space="preserve">Argentina is the world's third-largest soya exporter and a major beef exporter to EU markets. Both commodities carry high land-use conflict risk (Chaco deforestation, Pampa degradation) and significant Scope 3 GHG exposure in EU supply chains. The EU Deforestation Regulation (EUDR) directly implicates Argentine soya and beef supply chains. The TVF methodology applied here will test framework scalability beyond African and European contexts and will generate the comparative dataset needed to assess land-use conflict dynamics across three distinct governance environments (Sahelian Africa, EU Mediterranean, South American pampas/subtropics).</w:t>
      </w:r>
    </w:p>
    <w:p>
      <w:pPr>
        <w:pStyle w:val="BodyText"/>
      </w:pPr>
      <w:r>
        <w:rPr>
          <w:b/>
          <w:bCs/>
        </w:rPr>
        <w:t xml:space="preserve">Spanish Cherries and Other Horticultural Products:</w:t>
      </w:r>
      <w:r>
        <w:br/>
      </w:r>
      <w:r>
        <w:t xml:space="preserve">Spanish cherries (Extremadura, Jerte Valley) represent an intensively studied high-value horticultural commodity undergoing rapid market integration and bioeconomy transition. They serve as a domestically bounded EU test case for TVF application, with direct institutional linkages to Spanish agricultural research networks.</w:t>
      </w:r>
    </w:p>
    <w:p>
      <w:pPr>
        <w:pStyle w:val="BodyText"/>
      </w:pPr>
      <w:r>
        <w:rPr>
          <w:b/>
          <w:bCs/>
        </w:rPr>
        <w:t xml:space="preserve">Other Agri-Food Commodities (to be confirmed with partners):</w:t>
      </w:r>
      <w:r>
        <w:br/>
      </w:r>
      <w:r>
        <w:t xml:space="preserve">The framework is designed to be modular. Additional commodities may be incorporated in consultation with consortium partners and the multi-actor panel, subject to data availability and alignment with project objectives.</w:t>
      </w:r>
    </w:p>
    <w:p>
      <w:r>
        <w:pict>
          <v:rect style="width:0;height:1.5pt" o:hralign="center" o:hrstd="t" o:hr="t"/>
        </w:pict>
      </w:r>
    </w:p>
    <w:bookmarkEnd w:id="40"/>
    <w:bookmarkEnd w:id="41"/>
    <w:bookmarkStart w:id="48" w:name="Xbefdd7d7e6d82a9c7a0009e0f13d18e634bc101"/>
    <w:p>
      <w:pPr>
        <w:pStyle w:val="Heading2"/>
      </w:pPr>
      <w:r>
        <w:t xml:space="preserve">4. Methodology — The True Value Framework (TVF)</w:t>
      </w:r>
    </w:p>
    <w:bookmarkStart w:id="42" w:name="Xd5cbc4f62ab645cb417c3ca2b649416e3910e42"/>
    <w:p>
      <w:pPr>
        <w:pStyle w:val="Heading3"/>
      </w:pPr>
      <w:r>
        <w:t xml:space="preserve">4.1 Framework Overview</w:t>
      </w:r>
    </w:p>
    <w:p>
      <w:pPr>
        <w:pStyle w:val="FirstParagraph"/>
      </w:pPr>
      <w:r>
        <w:t xml:space="preserve">The</w:t>
      </w:r>
      <w:r>
        <w:t xml:space="preserve"> </w:t>
      </w:r>
      <w:r>
        <w:rPr>
          <w:b/>
          <w:bCs/>
        </w:rPr>
        <w:t xml:space="preserve">True Value Framework (TVF)</w:t>
      </w:r>
      <w:r>
        <w:t xml:space="preserve"> </w:t>
      </w:r>
      <w:r>
        <w:t xml:space="preserve">is a quantitative, phase-resolved supply chain intelligence methodology that models agricultural supply chains as structured physical and value systems, measuring at each phase:</w:t>
      </w:r>
    </w:p>
    <w:p>
      <w:pPr>
        <w:numPr>
          <w:ilvl w:val="0"/>
          <w:numId w:val="1012"/>
        </w:numPr>
      </w:pPr>
      <w:r>
        <w:rPr>
          <w:b/>
          <w:bCs/>
        </w:rPr>
        <w:t xml:space="preserve">Physical flows</w:t>
      </w:r>
      <w:r>
        <w:t xml:space="preserve">: mass, volume, transformation, custody transfer</w:t>
      </w:r>
    </w:p>
    <w:p>
      <w:pPr>
        <w:numPr>
          <w:ilvl w:val="0"/>
          <w:numId w:val="1012"/>
        </w:numPr>
      </w:pPr>
      <w:r>
        <w:rPr>
          <w:b/>
          <w:bCs/>
        </w:rPr>
        <w:t xml:space="preserve">Economic flows</w:t>
      </w:r>
      <w:r>
        <w:t xml:space="preserve">: costs, revenues, margins, value appropriation by actor type</w:t>
      </w:r>
    </w:p>
    <w:p>
      <w:pPr>
        <w:numPr>
          <w:ilvl w:val="0"/>
          <w:numId w:val="1012"/>
        </w:numPr>
      </w:pPr>
      <w:r>
        <w:rPr>
          <w:b/>
          <w:bCs/>
        </w:rPr>
        <w:t xml:space="preserve">Environmental accounts</w:t>
      </w:r>
      <w:r>
        <w:t xml:space="preserve">: GHG emissions (Scope 1, 2, 3), water, land, biodiversity impact</w:t>
      </w:r>
    </w:p>
    <w:p>
      <w:pPr>
        <w:numPr>
          <w:ilvl w:val="0"/>
          <w:numId w:val="1012"/>
        </w:numPr>
      </w:pPr>
      <w:r>
        <w:rPr>
          <w:b/>
          <w:bCs/>
        </w:rPr>
        <w:t xml:space="preserve">Social accounts</w:t>
      </w:r>
      <w:r>
        <w:t xml:space="preserve">: income distribution, labour conditions, gender equity, community impact</w:t>
      </w:r>
    </w:p>
    <w:p>
      <w:pPr>
        <w:numPr>
          <w:ilvl w:val="0"/>
          <w:numId w:val="1012"/>
        </w:numPr>
      </w:pPr>
      <w:r>
        <w:rPr>
          <w:b/>
          <w:bCs/>
        </w:rPr>
        <w:t xml:space="preserve">Governance structure</w:t>
      </w:r>
      <w:r>
        <w:t xml:space="preserve">: transparency, opacity classification, regulatory compliance</w:t>
      </w:r>
    </w:p>
    <w:p>
      <w:pPr>
        <w:pStyle w:val="FirstParagraph"/>
      </w:pPr>
      <w:r>
        <w:t xml:space="preserve">The methodological architecture follows the</w:t>
      </w:r>
      <w:r>
        <w:t xml:space="preserve"> </w:t>
      </w:r>
      <w:r>
        <w:rPr>
          <w:b/>
          <w:bCs/>
        </w:rPr>
        <w:t xml:space="preserve">Negotiation–Definition–Contribution (N-D-C) triadic framework</w:t>
      </w:r>
      <w:r>
        <w:t xml:space="preserve"> </w:t>
      </w:r>
      <w:r>
        <w:t xml:space="preserve">(Tholonic model), which structures each supply chain phase as a triadic system where:</w:t>
      </w:r>
    </w:p>
    <w:p>
      <w:pPr>
        <w:numPr>
          <w:ilvl w:val="0"/>
          <w:numId w:val="1013"/>
        </w:numPr>
      </w:pPr>
      <w:r>
        <w:rPr>
          <w:b/>
          <w:bCs/>
        </w:rPr>
        <w:t xml:space="preserve">N (Negotiation)</w:t>
      </w:r>
      <w:r>
        <w:t xml:space="preserve"> </w:t>
      </w:r>
      <w:r>
        <w:t xml:space="preserve">= the stable, coherent operational state at that phase</w:t>
      </w:r>
    </w:p>
    <w:p>
      <w:pPr>
        <w:numPr>
          <w:ilvl w:val="0"/>
          <w:numId w:val="1013"/>
        </w:numPr>
      </w:pPr>
      <w:r>
        <w:rPr>
          <w:b/>
          <w:bCs/>
        </w:rPr>
        <w:t xml:space="preserve">D (Definition)</w:t>
      </w:r>
      <w:r>
        <w:t xml:space="preserve"> </w:t>
      </w:r>
      <w:r>
        <w:t xml:space="preserve">= constraints, requirements and boundaries governing what the phase</w:t>
      </w:r>
      <w:r>
        <w:t xml:space="preserve"> </w:t>
      </w:r>
      <w:r>
        <w:rPr>
          <w:i/>
          <w:iCs/>
        </w:rPr>
        <w:t xml:space="preserve">is</w:t>
      </w:r>
    </w:p>
    <w:p>
      <w:pPr>
        <w:numPr>
          <w:ilvl w:val="0"/>
          <w:numId w:val="1013"/>
        </w:numPr>
      </w:pPr>
      <w:r>
        <w:rPr>
          <w:b/>
          <w:bCs/>
        </w:rPr>
        <w:t xml:space="preserve">C (Contribution)</w:t>
      </w:r>
      <w:r>
        <w:t xml:space="preserve"> </w:t>
      </w:r>
      <w:r>
        <w:t xml:space="preserve">= outputs, flows and connections governing what the phase</w:t>
      </w:r>
      <w:r>
        <w:t xml:space="preserve"> </w:t>
      </w:r>
      <w:r>
        <w:rPr>
          <w:i/>
          <w:iCs/>
        </w:rPr>
        <w:t xml:space="preserve">does</w:t>
      </w:r>
    </w:p>
    <w:p>
      <w:pPr>
        <w:pStyle w:val="FirstParagraph"/>
      </w:pPr>
      <w:r>
        <w:t xml:space="preserve">Sustainability of any phase is measured by the D/C balance: when constraints and contributions are in equilibrium, the phase is most energy-efficient and resilient. Imbalance signals structural fragility, value leakage, or environmental risk.</w:t>
      </w:r>
    </w:p>
    <w:p>
      <w:pPr>
        <w:pStyle w:val="BodyText"/>
      </w:pPr>
      <w:r>
        <w:t xml:space="preserve">This framework has been developed and validated on the gold supply chain (Phase 0–7, mineral origin to exchange-registered bullion) and is now being extended to agricultural commodity systems.</w:t>
      </w:r>
    </w:p>
    <w:bookmarkEnd w:id="42"/>
    <w:bookmarkStart w:id="43" w:name="X4ad9de3bd97c781c0165c905a8881216fafe21e"/>
    <w:p>
      <w:pPr>
        <w:pStyle w:val="Heading3"/>
      </w:pPr>
      <w:r>
        <w:t xml:space="preserve">4.2 Phase Resolution</w:t>
      </w:r>
    </w:p>
    <w:p>
      <w:pPr>
        <w:pStyle w:val="FirstParagraph"/>
      </w:pPr>
      <w:r>
        <w:t xml:space="preserve">Each commodity supply chain is mapped to discrete phases, each defined by:</w:t>
      </w:r>
    </w:p>
    <w:p>
      <w:pPr>
        <w:numPr>
          <w:ilvl w:val="0"/>
          <w:numId w:val="1014"/>
        </w:numPr>
      </w:pPr>
      <w:r>
        <w:t xml:space="preserve">A physical state of the commodity</w:t>
      </w:r>
    </w:p>
    <w:p>
      <w:pPr>
        <w:numPr>
          <w:ilvl w:val="0"/>
          <w:numId w:val="1014"/>
        </w:numPr>
      </w:pPr>
      <w:r>
        <w:t xml:space="preserve">A transformation or custody change</w:t>
      </w:r>
    </w:p>
    <w:p>
      <w:pPr>
        <w:numPr>
          <w:ilvl w:val="0"/>
          <w:numId w:val="1014"/>
        </w:numPr>
      </w:pPr>
      <w:r>
        <w:t xml:space="preserve">A measurable output with units</w:t>
      </w:r>
    </w:p>
    <w:p>
      <w:pPr>
        <w:numPr>
          <w:ilvl w:val="0"/>
          <w:numId w:val="1014"/>
        </w:numPr>
      </w:pPr>
      <w:r>
        <w:t xml:space="preserve">An assigned transparency classification (High / Medium / Low / Opaque)</w:t>
      </w:r>
    </w:p>
    <w:p>
      <w:pPr>
        <w:pStyle w:val="FirstParagraph"/>
      </w:pPr>
      <w:r>
        <w:rPr>
          <w:b/>
          <w:bCs/>
        </w:rPr>
        <w:t xml:space="preserve">Example phase structure for Shea: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Description</w:t>
            </w:r>
          </w:p>
        </w:tc>
        <w:tc>
          <w:tcPr/>
          <w:p>
            <w:pPr>
              <w:pStyle w:val="Compact"/>
            </w:pPr>
            <w:r>
              <w:t xml:space="preserve">Key Physical State</w:t>
            </w:r>
          </w:p>
        </w:tc>
        <w:tc>
          <w:tcPr/>
          <w:p>
            <w:pPr>
              <w:pStyle w:val="Compact"/>
            </w:pPr>
            <w:r>
              <w:t xml:space="preserve">Custody</w:t>
            </w:r>
          </w:p>
        </w:tc>
      </w:tr>
      <w:tr>
        <w:tc>
          <w:tcPr/>
          <w:p>
            <w:pPr>
              <w:pStyle w:val="Compact"/>
            </w:pPr>
            <w:r>
              <w:t xml:space="preserve">0</w:t>
            </w:r>
          </w:p>
        </w:tc>
        <w:tc>
          <w:tcPr/>
          <w:p>
            <w:pPr>
              <w:pStyle w:val="Compact"/>
            </w:pPr>
            <w:r>
              <w:t xml:space="preserve">Parkland ecological system</w:t>
            </w:r>
          </w:p>
        </w:tc>
        <w:tc>
          <w:tcPr/>
          <w:p>
            <w:pPr>
              <w:pStyle w:val="Compact"/>
            </w:pPr>
            <w:r>
              <w:t xml:space="preserve">Shea tree, standing biomass</w:t>
            </w:r>
          </w:p>
        </w:tc>
        <w:tc>
          <w:tcPr/>
          <w:p>
            <w:pPr>
              <w:pStyle w:val="Compact"/>
            </w:pPr>
            <w:r>
              <w:t xml:space="preserve">Community / commons</w:t>
            </w:r>
          </w:p>
        </w:tc>
      </w:tr>
      <w:tr>
        <w:tc>
          <w:tcPr/>
          <w:p>
            <w:pPr>
              <w:pStyle w:val="Compact"/>
            </w:pPr>
            <w:r>
              <w:t xml:space="preserve">1</w:t>
            </w:r>
          </w:p>
        </w:tc>
        <w:tc>
          <w:tcPr/>
          <w:p>
            <w:pPr>
              <w:pStyle w:val="Compact"/>
            </w:pPr>
            <w:r>
              <w:t xml:space="preserve">Kernel collection</w:t>
            </w:r>
          </w:p>
        </w:tc>
        <w:tc>
          <w:tcPr/>
          <w:p>
            <w:pPr>
              <w:pStyle w:val="Compact"/>
            </w:pPr>
            <w:r>
              <w:t xml:space="preserve">Dried kernel</w:t>
            </w:r>
          </w:p>
        </w:tc>
        <w:tc>
          <w:tcPr/>
          <w:p>
            <w:pPr>
              <w:pStyle w:val="Compact"/>
            </w:pPr>
            <w:r>
              <w:t xml:space="preserve">Women's cooperative / collector</w:t>
            </w:r>
          </w:p>
        </w:tc>
      </w:tr>
      <w:tr>
        <w:tc>
          <w:tcPr/>
          <w:p>
            <w:pPr>
              <w:pStyle w:val="Compact"/>
            </w:pPr>
            <w:r>
              <w:t xml:space="preserve">2</w:t>
            </w:r>
          </w:p>
        </w:tc>
        <w:tc>
          <w:tcPr/>
          <w:p>
            <w:pPr>
              <w:pStyle w:val="Compact"/>
            </w:pPr>
            <w:r>
              <w:t xml:space="preserve">Primary processing</w:t>
            </w:r>
          </w:p>
        </w:tc>
        <w:tc>
          <w:tcPr/>
          <w:p>
            <w:pPr>
              <w:pStyle w:val="Compact"/>
            </w:pPr>
            <w:r>
              <w:t xml:space="preserve">Shea butter (artisanal)</w:t>
            </w:r>
          </w:p>
        </w:tc>
        <w:tc>
          <w:tcPr/>
          <w:p>
            <w:pPr>
              <w:pStyle w:val="Compact"/>
            </w:pPr>
            <w:r>
              <w:t xml:space="preserve">Cooperative / aggregator</w:t>
            </w:r>
          </w:p>
        </w:tc>
      </w:tr>
      <w:tr>
        <w:tc>
          <w:tcPr/>
          <w:p>
            <w:pPr>
              <w:pStyle w:val="Compact"/>
            </w:pPr>
            <w:r>
              <w:t xml:space="preserve">3</w:t>
            </w:r>
          </w:p>
        </w:tc>
        <w:tc>
          <w:tcPr/>
          <w:p>
            <w:pPr>
              <w:pStyle w:val="Compact"/>
            </w:pPr>
            <w:r>
              <w:t xml:space="preserve">Export preparation</w:t>
            </w:r>
          </w:p>
        </w:tc>
        <w:tc>
          <w:tcPr/>
          <w:p>
            <w:pPr>
              <w:pStyle w:val="Compact"/>
            </w:pPr>
            <w:r>
              <w:t xml:space="preserve">Cleaned kernel or crude butter</w:t>
            </w:r>
          </w:p>
        </w:tc>
        <w:tc>
          <w:tcPr/>
          <w:p>
            <w:pPr>
              <w:pStyle w:val="Compact"/>
            </w:pPr>
            <w:r>
              <w:t xml:space="preserve">Aggregator / exporter</w:t>
            </w:r>
          </w:p>
        </w:tc>
      </w:tr>
      <w:tr>
        <w:tc>
          <w:tcPr/>
          <w:p>
            <w:pPr>
              <w:pStyle w:val="Compact"/>
            </w:pPr>
            <w:r>
              <w:t xml:space="preserve">4</w:t>
            </w:r>
          </w:p>
        </w:tc>
        <w:tc>
          <w:tcPr/>
          <w:p>
            <w:pPr>
              <w:pStyle w:val="Compact"/>
            </w:pPr>
            <w:r>
              <w:t xml:space="preserve">International transit</w:t>
            </w:r>
          </w:p>
        </w:tc>
        <w:tc>
          <w:tcPr/>
          <w:p>
            <w:pPr>
              <w:pStyle w:val="Compact"/>
            </w:pPr>
            <w:r>
              <w:t xml:space="preserve">Kernel or butter in bulk</w:t>
            </w:r>
          </w:p>
        </w:tc>
        <w:tc>
          <w:tcPr/>
          <w:p>
            <w:pPr>
              <w:pStyle w:val="Compact"/>
            </w:pPr>
            <w:r>
              <w:t xml:space="preserve">Exporter / shipping</w:t>
            </w:r>
          </w:p>
        </w:tc>
      </w:tr>
      <w:tr>
        <w:tc>
          <w:tcPr/>
          <w:p>
            <w:pPr>
              <w:pStyle w:val="Compact"/>
            </w:pPr>
            <w:r>
              <w:t xml:space="preserve">5</w:t>
            </w:r>
          </w:p>
        </w:tc>
        <w:tc>
          <w:tcPr/>
          <w:p>
            <w:pPr>
              <w:pStyle w:val="Compact"/>
            </w:pPr>
            <w:r>
              <w:t xml:space="preserve">Industrial refining</w:t>
            </w:r>
          </w:p>
        </w:tc>
        <w:tc>
          <w:tcPr/>
          <w:p>
            <w:pPr>
              <w:pStyle w:val="Compact"/>
            </w:pPr>
            <w:r>
              <w:t xml:space="preserve">Refined shea olein/stearin</w:t>
            </w:r>
          </w:p>
        </w:tc>
        <w:tc>
          <w:tcPr/>
          <w:p>
            <w:pPr>
              <w:pStyle w:val="Compact"/>
            </w:pPr>
            <w:r>
              <w:t xml:space="preserve">Refiner (EU)</w:t>
            </w:r>
          </w:p>
        </w:tc>
      </w:tr>
      <w:tr>
        <w:tc>
          <w:tcPr/>
          <w:p>
            <w:pPr>
              <w:pStyle w:val="Compact"/>
            </w:pPr>
            <w:r>
              <w:t xml:space="preserve">6</w:t>
            </w:r>
          </w:p>
        </w:tc>
        <w:tc>
          <w:tcPr/>
          <w:p>
            <w:pPr>
              <w:pStyle w:val="Compact"/>
            </w:pPr>
            <w:r>
              <w:t xml:space="preserve">Manufacturing integration</w:t>
            </w:r>
          </w:p>
        </w:tc>
        <w:tc>
          <w:tcPr/>
          <w:p>
            <w:pPr>
              <w:pStyle w:val="Compact"/>
            </w:pPr>
            <w:r>
              <w:t xml:space="preserve">Ingredient in product</w:t>
            </w:r>
          </w:p>
        </w:tc>
        <w:tc>
          <w:tcPr/>
          <w:p>
            <w:pPr>
              <w:pStyle w:val="Compact"/>
            </w:pPr>
            <w:r>
              <w:t xml:space="preserve">Manufacturer</w:t>
            </w:r>
          </w:p>
        </w:tc>
      </w:tr>
      <w:tr>
        <w:tc>
          <w:tcPr/>
          <w:p>
            <w:pPr>
              <w:pStyle w:val="Compact"/>
            </w:pPr>
            <w:r>
              <w:t xml:space="preserve">7</w:t>
            </w:r>
          </w:p>
        </w:tc>
        <w:tc>
          <w:tcPr/>
          <w:p>
            <w:pPr>
              <w:pStyle w:val="Compact"/>
            </w:pPr>
            <w:r>
              <w:t xml:space="preserve">Retail and end consumer</w:t>
            </w:r>
          </w:p>
        </w:tc>
        <w:tc>
          <w:tcPr/>
          <w:p>
            <w:pPr>
              <w:pStyle w:val="Compact"/>
            </w:pPr>
            <w:r>
              <w:t xml:space="preserve">Final product</w:t>
            </w:r>
          </w:p>
        </w:tc>
        <w:tc>
          <w:tcPr/>
          <w:p>
            <w:pPr>
              <w:pStyle w:val="Compact"/>
            </w:pPr>
            <w:r>
              <w:t xml:space="preserve">Retailer</w:t>
            </w:r>
          </w:p>
        </w:tc>
      </w:tr>
    </w:tbl>
    <w:bookmarkEnd w:id="43"/>
    <w:bookmarkStart w:id="44" w:name="Xaed63cd188608f1853707e2d2b6054b453da3a8"/>
    <w:p>
      <w:pPr>
        <w:pStyle w:val="Heading3"/>
      </w:pPr>
      <w:r>
        <w:t xml:space="preserve">4.3 Natural Capital Accounting Integration</w:t>
      </w:r>
    </w:p>
    <w:p>
      <w:pPr>
        <w:pStyle w:val="FirstParagraph"/>
      </w:pPr>
      <w:r>
        <w:t xml:space="preserve">The project will develop and test natural capital accounting methods aligned with:</w:t>
      </w:r>
    </w:p>
    <w:p>
      <w:pPr>
        <w:numPr>
          <w:ilvl w:val="0"/>
          <w:numId w:val="1015"/>
        </w:numPr>
      </w:pPr>
      <w:r>
        <w:rPr>
          <w:b/>
          <w:bCs/>
        </w:rPr>
        <w:t xml:space="preserve">SEEA (System of Environmental-Economic Accounting)</w:t>
      </w:r>
      <w:r>
        <w:t xml:space="preserve"> </w:t>
      </w:r>
      <w:r>
        <w:t xml:space="preserve">— the UN framework for ecosystem accounts</w:t>
      </w:r>
    </w:p>
    <w:p>
      <w:pPr>
        <w:numPr>
          <w:ilvl w:val="0"/>
          <w:numId w:val="1015"/>
        </w:numPr>
      </w:pPr>
      <w:r>
        <w:rPr>
          <w:b/>
          <w:bCs/>
        </w:rPr>
        <w:t xml:space="preserve">EU Economic Accounts for Agriculture (EAA)</w:t>
      </w:r>
      <w:r>
        <w:t xml:space="preserve"> </w:t>
      </w:r>
      <w:r>
        <w:t xml:space="preserve">framework — direct call requirement</w:t>
      </w:r>
    </w:p>
    <w:p>
      <w:pPr>
        <w:numPr>
          <w:ilvl w:val="0"/>
          <w:numId w:val="1015"/>
        </w:numPr>
      </w:pPr>
      <w:r>
        <w:rPr>
          <w:b/>
          <w:bCs/>
        </w:rPr>
        <w:t xml:space="preserve">IPBES biodiversity valuation protocols</w:t>
      </w:r>
    </w:p>
    <w:p>
      <w:pPr>
        <w:numPr>
          <w:ilvl w:val="0"/>
          <w:numId w:val="1015"/>
        </w:numPr>
      </w:pPr>
      <w:r>
        <w:rPr>
          <w:b/>
          <w:bCs/>
        </w:rPr>
        <w:t xml:space="preserve">CRCF Regulation certification methodology requirements</w:t>
      </w:r>
      <w:r>
        <w:t xml:space="preserve"> </w:t>
      </w:r>
      <w:r>
        <w:t xml:space="preserve">— the project will contribute input to Delegated Acts expected in 2026</w:t>
      </w:r>
    </w:p>
    <w:p>
      <w:pPr>
        <w:pStyle w:val="FirstParagraph"/>
      </w:pPr>
      <w:r>
        <w:t xml:space="preserve">For each commodity and phase, a</w:t>
      </w:r>
      <w:r>
        <w:t xml:space="preserve"> </w:t>
      </w:r>
      <w:r>
        <w:rPr>
          <w:b/>
          <w:bCs/>
        </w:rPr>
        <w:t xml:space="preserve">Natural Capital Account</w:t>
      </w:r>
      <w:r>
        <w:t xml:space="preserve"> </w:t>
      </w:r>
      <w:r>
        <w:t xml:space="preserve">will be constructed containing:</w:t>
      </w:r>
    </w:p>
    <w:p>
      <w:pPr>
        <w:numPr>
          <w:ilvl w:val="0"/>
          <w:numId w:val="1016"/>
        </w:numPr>
      </w:pPr>
      <w:r>
        <w:t xml:space="preserve">Provisioning ecosystem services (food, fibre, fuel)</w:t>
      </w:r>
    </w:p>
    <w:p>
      <w:pPr>
        <w:numPr>
          <w:ilvl w:val="0"/>
          <w:numId w:val="1016"/>
        </w:numPr>
      </w:pPr>
      <w:r>
        <w:t xml:space="preserve">Regulating ecosystem services (carbon sequestration, water regulation, pollination)</w:t>
      </w:r>
    </w:p>
    <w:p>
      <w:pPr>
        <w:numPr>
          <w:ilvl w:val="0"/>
          <w:numId w:val="1016"/>
        </w:numPr>
      </w:pPr>
      <w:r>
        <w:t xml:space="preserve">Cultural ecosystem services (livelihood, heritage, gender empowerment)</w:t>
      </w:r>
    </w:p>
    <w:p>
      <w:pPr>
        <w:numPr>
          <w:ilvl w:val="0"/>
          <w:numId w:val="1016"/>
        </w:numPr>
      </w:pPr>
      <w:r>
        <w:t xml:space="preserve">Biodiversity metrics (species richness, habitat quality, connectivity)</w:t>
      </w:r>
    </w:p>
    <w:bookmarkEnd w:id="44"/>
    <w:bookmarkStart w:id="45" w:name="X59f0f6aeaefa7462e2ccb1226dfbe15887722b0"/>
    <w:p>
      <w:pPr>
        <w:pStyle w:val="Heading3"/>
      </w:pPr>
      <w:r>
        <w:t xml:space="preserve">4.4 Scope 3 GHG Accounting</w:t>
      </w:r>
    </w:p>
    <w:p>
      <w:pPr>
        <w:pStyle w:val="FirstParagraph"/>
      </w:pPr>
      <w:r>
        <w:t xml:space="preserve">Full Scope 3 GHG emission accounting will be conducted for the shea supply chain as the primary pilot (with olive oil as secondary). This addresses a critical gap: cosmetics and food companies with Scope 3 disclosure obligations under CSRD (Corporate Sustainability Reporting Directive) lack supply chain-resolved emission factors for shea butter. The project will generate:</w:t>
      </w:r>
    </w:p>
    <w:p>
      <w:pPr>
        <w:numPr>
          <w:ilvl w:val="0"/>
          <w:numId w:val="1017"/>
        </w:numPr>
      </w:pPr>
      <w:r>
        <w:t xml:space="preserve">Per-phase GHG emission factors (kg CO₂e per kg commodity)</w:t>
      </w:r>
    </w:p>
    <w:p>
      <w:pPr>
        <w:numPr>
          <w:ilvl w:val="0"/>
          <w:numId w:val="1017"/>
        </w:numPr>
      </w:pPr>
      <w:r>
        <w:t xml:space="preserve">Attribution of emissions by supply chain actor type</w:t>
      </w:r>
    </w:p>
    <w:p>
      <w:pPr>
        <w:numPr>
          <w:ilvl w:val="0"/>
          <w:numId w:val="1017"/>
        </w:numPr>
      </w:pPr>
      <w:r>
        <w:t xml:space="preserve">Uncertainty ranges and transparency classification</w:t>
      </w:r>
    </w:p>
    <w:p>
      <w:pPr>
        <w:numPr>
          <w:ilvl w:val="0"/>
          <w:numId w:val="1017"/>
        </w:numPr>
      </w:pPr>
      <w:r>
        <w:t xml:space="preserve">Integration pathway into existing LCA databases (ecoinvent, etc.)</w:t>
      </w:r>
    </w:p>
    <w:bookmarkEnd w:id="45"/>
    <w:bookmarkStart w:id="46" w:name="X6e84d1c7497790d1bc11b20df2bb6244a043a7b"/>
    <w:p>
      <w:pPr>
        <w:pStyle w:val="Heading3"/>
      </w:pPr>
      <w:r>
        <w:t xml:space="preserve">4.5 Biomass Threshold Modelling</w:t>
      </w:r>
    </w:p>
    <w:p>
      <w:pPr>
        <w:pStyle w:val="FirstParagraph"/>
      </w:pPr>
      <w:r>
        <w:t xml:space="preserve">A core methodological innovation is the development of</w:t>
      </w:r>
      <w:r>
        <w:t xml:space="preserve"> </w:t>
      </w:r>
      <w:r>
        <w:rPr>
          <w:b/>
          <w:bCs/>
        </w:rPr>
        <w:t xml:space="preserve">biomass supply-demand threshold models</w:t>
      </w:r>
      <w:r>
        <w:t xml:space="preserve"> </w:t>
      </w:r>
      <w:r>
        <w:t xml:space="preserve">— quantitative assessments of the market price levels at which bioeconomy incentives (carbon credits, nature credits, bioenergy contracts) begin to divert agricultural biomass from food/feed to non-food uses, triggering food security risks. These threshold models will be calibrated separately for each commodity system and validated against historical market data.</w:t>
      </w:r>
    </w:p>
    <w:bookmarkEnd w:id="46"/>
    <w:bookmarkStart w:id="47" w:name="X169f1aea09a10a6c8201c6fe1004e49a35721d5"/>
    <w:p>
      <w:pPr>
        <w:pStyle w:val="Heading3"/>
      </w:pPr>
      <w:r>
        <w:t xml:space="preserve">4.6 Land-Use Conflict Assessment</w:t>
      </w:r>
    </w:p>
    <w:p>
      <w:pPr>
        <w:pStyle w:val="FirstParagraph"/>
      </w:pPr>
      <w:r>
        <w:t xml:space="preserve">The project will apply a</w:t>
      </w:r>
      <w:r>
        <w:t xml:space="preserve"> </w:t>
      </w:r>
      <w:r>
        <w:rPr>
          <w:b/>
          <w:bCs/>
        </w:rPr>
        <w:t xml:space="preserve">spatial land-use conflict index</w:t>
      </w:r>
      <w:r>
        <w:t xml:space="preserve"> </w:t>
      </w:r>
      <w:r>
        <w:t xml:space="preserve">to each commodity system, assessing:</w:t>
      </w:r>
    </w:p>
    <w:p>
      <w:pPr>
        <w:numPr>
          <w:ilvl w:val="0"/>
          <w:numId w:val="1018"/>
        </w:numPr>
      </w:pPr>
      <w:r>
        <w:t xml:space="preserve">Direct competition between food production, bioeconomy crops, carbon forestry, and nature restoration</w:t>
      </w:r>
    </w:p>
    <w:p>
      <w:pPr>
        <w:numPr>
          <w:ilvl w:val="0"/>
          <w:numId w:val="1018"/>
        </w:numPr>
      </w:pPr>
      <w:r>
        <w:t xml:space="preserve">Leakage effects (displacement of food production to non-mapped zones)</w:t>
      </w:r>
    </w:p>
    <w:p>
      <w:pPr>
        <w:numPr>
          <w:ilvl w:val="0"/>
          <w:numId w:val="1018"/>
        </w:numPr>
      </w:pPr>
      <w:r>
        <w:t xml:space="preserve">Mining and extractive industry conflicts (particularly relevant for Sahelian shea zones)</w:t>
      </w:r>
    </w:p>
    <w:p>
      <w:pPr>
        <w:numPr>
          <w:ilvl w:val="0"/>
          <w:numId w:val="1018"/>
        </w:numPr>
      </w:pPr>
      <w:r>
        <w:t xml:space="preserve">Political economy of land tenure and conflict resolution</w:t>
      </w:r>
    </w:p>
    <w:p>
      <w:r>
        <w:pict>
          <v:rect style="width:0;height:1.5pt" o:hralign="center" o:hrstd="t" o:hr="t"/>
        </w:pict>
      </w:r>
    </w:p>
    <w:bookmarkEnd w:id="47"/>
    <w:bookmarkEnd w:id="48"/>
    <w:bookmarkStart w:id="57" w:name="X16123273ac26ab593f50ee67cd3c5ac92d2d130"/>
    <w:p>
      <w:pPr>
        <w:pStyle w:val="Heading2"/>
      </w:pPr>
      <w:r>
        <w:t xml:space="preserve">5. Work Package Structure</w:t>
      </w:r>
    </w:p>
    <w:bookmarkStart w:id="49" w:name="Xd0ca190de4ddc2bdb8ae4621fa85ece8eeb8d4c"/>
    <w:p>
      <w:pPr>
        <w:pStyle w:val="Heading3"/>
      </w:pPr>
      <w:r>
        <w:t xml:space="preserve">WP1 — Framework Development and Harmonisation (M1–M24)</w:t>
      </w:r>
    </w:p>
    <w:p>
      <w:pPr>
        <w:pStyle w:val="FirstParagraph"/>
      </w:pPr>
      <w:r>
        <w:rPr>
          <w:b/>
          <w:bCs/>
        </w:rPr>
        <w:t xml:space="preserve">Lead:</w:t>
      </w:r>
      <w:r>
        <w:t xml:space="preserve"> </w:t>
      </w:r>
      <w:r>
        <w:t xml:space="preserve">Academic partner (TBC)</w:t>
      </w:r>
      <w:r>
        <w:br/>
      </w:r>
      <w:r>
        <w:rPr>
          <w:b/>
          <w:bCs/>
        </w:rPr>
        <w:t xml:space="preserve">Key activities:</w:t>
      </w:r>
    </w:p>
    <w:p>
      <w:pPr>
        <w:numPr>
          <w:ilvl w:val="0"/>
          <w:numId w:val="1019"/>
        </w:numPr>
      </w:pPr>
      <w:r>
        <w:t xml:space="preserve">Review and harmonise existing True Value Accounting methodologies (TCA, SEEA, IPBES valuation, CRCF)</w:t>
      </w:r>
    </w:p>
    <w:p>
      <w:pPr>
        <w:numPr>
          <w:ilvl w:val="0"/>
          <w:numId w:val="1019"/>
        </w:numPr>
      </w:pPr>
      <w:r>
        <w:t xml:space="preserve">Develop the TVF Phase-Resolution Protocol for agricultural commodities</w:t>
      </w:r>
    </w:p>
    <w:p>
      <w:pPr>
        <w:numPr>
          <w:ilvl w:val="0"/>
          <w:numId w:val="1019"/>
        </w:numPr>
      </w:pPr>
      <w:r>
        <w:t xml:space="preserve">Establish N-D-C triadic analytical structure for each commodity system</w:t>
      </w:r>
    </w:p>
    <w:p>
      <w:pPr>
        <w:numPr>
          <w:ilvl w:val="0"/>
          <w:numId w:val="1019"/>
        </w:numPr>
      </w:pPr>
      <w:r>
        <w:t xml:space="preserve">Design data collection instruments and stakeholder engagement protocols</w:t>
      </w:r>
    </w:p>
    <w:p>
      <w:pPr>
        <w:numPr>
          <w:ilvl w:val="0"/>
          <w:numId w:val="1019"/>
        </w:numPr>
      </w:pPr>
      <w:r>
        <w:t xml:space="preserve">Develop the multi-actor co-design process framework</w:t>
      </w:r>
    </w:p>
    <w:p>
      <w:pPr>
        <w:pStyle w:val="FirstParagraph"/>
      </w:pPr>
      <w:r>
        <w:rPr>
          <w:b/>
          <w:bCs/>
        </w:rPr>
        <w:t xml:space="preserve">Deliverables:</w:t>
      </w:r>
    </w:p>
    <w:p>
      <w:pPr>
        <w:numPr>
          <w:ilvl w:val="0"/>
          <w:numId w:val="1020"/>
        </w:numPr>
      </w:pPr>
      <w:r>
        <w:t xml:space="preserve">D1.1: TVF Agricultural Protocol (M6)</w:t>
      </w:r>
    </w:p>
    <w:p>
      <w:pPr>
        <w:numPr>
          <w:ilvl w:val="0"/>
          <w:numId w:val="1020"/>
        </w:numPr>
      </w:pPr>
      <w:r>
        <w:t xml:space="preserve">D1.2: Harmonised Natural Capital Accounting Methodology (M12)</w:t>
      </w:r>
    </w:p>
    <w:p>
      <w:pPr>
        <w:numPr>
          <w:ilvl w:val="0"/>
          <w:numId w:val="1020"/>
        </w:numPr>
      </w:pPr>
      <w:r>
        <w:t xml:space="preserve">D1.3: Multi-actor Co-design Framework (M6)</w:t>
      </w:r>
    </w:p>
    <w:p>
      <w:r>
        <w:pict>
          <v:rect style="width:0;height:1.5pt" o:hralign="center" o:hrstd="t" o:hr="t"/>
        </w:pict>
      </w:r>
    </w:p>
    <w:bookmarkEnd w:id="49"/>
    <w:bookmarkStart w:id="50" w:name="X69b85c3831613b58c97b2e32e172537dfba641a"/>
    <w:p>
      <w:pPr>
        <w:pStyle w:val="Heading3"/>
      </w:pPr>
      <w:r>
        <w:t xml:space="preserve">WP2 — Shea Supply Chain: West Africa to EU (M6–M42)</w:t>
      </w:r>
    </w:p>
    <w:p>
      <w:pPr>
        <w:pStyle w:val="FirstParagraph"/>
      </w:pPr>
      <w:r>
        <w:rPr>
          <w:b/>
          <w:bCs/>
        </w:rPr>
        <w:t xml:space="preserve">Lead:</w:t>
      </w:r>
      <w:r>
        <w:t xml:space="preserve"> </w:t>
      </w:r>
      <w:r>
        <w:t xml:space="preserve">Impact Agri (TBC, contact Jon White) or African research partner</w:t>
      </w:r>
      <w:r>
        <w:br/>
      </w:r>
      <w:r>
        <w:rPr>
          <w:b/>
          <w:bCs/>
        </w:rPr>
        <w:t xml:space="preserve">Key activities:</w:t>
      </w:r>
    </w:p>
    <w:p>
      <w:pPr>
        <w:numPr>
          <w:ilvl w:val="0"/>
          <w:numId w:val="1021"/>
        </w:numPr>
      </w:pPr>
      <w:r>
        <w:t xml:space="preserve">Phase-resolved supply chain mapping (Phases 0–7, parkland to retail)</w:t>
      </w:r>
    </w:p>
    <w:p>
      <w:pPr>
        <w:numPr>
          <w:ilvl w:val="0"/>
          <w:numId w:val="1021"/>
        </w:numPr>
      </w:pPr>
      <w:r>
        <w:t xml:space="preserve">Women's cooperative income and value appropriation analysis</w:t>
      </w:r>
    </w:p>
    <w:p>
      <w:pPr>
        <w:numPr>
          <w:ilvl w:val="0"/>
          <w:numId w:val="1021"/>
        </w:numPr>
      </w:pPr>
      <w:r>
        <w:t xml:space="preserve">Full Scope 3 GHG accounting per phase</w:t>
      </w:r>
    </w:p>
    <w:p>
      <w:pPr>
        <w:numPr>
          <w:ilvl w:val="0"/>
          <w:numId w:val="1021"/>
        </w:numPr>
      </w:pPr>
      <w:r>
        <w:t xml:space="preserve">Biodiversity and ecosystem services valuation (GGW corridor)</w:t>
      </w:r>
    </w:p>
    <w:p>
      <w:pPr>
        <w:numPr>
          <w:ilvl w:val="0"/>
          <w:numId w:val="1021"/>
        </w:numPr>
      </w:pPr>
      <w:r>
        <w:t xml:space="preserve">Land-use conflict assessment (shea parkland / agriculture / mining)</w:t>
      </w:r>
    </w:p>
    <w:p>
      <w:pPr>
        <w:numPr>
          <w:ilvl w:val="0"/>
          <w:numId w:val="1021"/>
        </w:numPr>
      </w:pPr>
      <w:r>
        <w:t xml:space="preserve">Carbon and nature credit pathway analysis under CRCF</w:t>
      </w:r>
    </w:p>
    <w:p>
      <w:pPr>
        <w:numPr>
          <w:ilvl w:val="0"/>
          <w:numId w:val="1021"/>
        </w:numPr>
      </w:pPr>
      <w:r>
        <w:t xml:space="preserve">Senegal full application (Burkina Faso as comparative case)</w:t>
      </w:r>
    </w:p>
    <w:p>
      <w:pPr>
        <w:numPr>
          <w:ilvl w:val="0"/>
          <w:numId w:val="1021"/>
        </w:numPr>
      </w:pPr>
      <w:r>
        <w:t xml:space="preserve">EU end-market engagement: cosmetics and chocolate manufacturers, retailers</w:t>
      </w:r>
    </w:p>
    <w:p>
      <w:pPr>
        <w:pStyle w:val="FirstParagraph"/>
      </w:pPr>
      <w:r>
        <w:rPr>
          <w:b/>
          <w:bCs/>
        </w:rPr>
        <w:t xml:space="preserve">Deliverables:</w:t>
      </w:r>
    </w:p>
    <w:p>
      <w:pPr>
        <w:numPr>
          <w:ilvl w:val="0"/>
          <w:numId w:val="1022"/>
        </w:numPr>
      </w:pPr>
      <w:r>
        <w:t xml:space="preserve">D2.1: Shea Supply Chain Phase Map and Data Atlas (M18)</w:t>
      </w:r>
    </w:p>
    <w:p>
      <w:pPr>
        <w:numPr>
          <w:ilvl w:val="0"/>
          <w:numId w:val="1022"/>
        </w:numPr>
      </w:pPr>
      <w:r>
        <w:t xml:space="preserve">D2.2: Scope 3 GHG Emission Factors — Shea (M30)</w:t>
      </w:r>
    </w:p>
    <w:p>
      <w:pPr>
        <w:numPr>
          <w:ilvl w:val="0"/>
          <w:numId w:val="1022"/>
        </w:numPr>
      </w:pPr>
      <w:r>
        <w:t xml:space="preserve">D2.3: Shea Natural Capital Account (M36)</w:t>
      </w:r>
    </w:p>
    <w:p>
      <w:pPr>
        <w:numPr>
          <w:ilvl w:val="0"/>
          <w:numId w:val="1022"/>
        </w:numPr>
      </w:pPr>
      <w:r>
        <w:t xml:space="preserve">D2.4: Shea Business Model and Value Chain Innovation Report (M42)</w:t>
      </w:r>
    </w:p>
    <w:p>
      <w:r>
        <w:pict>
          <v:rect style="width:0;height:1.5pt" o:hralign="center" o:hrstd="t" o:hr="t"/>
        </w:pict>
      </w:r>
    </w:p>
    <w:bookmarkEnd w:id="50"/>
    <w:bookmarkStart w:id="51" w:name="Xc1cceb4b5fefb272a444e5cf207450241285d22"/>
    <w:p>
      <w:pPr>
        <w:pStyle w:val="Heading3"/>
      </w:pPr>
      <w:r>
        <w:t xml:space="preserve">WP3 — Olive Oil Supply Chain: Spain–Italy (M6–M42)</w:t>
      </w:r>
    </w:p>
    <w:p>
      <w:pPr>
        <w:pStyle w:val="FirstParagraph"/>
      </w:pPr>
      <w:r>
        <w:rPr>
          <w:b/>
          <w:bCs/>
        </w:rPr>
        <w:t xml:space="preserve">Lead:</w:t>
      </w:r>
      <w:r>
        <w:t xml:space="preserve"> </w:t>
      </w:r>
      <w:r>
        <w:t xml:space="preserve">Spanish cooperative sector partner (Cooperativas Agro-alimentarias or IFAPA)</w:t>
      </w:r>
      <w:r>
        <w:br/>
      </w:r>
      <w:r>
        <w:rPr>
          <w:b/>
          <w:bCs/>
        </w:rPr>
        <w:t xml:space="preserve">Key activities:</w:t>
      </w:r>
    </w:p>
    <w:p>
      <w:pPr>
        <w:numPr>
          <w:ilvl w:val="0"/>
          <w:numId w:val="1023"/>
        </w:numPr>
      </w:pPr>
      <w:r>
        <w:t xml:space="preserve">Cooperative vs. non-cooperative value capture analysis</w:t>
      </w:r>
    </w:p>
    <w:p>
      <w:pPr>
        <w:numPr>
          <w:ilvl w:val="0"/>
          <w:numId w:val="1023"/>
        </w:numPr>
      </w:pPr>
      <w:r>
        <w:t xml:space="preserve">PDO premium quantification and natural capital integration</w:t>
      </w:r>
    </w:p>
    <w:p>
      <w:pPr>
        <w:numPr>
          <w:ilvl w:val="0"/>
          <w:numId w:val="1023"/>
        </w:numPr>
      </w:pPr>
      <w:r>
        <w:t xml:space="preserve">Olive mill waste (pomace) circular bioeconomy assessment</w:t>
      </w:r>
    </w:p>
    <w:p>
      <w:pPr>
        <w:numPr>
          <w:ilvl w:val="0"/>
          <w:numId w:val="1023"/>
        </w:numPr>
      </w:pPr>
      <w:r>
        <w:t xml:space="preserve">Water stress and land-use conflict analysis (Andalusia)</w:t>
      </w:r>
    </w:p>
    <w:p>
      <w:pPr>
        <w:numPr>
          <w:ilvl w:val="0"/>
          <w:numId w:val="1023"/>
        </w:numPr>
      </w:pPr>
      <w:r>
        <w:t xml:space="preserve">Spain–Italy bulk trade value flow analysis</w:t>
      </w:r>
    </w:p>
    <w:p>
      <w:pPr>
        <w:numPr>
          <w:ilvl w:val="0"/>
          <w:numId w:val="1023"/>
        </w:numPr>
      </w:pPr>
      <w:r>
        <w:t xml:space="preserve">Benchmarking against OECD Spain policy recommendations</w:t>
      </w:r>
    </w:p>
    <w:p>
      <w:pPr>
        <w:numPr>
          <w:ilvl w:val="0"/>
          <w:numId w:val="1023"/>
        </w:numPr>
      </w:pPr>
      <w:r>
        <w:t xml:space="preserve">Governance framework assessment for cooperative bioeconomy transition</w:t>
      </w:r>
    </w:p>
    <w:p>
      <w:pPr>
        <w:pStyle w:val="FirstParagraph"/>
      </w:pPr>
      <w:r>
        <w:rPr>
          <w:b/>
          <w:bCs/>
        </w:rPr>
        <w:t xml:space="preserve">Deliverables:</w:t>
      </w:r>
    </w:p>
    <w:p>
      <w:pPr>
        <w:numPr>
          <w:ilvl w:val="0"/>
          <w:numId w:val="1024"/>
        </w:numPr>
      </w:pPr>
      <w:r>
        <w:t xml:space="preserve">D3.1: Olive Oil Phase-Resolved Value Chain Map (M18)</w:t>
      </w:r>
    </w:p>
    <w:p>
      <w:pPr>
        <w:numPr>
          <w:ilvl w:val="0"/>
          <w:numId w:val="1024"/>
        </w:numPr>
      </w:pPr>
      <w:r>
        <w:t xml:space="preserve">D3.2: Cooperative Business Model Innovation Report (M30)</w:t>
      </w:r>
    </w:p>
    <w:p>
      <w:pPr>
        <w:numPr>
          <w:ilvl w:val="0"/>
          <w:numId w:val="1024"/>
        </w:numPr>
      </w:pPr>
      <w:r>
        <w:t xml:space="preserve">D3.3: Olive Bioeconomy Land-Use Conflict Assessment (M36)</w:t>
      </w:r>
    </w:p>
    <w:p>
      <w:pPr>
        <w:numPr>
          <w:ilvl w:val="0"/>
          <w:numId w:val="1024"/>
        </w:numPr>
      </w:pPr>
      <w:r>
        <w:t xml:space="preserve">D3.4: Olive Natural Capital Account (M42)</w:t>
      </w:r>
    </w:p>
    <w:p>
      <w:r>
        <w:pict>
          <v:rect style="width:0;height:1.5pt" o:hralign="center" o:hrstd="t" o:hr="t"/>
        </w:pict>
      </w:r>
    </w:p>
    <w:bookmarkEnd w:id="51"/>
    <w:bookmarkStart w:id="52" w:name="X6939cc34480cfdfb1ceddd1cfefd70540365336"/>
    <w:p>
      <w:pPr>
        <w:pStyle w:val="Heading3"/>
      </w:pPr>
      <w:r>
        <w:t xml:space="preserve">WP4 — Diversification Commodities and Cross-Comparative Analysis (M12–M48)</w:t>
      </w:r>
    </w:p>
    <w:p>
      <w:pPr>
        <w:pStyle w:val="FirstParagraph"/>
      </w:pPr>
      <w:r>
        <w:rPr>
          <w:b/>
          <w:bCs/>
        </w:rPr>
        <w:t xml:space="preserve">Lead:</w:t>
      </w:r>
      <w:r>
        <w:t xml:space="preserve"> </w:t>
      </w:r>
      <w:r>
        <w:t xml:space="preserve">True Value Analytics / lead partner</w:t>
      </w:r>
      <w:r>
        <w:br/>
      </w:r>
      <w:r>
        <w:rPr>
          <w:b/>
          <w:bCs/>
        </w:rPr>
        <w:t xml:space="preserve">Key activities:</w:t>
      </w:r>
    </w:p>
    <w:p>
      <w:pPr>
        <w:numPr>
          <w:ilvl w:val="0"/>
          <w:numId w:val="1025"/>
        </w:numPr>
      </w:pPr>
      <w:r>
        <w:t xml:space="preserve">Argentine soya/beef supply chain mapping (EUDR compliance lens)</w:t>
      </w:r>
    </w:p>
    <w:p>
      <w:pPr>
        <w:numPr>
          <w:ilvl w:val="0"/>
          <w:numId w:val="1025"/>
        </w:numPr>
      </w:pPr>
      <w:r>
        <w:t xml:space="preserve">Spanish cherry horticultural bioeconomy assessment</w:t>
      </w:r>
    </w:p>
    <w:p>
      <w:pPr>
        <w:numPr>
          <w:ilvl w:val="0"/>
          <w:numId w:val="1025"/>
        </w:numPr>
      </w:pPr>
      <w:r>
        <w:t xml:space="preserve">Cross-commodity comparative analysis: land-use conflicts, value distribution, governance models</w:t>
      </w:r>
    </w:p>
    <w:p>
      <w:pPr>
        <w:numPr>
          <w:ilvl w:val="0"/>
          <w:numId w:val="1025"/>
        </w:numPr>
      </w:pPr>
      <w:r>
        <w:t xml:space="preserve">Biomass threshold modelling across all commodity systems</w:t>
      </w:r>
    </w:p>
    <w:p>
      <w:pPr>
        <w:numPr>
          <w:ilvl w:val="0"/>
          <w:numId w:val="1025"/>
        </w:numPr>
      </w:pPr>
      <w:r>
        <w:t xml:space="preserve">Food security risk assessment methodology development and application</w:t>
      </w:r>
    </w:p>
    <w:p>
      <w:pPr>
        <w:pStyle w:val="FirstParagraph"/>
      </w:pPr>
      <w:r>
        <w:rPr>
          <w:b/>
          <w:bCs/>
        </w:rPr>
        <w:t xml:space="preserve">Deliverables:</w:t>
      </w:r>
    </w:p>
    <w:p>
      <w:pPr>
        <w:numPr>
          <w:ilvl w:val="0"/>
          <w:numId w:val="1026"/>
        </w:numPr>
      </w:pPr>
      <w:r>
        <w:t xml:space="preserve">D4.1: Argentine Soya/Beef TVF Assessment (M30)</w:t>
      </w:r>
    </w:p>
    <w:p>
      <w:pPr>
        <w:numPr>
          <w:ilvl w:val="0"/>
          <w:numId w:val="1026"/>
        </w:numPr>
      </w:pPr>
      <w:r>
        <w:t xml:space="preserve">D4.2: Spanish Cherry Bioeconomy Assessment (M24)</w:t>
      </w:r>
    </w:p>
    <w:p>
      <w:pPr>
        <w:numPr>
          <w:ilvl w:val="0"/>
          <w:numId w:val="1026"/>
        </w:numPr>
      </w:pPr>
      <w:r>
        <w:t xml:space="preserve">D4.3: Cross-Commodity Comparative Analysis (M42)</w:t>
      </w:r>
    </w:p>
    <w:p>
      <w:pPr>
        <w:numPr>
          <w:ilvl w:val="0"/>
          <w:numId w:val="1026"/>
        </w:numPr>
      </w:pPr>
      <w:r>
        <w:t xml:space="preserve">D4.4: Biomass Threshold Model Technical Report (M36)</w:t>
      </w:r>
    </w:p>
    <w:p>
      <w:r>
        <w:pict>
          <v:rect style="width:0;height:1.5pt" o:hralign="center" o:hrstd="t" o:hr="t"/>
        </w:pict>
      </w:r>
    </w:p>
    <w:bookmarkEnd w:id="52"/>
    <w:bookmarkStart w:id="53" w:name="Xc31a491ffe40591c6d17c55161ce72757cc2029"/>
    <w:p>
      <w:pPr>
        <w:pStyle w:val="Heading3"/>
      </w:pPr>
      <w:r>
        <w:t xml:space="preserve">WP5 — Policy Recommendations and Stakeholder Engagement (M18–M54)</w:t>
      </w:r>
    </w:p>
    <w:p>
      <w:pPr>
        <w:pStyle w:val="FirstParagraph"/>
      </w:pPr>
      <w:r>
        <w:rPr>
          <w:b/>
          <w:bCs/>
        </w:rPr>
        <w:t xml:space="preserve">Lead:</w:t>
      </w:r>
      <w:r>
        <w:t xml:space="preserve"> </w:t>
      </w:r>
      <w:r>
        <w:t xml:space="preserve">Policy/SSH partner (TBC)</w:t>
      </w:r>
      <w:r>
        <w:br/>
      </w:r>
      <w:r>
        <w:rPr>
          <w:b/>
          <w:bCs/>
        </w:rPr>
        <w:t xml:space="preserve">Key activities:</w:t>
      </w:r>
    </w:p>
    <w:p>
      <w:pPr>
        <w:numPr>
          <w:ilvl w:val="0"/>
          <w:numId w:val="1027"/>
        </w:numPr>
      </w:pPr>
      <w:r>
        <w:t xml:space="preserve">Synthesis of findings into policy recommendations (EU CAP, CRCF, Nature Credits, bioeconomy strategy)</w:t>
      </w:r>
    </w:p>
    <w:p>
      <w:pPr>
        <w:numPr>
          <w:ilvl w:val="0"/>
          <w:numId w:val="1027"/>
        </w:numPr>
      </w:pPr>
      <w:r>
        <w:t xml:space="preserve">Co-design of recommendations with multi-actor panel (farmers, cooperatives, manufacturers, retailers, policymakers)</w:t>
      </w:r>
    </w:p>
    <w:p>
      <w:pPr>
        <w:numPr>
          <w:ilvl w:val="0"/>
          <w:numId w:val="1027"/>
        </w:numPr>
      </w:pPr>
      <w:r>
        <w:t xml:space="preserve">Input to EU EAA framework revision process</w:t>
      </w:r>
    </w:p>
    <w:p>
      <w:pPr>
        <w:numPr>
          <w:ilvl w:val="0"/>
          <w:numId w:val="1027"/>
        </w:numPr>
      </w:pPr>
      <w:r>
        <w:t xml:space="preserve">Input to CRCF Delegated Acts (2026)</w:t>
      </w:r>
    </w:p>
    <w:p>
      <w:pPr>
        <w:numPr>
          <w:ilvl w:val="0"/>
          <w:numId w:val="1027"/>
        </w:numPr>
      </w:pPr>
      <w:r>
        <w:t xml:space="preserve">National policy recommendations (Spain, France, Italy, Senegal, Burkina Faso)</w:t>
      </w:r>
    </w:p>
    <w:p>
      <w:pPr>
        <w:numPr>
          <w:ilvl w:val="0"/>
          <w:numId w:val="1027"/>
        </w:numPr>
      </w:pPr>
      <w:r>
        <w:t xml:space="preserve">Regional policy recommendations for GGW countries</w:t>
      </w:r>
    </w:p>
    <w:p>
      <w:pPr>
        <w:numPr>
          <w:ilvl w:val="0"/>
          <w:numId w:val="1027"/>
        </w:numPr>
      </w:pPr>
      <w:r>
        <w:t xml:space="preserve">Publications, policy briefs, and stakeholder workshops</w:t>
      </w:r>
    </w:p>
    <w:p>
      <w:pPr>
        <w:pStyle w:val="FirstParagraph"/>
      </w:pPr>
      <w:r>
        <w:rPr>
          <w:b/>
          <w:bCs/>
        </w:rPr>
        <w:t xml:space="preserve">Deliverables:</w:t>
      </w:r>
    </w:p>
    <w:p>
      <w:pPr>
        <w:numPr>
          <w:ilvl w:val="0"/>
          <w:numId w:val="1028"/>
        </w:numPr>
      </w:pPr>
      <w:r>
        <w:t xml:space="preserve">D5.1: EU Policy Recommendations Report (M48)</w:t>
      </w:r>
    </w:p>
    <w:p>
      <w:pPr>
        <w:numPr>
          <w:ilvl w:val="0"/>
          <w:numId w:val="1028"/>
        </w:numPr>
      </w:pPr>
      <w:r>
        <w:t xml:space="preserve">D5.2: National-Level Policy Briefs (x5) (M48)</w:t>
      </w:r>
    </w:p>
    <w:p>
      <w:pPr>
        <w:numPr>
          <w:ilvl w:val="0"/>
          <w:numId w:val="1028"/>
        </w:numPr>
      </w:pPr>
      <w:r>
        <w:t xml:space="preserve">D5.3: Farmer and Cooperative Guidance Toolkit (M42)</w:t>
      </w:r>
    </w:p>
    <w:p>
      <w:pPr>
        <w:numPr>
          <w:ilvl w:val="0"/>
          <w:numId w:val="1028"/>
        </w:numPr>
      </w:pPr>
      <w:r>
        <w:t xml:space="preserve">D5.4: CRCF Methodology Input Document (M30)</w:t>
      </w:r>
    </w:p>
    <w:p>
      <w:r>
        <w:pict>
          <v:rect style="width:0;height:1.5pt" o:hralign="center" o:hrstd="t" o:hr="t"/>
        </w:pict>
      </w:r>
    </w:p>
    <w:bookmarkEnd w:id="53"/>
    <w:bookmarkStart w:id="54" w:name="Xcd1ae1e964c5763a1f5a25790346009fd69d259"/>
    <w:p>
      <w:pPr>
        <w:pStyle w:val="Heading3"/>
      </w:pPr>
      <w:r>
        <w:t xml:space="preserve">WP6 — Digital Platform and Knowledge Tools (M12–M54)</w:t>
      </w:r>
    </w:p>
    <w:p>
      <w:pPr>
        <w:pStyle w:val="FirstParagraph"/>
      </w:pPr>
      <w:r>
        <w:rPr>
          <w:b/>
          <w:bCs/>
        </w:rPr>
        <w:t xml:space="preserve">Lead:</w:t>
      </w:r>
      <w:r>
        <w:t xml:space="preserve"> </w:t>
      </w:r>
      <w:r>
        <w:t xml:space="preserve">Technology partner (TBC)</w:t>
      </w:r>
      <w:r>
        <w:br/>
      </w:r>
      <w:r>
        <w:rPr>
          <w:b/>
          <w:bCs/>
        </w:rPr>
        <w:t xml:space="preserve">Key activities:</w:t>
      </w:r>
    </w:p>
    <w:p>
      <w:pPr>
        <w:numPr>
          <w:ilvl w:val="0"/>
          <w:numId w:val="1029"/>
        </w:numPr>
      </w:pPr>
      <w:r>
        <w:t xml:space="preserve">Development of the True Value Chain digital dashboard (open access)</w:t>
      </w:r>
    </w:p>
    <w:p>
      <w:pPr>
        <w:numPr>
          <w:ilvl w:val="0"/>
          <w:numId w:val="1029"/>
        </w:numPr>
      </w:pPr>
      <w:r>
        <w:t xml:space="preserve">Phase-resolved data visualisation for commodity supply chains</w:t>
      </w:r>
    </w:p>
    <w:p>
      <w:pPr>
        <w:numPr>
          <w:ilvl w:val="0"/>
          <w:numId w:val="1029"/>
        </w:numPr>
      </w:pPr>
      <w:r>
        <w:t xml:space="preserve">Integration with EU agricultural data infrastructures (FAOSTATS, Copernicus, LUCAS)</w:t>
      </w:r>
    </w:p>
    <w:p>
      <w:pPr>
        <w:numPr>
          <w:ilvl w:val="0"/>
          <w:numId w:val="1029"/>
        </w:numPr>
      </w:pPr>
      <w:r>
        <w:t xml:space="preserve">API development for integration into existing agri-food sustainability platforms</w:t>
      </w:r>
    </w:p>
    <w:p>
      <w:pPr>
        <w:numPr>
          <w:ilvl w:val="0"/>
          <w:numId w:val="1029"/>
        </w:numPr>
      </w:pPr>
      <w:r>
        <w:t xml:space="preserve">Training materials for farmer accountants and cooperative managers</w:t>
      </w:r>
    </w:p>
    <w:p>
      <w:pPr>
        <w:pStyle w:val="FirstParagraph"/>
      </w:pPr>
      <w:r>
        <w:rPr>
          <w:b/>
          <w:bCs/>
        </w:rPr>
        <w:t xml:space="preserve">Deliverables:</w:t>
      </w:r>
    </w:p>
    <w:p>
      <w:pPr>
        <w:numPr>
          <w:ilvl w:val="0"/>
          <w:numId w:val="1030"/>
        </w:numPr>
      </w:pPr>
      <w:r>
        <w:t xml:space="preserve">D6.1: TVF Digital Dashboard Beta (M30)</w:t>
      </w:r>
    </w:p>
    <w:p>
      <w:pPr>
        <w:numPr>
          <w:ilvl w:val="0"/>
          <w:numId w:val="1030"/>
        </w:numPr>
      </w:pPr>
      <w:r>
        <w:t xml:space="preserve">D6.2: TVF Digital Dashboard Final Release (M48)</w:t>
      </w:r>
    </w:p>
    <w:p>
      <w:pPr>
        <w:numPr>
          <w:ilvl w:val="0"/>
          <w:numId w:val="1030"/>
        </w:numPr>
      </w:pPr>
      <w:r>
        <w:t xml:space="preserve">D6.3: Data Integration Report — EU Agricultural Infrastructures (M36)</w:t>
      </w:r>
    </w:p>
    <w:p>
      <w:pPr>
        <w:numPr>
          <w:ilvl w:val="0"/>
          <w:numId w:val="1030"/>
        </w:numPr>
      </w:pPr>
      <w:r>
        <w:t xml:space="preserve">D6.4: Training and Capacity Building Materials (M48)</w:t>
      </w:r>
    </w:p>
    <w:p>
      <w:r>
        <w:pict>
          <v:rect style="width:0;height:1.5pt" o:hralign="center" o:hrstd="t" o:hr="t"/>
        </w:pict>
      </w:r>
    </w:p>
    <w:bookmarkEnd w:id="54"/>
    <w:bookmarkStart w:id="55" w:name="Xe75b8546579afbe3443060cdd79ea3ab84f225c"/>
    <w:p>
      <w:pPr>
        <w:pStyle w:val="Heading3"/>
      </w:pPr>
      <w:r>
        <w:t xml:space="preserve">WP7 — Communication, Dissemination and Exploitation (M1–M54)</w:t>
      </w:r>
    </w:p>
    <w:p>
      <w:pPr>
        <w:pStyle w:val="FirstParagraph"/>
      </w:pPr>
      <w:r>
        <w:rPr>
          <w:b/>
          <w:bCs/>
        </w:rPr>
        <w:t xml:space="preserve">Lead:</w:t>
      </w:r>
      <w:r>
        <w:t xml:space="preserve"> </w:t>
      </w:r>
      <w:r>
        <w:t xml:space="preserve">Communications partner or lead coordinator</w:t>
      </w:r>
      <w:r>
        <w:br/>
      </w:r>
      <w:r>
        <w:rPr>
          <w:b/>
          <w:bCs/>
        </w:rPr>
        <w:t xml:space="preserve">Key activities:</w:t>
      </w:r>
    </w:p>
    <w:p>
      <w:pPr>
        <w:numPr>
          <w:ilvl w:val="0"/>
          <w:numId w:val="1031"/>
        </w:numPr>
      </w:pPr>
      <w:r>
        <w:t xml:space="preserve">Project website and social media presence</w:t>
      </w:r>
    </w:p>
    <w:p>
      <w:pPr>
        <w:numPr>
          <w:ilvl w:val="0"/>
          <w:numId w:val="1031"/>
        </w:numPr>
      </w:pPr>
      <w:r>
        <w:t xml:space="preserve">Scientific publications (peer-reviewed, open access)</w:t>
      </w:r>
    </w:p>
    <w:p>
      <w:pPr>
        <w:numPr>
          <w:ilvl w:val="0"/>
          <w:numId w:val="1031"/>
        </w:numPr>
      </w:pPr>
      <w:r>
        <w:t xml:space="preserve">Policy briefs and practitioner reports</w:t>
      </w:r>
    </w:p>
    <w:p>
      <w:pPr>
        <w:numPr>
          <w:ilvl w:val="0"/>
          <w:numId w:val="1031"/>
        </w:numPr>
      </w:pPr>
      <w:r>
        <w:t xml:space="preserve">Participation in Horizon Europe Cluster 6 joint activities and workshops</w:t>
      </w:r>
    </w:p>
    <w:p>
      <w:pPr>
        <w:numPr>
          <w:ilvl w:val="0"/>
          <w:numId w:val="1031"/>
        </w:numPr>
      </w:pPr>
      <w:r>
        <w:t xml:space="preserve">Annual stakeholder conferences (EU + West Africa)</w:t>
      </w:r>
    </w:p>
    <w:p>
      <w:pPr>
        <w:numPr>
          <w:ilvl w:val="0"/>
          <w:numId w:val="1031"/>
        </w:numPr>
      </w:pPr>
      <w:r>
        <w:t xml:space="preserve">End-of-project exploitation plan for post-project sustainability of the TVF platform</w:t>
      </w:r>
    </w:p>
    <w:p>
      <w:pPr>
        <w:pStyle w:val="FirstParagraph"/>
      </w:pPr>
      <w:r>
        <w:rPr>
          <w:b/>
          <w:bCs/>
        </w:rPr>
        <w:t xml:space="preserve">Deliverables:</w:t>
      </w:r>
    </w:p>
    <w:p>
      <w:pPr>
        <w:numPr>
          <w:ilvl w:val="0"/>
          <w:numId w:val="1032"/>
        </w:numPr>
      </w:pPr>
      <w:r>
        <w:t xml:space="preserve">D7.1: Communication and Dissemination Plan (M3)</w:t>
      </w:r>
    </w:p>
    <w:p>
      <w:pPr>
        <w:numPr>
          <w:ilvl w:val="0"/>
          <w:numId w:val="1032"/>
        </w:numPr>
      </w:pPr>
      <w:r>
        <w:t xml:space="preserve">D7.2: Annual Progress Reports (M12, M24, M36, M48)</w:t>
      </w:r>
    </w:p>
    <w:p>
      <w:pPr>
        <w:numPr>
          <w:ilvl w:val="0"/>
          <w:numId w:val="1032"/>
        </w:numPr>
      </w:pPr>
      <w:r>
        <w:t xml:space="preserve">D7.3: Final Synthesis Report and Exploitation Plan (M54)</w:t>
      </w:r>
    </w:p>
    <w:p>
      <w:pPr>
        <w:numPr>
          <w:ilvl w:val="0"/>
          <w:numId w:val="1032"/>
        </w:numPr>
      </w:pPr>
      <w:r>
        <w:t xml:space="preserve">D7.4: Peer-reviewed Publications (minimum 8 over project lifetime)</w:t>
      </w:r>
    </w:p>
    <w:p>
      <w:r>
        <w:pict>
          <v:rect style="width:0;height:1.5pt" o:hralign="center" o:hrstd="t" o:hr="t"/>
        </w:pict>
      </w:r>
    </w:p>
    <w:bookmarkEnd w:id="55"/>
    <w:bookmarkStart w:id="56" w:name="wp8-----project-management-m1--m54"/>
    <w:p>
      <w:pPr>
        <w:pStyle w:val="Heading3"/>
      </w:pPr>
      <w:r>
        <w:t xml:space="preserve">WP8 — Project Management (M1–M54)</w:t>
      </w:r>
    </w:p>
    <w:p>
      <w:pPr>
        <w:pStyle w:val="FirstParagraph"/>
      </w:pPr>
      <w:r>
        <w:rPr>
          <w:b/>
          <w:bCs/>
        </w:rPr>
        <w:t xml:space="preserve">Lead:</w:t>
      </w:r>
      <w:r>
        <w:t xml:space="preserve"> </w:t>
      </w:r>
      <w:r>
        <w:t xml:space="preserve">Coordinating institution</w:t>
      </w:r>
      <w:r>
        <w:br/>
      </w:r>
      <w:r>
        <w:rPr>
          <w:b/>
          <w:bCs/>
        </w:rPr>
        <w:t xml:space="preserve">Key activities:</w:t>
      </w:r>
    </w:p>
    <w:p>
      <w:pPr>
        <w:numPr>
          <w:ilvl w:val="0"/>
          <w:numId w:val="1033"/>
        </w:numPr>
      </w:pPr>
      <w:r>
        <w:t xml:space="preserve">Overall project coordination, reporting, financial management</w:t>
      </w:r>
    </w:p>
    <w:p>
      <w:pPr>
        <w:numPr>
          <w:ilvl w:val="0"/>
          <w:numId w:val="1033"/>
        </w:numPr>
      </w:pPr>
      <w:r>
        <w:t xml:space="preserve">Ethics and data management compliance</w:t>
      </w:r>
    </w:p>
    <w:p>
      <w:pPr>
        <w:numPr>
          <w:ilvl w:val="0"/>
          <w:numId w:val="1033"/>
        </w:numPr>
      </w:pPr>
      <w:r>
        <w:t xml:space="preserve">Internal quality assurance and milestone tracking</w:t>
      </w:r>
    </w:p>
    <w:p>
      <w:pPr>
        <w:numPr>
          <w:ilvl w:val="0"/>
          <w:numId w:val="1033"/>
        </w:numPr>
      </w:pPr>
      <w:r>
        <w:t xml:space="preserve">Liaison with EC Project Officer</w:t>
      </w:r>
    </w:p>
    <w:p>
      <w:pPr>
        <w:numPr>
          <w:ilvl w:val="0"/>
          <w:numId w:val="1033"/>
        </w:numPr>
      </w:pPr>
      <w:r>
        <w:t xml:space="preserve">Coordination with other projects selected under this topic</w:t>
      </w:r>
    </w:p>
    <w:p>
      <w:pPr>
        <w:pStyle w:val="FirstParagraph"/>
      </w:pPr>
      <w:r>
        <w:rPr>
          <w:b/>
          <w:bCs/>
        </w:rPr>
        <w:t xml:space="preserve">Deliverables:</w:t>
      </w:r>
    </w:p>
    <w:p>
      <w:pPr>
        <w:numPr>
          <w:ilvl w:val="0"/>
          <w:numId w:val="1034"/>
        </w:numPr>
      </w:pPr>
      <w:r>
        <w:t xml:space="preserve">D8.1: Data Management Plan (M3)</w:t>
      </w:r>
    </w:p>
    <w:p>
      <w:pPr>
        <w:numPr>
          <w:ilvl w:val="0"/>
          <w:numId w:val="1034"/>
        </w:numPr>
      </w:pPr>
      <w:r>
        <w:t xml:space="preserve">D8.2: Ethics Self-Assessment Report (M3)</w:t>
      </w:r>
    </w:p>
    <w:p>
      <w:pPr>
        <w:numPr>
          <w:ilvl w:val="0"/>
          <w:numId w:val="1034"/>
        </w:numPr>
      </w:pPr>
      <w:r>
        <w:t xml:space="preserve">D8.3: Mid-Term Management Review (M27)</w:t>
      </w:r>
    </w:p>
    <w:p>
      <w:pPr>
        <w:numPr>
          <w:ilvl w:val="0"/>
          <w:numId w:val="1034"/>
        </w:numPr>
      </w:pPr>
      <w:r>
        <w:t xml:space="preserve">D8.4: Final Report (M54)</w:t>
      </w:r>
    </w:p>
    <w:p>
      <w:r>
        <w:pict>
          <v:rect style="width:0;height:1.5pt" o:hralign="center" o:hrstd="t" o:hr="t"/>
        </w:pict>
      </w:r>
    </w:p>
    <w:bookmarkEnd w:id="56"/>
    <w:bookmarkEnd w:id="57"/>
    <w:bookmarkStart w:id="61" w:name="Xc2da1982f51fe1aff16b19387c7441b8ede5b6e"/>
    <w:p>
      <w:pPr>
        <w:pStyle w:val="Heading2"/>
      </w:pPr>
      <w:r>
        <w:t xml:space="preserve">6. Consortium Design</w:t>
      </w:r>
    </w:p>
    <w:bookmarkStart w:id="58" w:name="X0fe216f43768f16dcab8d8506df1ddee009d8db"/>
    <w:p>
      <w:pPr>
        <w:pStyle w:val="Heading3"/>
      </w:pPr>
      <w:r>
        <w:t xml:space="preserve">6.1 Minimum Requirements Compliance</w:t>
      </w:r>
    </w:p>
    <w:p>
      <w:pPr>
        <w:pStyle w:val="FirstParagraph"/>
      </w:pPr>
      <w:r>
        <w:t xml:space="preserve">The consortium must include</w:t>
      </w:r>
      <w:r>
        <w:t xml:space="preserve"> </w:t>
      </w:r>
      <w:r>
        <w:rPr>
          <w:b/>
          <w:bCs/>
        </w:rPr>
        <w:t xml:space="preserve">at least 3 independent legal entities</w:t>
      </w:r>
      <w:r>
        <w:t xml:space="preserve">, each established in a</w:t>
      </w:r>
      <w:r>
        <w:t xml:space="preserve"> </w:t>
      </w:r>
      <w:r>
        <w:rPr>
          <w:b/>
          <w:bCs/>
        </w:rPr>
        <w:t xml:space="preserve">different EU Member State or Associated Country</w:t>
      </w:r>
      <w:r>
        <w:t xml:space="preserve">, with at least one in an</w:t>
      </w:r>
      <w:r>
        <w:t xml:space="preserve"> </w:t>
      </w:r>
      <w:r>
        <w:rPr>
          <w:b/>
          <w:bCs/>
        </w:rPr>
        <w:t xml:space="preserve">EU Member State</w:t>
      </w:r>
      <w:r>
        <w:t xml:space="preserve">. There is no minimum incorporation duration — entities must be legally registered in the Participant Register before the grant agreement is signed, and must demonstrate operational and financial capacity.</w:t>
      </w:r>
    </w:p>
    <w:bookmarkEnd w:id="58"/>
    <w:bookmarkStart w:id="59" w:name="Xcb42c0ffc9632a916121fcf2273abd2e98a02cd"/>
    <w:p>
      <w:pPr>
        <w:pStyle w:val="Heading3"/>
      </w:pPr>
      <w:r>
        <w:t xml:space="preserve">6.2 Proposed Consortium Architecture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Partner Role</w:t>
            </w:r>
          </w:p>
        </w:tc>
        <w:tc>
          <w:tcPr/>
          <w:p>
            <w:pPr>
              <w:pStyle w:val="Compact"/>
            </w:pPr>
            <w:r>
              <w:t xml:space="preserve">Type</w:t>
            </w:r>
          </w:p>
        </w:tc>
        <w:tc>
          <w:tcPr/>
          <w:p>
            <w:pPr>
              <w:pStyle w:val="Compact"/>
            </w:pPr>
            <w:r>
              <w:t xml:space="preserve">Suggested Entity / Field</w:t>
            </w:r>
          </w:p>
        </w:tc>
        <w:tc>
          <w:tcPr/>
          <w:p>
            <w:pPr>
              <w:pStyle w:val="Compact"/>
            </w:pPr>
            <w:r>
              <w:t xml:space="preserve">Country</w:t>
            </w:r>
          </w:p>
        </w:tc>
        <w:tc>
          <w:tcPr/>
          <w:p>
            <w:pPr>
              <w:pStyle w:val="Compact"/>
            </w:pPr>
            <w:r>
              <w:t xml:space="preserve">WP Lead</w:t>
            </w:r>
          </w:p>
        </w:tc>
      </w:tr>
      <w:tr>
        <w:tc>
          <w:tcPr/>
          <w:p>
            <w:pPr>
              <w:pStyle w:val="Compact"/>
            </w:pPr>
            <w:r>
              <w:rPr>
                <w:b/>
                <w:bCs/>
              </w:rPr>
              <w:t xml:space="preserve">Coordinator</w:t>
            </w:r>
          </w:p>
        </w:tc>
        <w:tc>
          <w:tcPr/>
          <w:p>
            <w:pPr>
              <w:pStyle w:val="Compact"/>
            </w:pPr>
            <w:r>
              <w:t xml:space="preserve">Research / Analytics firm</w:t>
            </w:r>
          </w:p>
        </w:tc>
        <w:tc>
          <w:tcPr/>
          <w:p>
            <w:pPr>
              <w:pStyle w:val="Compact"/>
            </w:pPr>
            <w:r>
              <w:t xml:space="preserve">True Value Analytics / TBC</w:t>
            </w:r>
          </w:p>
        </w:tc>
        <w:tc>
          <w:tcPr/>
          <w:p>
            <w:pPr>
              <w:pStyle w:val="Compact"/>
            </w:pPr>
            <w:r>
              <w:t xml:space="preserve">UK or EU MS (to confirm)</w:t>
            </w:r>
          </w:p>
        </w:tc>
        <w:tc>
          <w:tcPr/>
          <w:p>
            <w:pPr>
              <w:pStyle w:val="Compact"/>
            </w:pPr>
            <w:r>
              <w:t xml:space="preserve">WP4, WP8</w:t>
            </w:r>
          </w:p>
        </w:tc>
      </w:tr>
      <w:tr>
        <w:tc>
          <w:tcPr/>
          <w:p>
            <w:pPr>
              <w:pStyle w:val="Compact"/>
            </w:pPr>
            <w:r>
              <w:rPr>
                <w:b/>
                <w:bCs/>
              </w:rPr>
              <w:t xml:space="preserve">Supply Chain Analytics</w:t>
            </w:r>
          </w:p>
        </w:tc>
        <w:tc>
          <w:tcPr/>
          <w:p>
            <w:pPr>
              <w:pStyle w:val="Compact"/>
            </w:pPr>
            <w:r>
              <w:t xml:space="preserve">Private / NGO</w:t>
            </w:r>
          </w:p>
        </w:tc>
        <w:tc>
          <w:tcPr/>
          <w:p>
            <w:pPr>
              <w:pStyle w:val="Compact"/>
            </w:pPr>
            <w:r>
              <w:t xml:space="preserve">Impact Agri (contact: Jon White)</w:t>
            </w:r>
          </w:p>
        </w:tc>
        <w:tc>
          <w:tcPr/>
          <w:p>
            <w:pPr>
              <w:pStyle w:val="Compact"/>
            </w:pPr>
            <w:r>
              <w:t xml:space="preserve">UK / EU Associated</w:t>
            </w:r>
          </w:p>
        </w:tc>
        <w:tc>
          <w:tcPr/>
          <w:p>
            <w:pPr>
              <w:pStyle w:val="Compact"/>
            </w:pPr>
            <w:r>
              <w:t xml:space="preserve">WP2</w:t>
            </w:r>
          </w:p>
        </w:tc>
      </w:tr>
      <w:tr>
        <w:tc>
          <w:tcPr/>
          <w:p>
            <w:pPr>
              <w:pStyle w:val="Compact"/>
            </w:pPr>
            <w:r>
              <w:rPr>
                <w:b/>
                <w:bCs/>
              </w:rPr>
              <w:t xml:space="preserve">West Africa Shea Research</w:t>
            </w:r>
          </w:p>
        </w:tc>
        <w:tc>
          <w:tcPr/>
          <w:p>
            <w:pPr>
              <w:pStyle w:val="Compact"/>
            </w:pPr>
            <w:r>
              <w:t xml:space="preserve">Research Institute</w:t>
            </w:r>
          </w:p>
        </w:tc>
        <w:tc>
          <w:tcPr/>
          <w:p>
            <w:pPr>
              <w:pStyle w:val="Compact"/>
            </w:pPr>
            <w:r>
              <w:t xml:space="preserve">CIFOR-ICRAF affiliate or partner</w:t>
            </w:r>
          </w:p>
        </w:tc>
        <w:tc>
          <w:tcPr/>
          <w:p>
            <w:pPr>
              <w:pStyle w:val="Compact"/>
            </w:pPr>
            <w:r>
              <w:t xml:space="preserve">Senegal / BF (via associated country rule)</w:t>
            </w:r>
          </w:p>
        </w:tc>
        <w:tc>
          <w:tcPr/>
          <w:p>
            <w:pPr>
              <w:pStyle w:val="Compact"/>
            </w:pPr>
            <w:r>
              <w:t xml:space="preserve">WP2</w:t>
            </w:r>
          </w:p>
        </w:tc>
      </w:tr>
      <w:tr>
        <w:tc>
          <w:tcPr/>
          <w:p>
            <w:pPr>
              <w:pStyle w:val="Compact"/>
            </w:pPr>
            <w:r>
              <w:rPr>
                <w:b/>
                <w:bCs/>
              </w:rPr>
              <w:t xml:space="preserve">Spanish Agri-Food</w:t>
            </w:r>
          </w:p>
        </w:tc>
        <w:tc>
          <w:tcPr/>
          <w:p>
            <w:pPr>
              <w:pStyle w:val="Compact"/>
            </w:pPr>
            <w:r>
              <w:t xml:space="preserve">Cooperative Federation or Research Institute</w:t>
            </w:r>
          </w:p>
        </w:tc>
        <w:tc>
          <w:tcPr/>
          <w:p>
            <w:pPr>
              <w:pStyle w:val="Compact"/>
            </w:pPr>
            <w:r>
              <w:t xml:space="preserve">Cooperativas Agro-alimentarias de España or IFAPA</w:t>
            </w:r>
          </w:p>
        </w:tc>
        <w:tc>
          <w:tcPr/>
          <w:p>
            <w:pPr>
              <w:pStyle w:val="Compact"/>
            </w:pPr>
            <w:r>
              <w:t xml:space="preserve">Spain (EU MS)</w:t>
            </w:r>
          </w:p>
        </w:tc>
        <w:tc>
          <w:tcPr/>
          <w:p>
            <w:pPr>
              <w:pStyle w:val="Compact"/>
            </w:pPr>
            <w:r>
              <w:t xml:space="preserve">WP3</w:t>
            </w:r>
          </w:p>
        </w:tc>
      </w:tr>
      <w:tr>
        <w:tc>
          <w:tcPr/>
          <w:p>
            <w:pPr>
              <w:pStyle w:val="Compact"/>
            </w:pPr>
            <w:r>
              <w:rPr>
                <w:b/>
                <w:bCs/>
              </w:rPr>
              <w:t xml:space="preserve">Italian Olive Oil Market</w:t>
            </w:r>
          </w:p>
        </w:tc>
        <w:tc>
          <w:tcPr/>
          <w:p>
            <w:pPr>
              <w:pStyle w:val="Compact"/>
            </w:pPr>
            <w:r>
              <w:t xml:space="preserve">University / Industry Association</w:t>
            </w:r>
          </w:p>
        </w:tc>
        <w:tc>
          <w:tcPr/>
          <w:p>
            <w:pPr>
              <w:pStyle w:val="Compact"/>
            </w:pPr>
            <w:r>
              <w:t xml:space="preserve">Università di Bari or Coldiretti Italia</w:t>
            </w:r>
          </w:p>
        </w:tc>
        <w:tc>
          <w:tcPr/>
          <w:p>
            <w:pPr>
              <w:pStyle w:val="Compact"/>
            </w:pPr>
            <w:r>
              <w:t xml:space="preserve">Italy (EU MS)</w:t>
            </w:r>
          </w:p>
        </w:tc>
        <w:tc>
          <w:tcPr/>
          <w:p>
            <w:pPr>
              <w:pStyle w:val="Compact"/>
            </w:pPr>
            <w:r>
              <w:t xml:space="preserve">WP3</w:t>
            </w:r>
          </w:p>
        </w:tc>
      </w:tr>
      <w:tr>
        <w:tc>
          <w:tcPr/>
          <w:p>
            <w:pPr>
              <w:pStyle w:val="Compact"/>
            </w:pPr>
            <w:r>
              <w:rPr>
                <w:b/>
                <w:bCs/>
              </w:rPr>
              <w:t xml:space="preserve">SSH / Policy</w:t>
            </w:r>
          </w:p>
        </w:tc>
        <w:tc>
          <w:tcPr/>
          <w:p>
            <w:pPr>
              <w:pStyle w:val="Compact"/>
            </w:pPr>
            <w:r>
              <w:t xml:space="preserve">University or Think Tank</w:t>
            </w:r>
          </w:p>
        </w:tc>
        <w:tc>
          <w:tcPr/>
          <w:p>
            <w:pPr>
              <w:pStyle w:val="Compact"/>
            </w:pPr>
            <w:r>
              <w:t xml:space="preserve">TBC — economics, political economy of food</w:t>
            </w:r>
          </w:p>
        </w:tc>
        <w:tc>
          <w:tcPr/>
          <w:p>
            <w:pPr>
              <w:pStyle w:val="Compact"/>
            </w:pPr>
            <w:r>
              <w:t xml:space="preserve">France, Germany or Netherlands (EU MS)</w:t>
            </w:r>
          </w:p>
        </w:tc>
        <w:tc>
          <w:tcPr/>
          <w:p>
            <w:pPr>
              <w:pStyle w:val="Compact"/>
            </w:pPr>
            <w:r>
              <w:t xml:space="preserve">WP5</w:t>
            </w:r>
          </w:p>
        </w:tc>
      </w:tr>
      <w:tr>
        <w:tc>
          <w:tcPr/>
          <w:p>
            <w:pPr>
              <w:pStyle w:val="Compact"/>
            </w:pPr>
            <w:r>
              <w:rPr>
                <w:b/>
                <w:bCs/>
              </w:rPr>
              <w:t xml:space="preserve">Technology / Digitalisation</w:t>
            </w:r>
          </w:p>
        </w:tc>
        <w:tc>
          <w:tcPr/>
          <w:p>
            <w:pPr>
              <w:pStyle w:val="Compact"/>
            </w:pPr>
            <w:r>
              <w:t xml:space="preserve">SME or Research</w:t>
            </w:r>
          </w:p>
        </w:tc>
        <w:tc>
          <w:tcPr/>
          <w:p>
            <w:pPr>
              <w:pStyle w:val="Compact"/>
            </w:pPr>
            <w:r>
              <w:t xml:space="preserve">TBC — agri-data platforms</w:t>
            </w:r>
          </w:p>
        </w:tc>
        <w:tc>
          <w:tcPr/>
          <w:p>
            <w:pPr>
              <w:pStyle w:val="Compact"/>
            </w:pPr>
            <w:r>
              <w:t xml:space="preserve">EU MS</w:t>
            </w:r>
          </w:p>
        </w:tc>
        <w:tc>
          <w:tcPr/>
          <w:p>
            <w:pPr>
              <w:pStyle w:val="Compact"/>
            </w:pPr>
            <w:r>
              <w:t xml:space="preserve">WP6</w:t>
            </w:r>
          </w:p>
        </w:tc>
      </w:tr>
      <w:tr>
        <w:tc>
          <w:tcPr/>
          <w:p>
            <w:pPr>
              <w:pStyle w:val="Compact"/>
            </w:pPr>
            <w:r>
              <w:rPr>
                <w:b/>
                <w:bCs/>
              </w:rPr>
              <w:t xml:space="preserve">Communication</w:t>
            </w:r>
          </w:p>
        </w:tc>
        <w:tc>
          <w:tcPr/>
          <w:p>
            <w:pPr>
              <w:pStyle w:val="Compact"/>
            </w:pPr>
            <w:r>
              <w:t xml:space="preserve">Specialist or embedded</w:t>
            </w:r>
          </w:p>
        </w:tc>
        <w:tc>
          <w:tcPr/>
          <w:p>
            <w:pPr>
              <w:pStyle w:val="Compact"/>
            </w:pPr>
            <w:r>
              <w:t xml:space="preserve">TBC</w:t>
            </w:r>
          </w:p>
        </w:tc>
        <w:tc>
          <w:tcPr/>
          <w:p>
            <w:pPr>
              <w:pStyle w:val="Compact"/>
            </w:pPr>
            <w:r>
              <w:t xml:space="preserve">EU MS</w:t>
            </w:r>
          </w:p>
        </w:tc>
        <w:tc>
          <w:tcPr/>
          <w:p>
            <w:pPr>
              <w:pStyle w:val="Compact"/>
            </w:pPr>
            <w:r>
              <w:t xml:space="preserve">WP7</w:t>
            </w:r>
          </w:p>
        </w:tc>
      </w:tr>
    </w:tbl>
    <w:p>
      <w:pPr>
        <w:pStyle w:val="BlockText"/>
      </w:pPr>
      <w:r>
        <w:rPr>
          <w:b/>
          <w:bCs/>
        </w:rPr>
        <w:t xml:space="preserve">Note on UK participation:</w:t>
      </w:r>
      <w:r>
        <w:t xml:space="preserve"> </w:t>
      </w:r>
      <w:r>
        <w:t xml:space="preserve">Post-Brexit, the UK is an Associated Country for Horizon Europe. UK-based entities (including True Value Analytics and Impact Agri) can participate as full beneficiaries. However, the consortium must ensure at least one partner is in an EU Member State and majority EU composition is advisable for political alignment.</w:t>
      </w:r>
    </w:p>
    <w:bookmarkEnd w:id="59"/>
    <w:bookmarkStart w:id="60" w:name="X473d0f31b0f30b16ebb5895ad2f92da1b66b41e"/>
    <w:p>
      <w:pPr>
        <w:pStyle w:val="Heading3"/>
      </w:pPr>
      <w:r>
        <w:t xml:space="preserve">6.3 Multi-Actor Panel (Advisory and Co-creation)</w:t>
      </w:r>
    </w:p>
    <w:p>
      <w:pPr>
        <w:pStyle w:val="FirstParagraph"/>
      </w:pPr>
      <w:r>
        <w:t xml:space="preserve">In addition to the formal consortium, the project will establish a</w:t>
      </w:r>
      <w:r>
        <w:t xml:space="preserve"> </w:t>
      </w:r>
      <w:r>
        <w:rPr>
          <w:b/>
          <w:bCs/>
        </w:rPr>
        <w:t xml:space="preserve">Multi-Actor Panel (MAP)</w:t>
      </w:r>
      <w:r>
        <w:t xml:space="preserve"> </w:t>
      </w:r>
      <w:r>
        <w:t xml:space="preserve">including:</w:t>
      </w:r>
    </w:p>
    <w:p>
      <w:pPr>
        <w:numPr>
          <w:ilvl w:val="0"/>
          <w:numId w:val="1035"/>
        </w:numPr>
      </w:pPr>
      <w:r>
        <w:t xml:space="preserve">Shea women's cooperatives (Burkina Faso, Senegal)</w:t>
      </w:r>
    </w:p>
    <w:p>
      <w:pPr>
        <w:numPr>
          <w:ilvl w:val="0"/>
          <w:numId w:val="1035"/>
        </w:numPr>
      </w:pPr>
      <w:r>
        <w:t xml:space="preserve">Spanish olive oil cooperative representatives (Cooperativas Agro-alimentarias)</w:t>
      </w:r>
    </w:p>
    <w:p>
      <w:pPr>
        <w:numPr>
          <w:ilvl w:val="0"/>
          <w:numId w:val="1035"/>
        </w:numPr>
      </w:pPr>
      <w:r>
        <w:t xml:space="preserve">EU cosmetics and chocolate manufacturers (Scope 3 data stakeholders)</w:t>
      </w:r>
    </w:p>
    <w:p>
      <w:pPr>
        <w:numPr>
          <w:ilvl w:val="0"/>
          <w:numId w:val="1035"/>
        </w:numPr>
      </w:pPr>
      <w:r>
        <w:t xml:space="preserve">Italian olive oil trade associations</w:t>
      </w:r>
    </w:p>
    <w:p>
      <w:pPr>
        <w:numPr>
          <w:ilvl w:val="0"/>
          <w:numId w:val="1035"/>
        </w:numPr>
      </w:pPr>
      <w:r>
        <w:t xml:space="preserve">Farm accountants and rural advisors</w:t>
      </w:r>
    </w:p>
    <w:p>
      <w:pPr>
        <w:numPr>
          <w:ilvl w:val="0"/>
          <w:numId w:val="1035"/>
        </w:numPr>
      </w:pPr>
      <w:r>
        <w:t xml:space="preserve">EU and national policymakers (DG AGRI, DG ENV, CAP managing authorities)</w:t>
      </w:r>
    </w:p>
    <w:p>
      <w:pPr>
        <w:numPr>
          <w:ilvl w:val="0"/>
          <w:numId w:val="1035"/>
        </w:numPr>
      </w:pPr>
      <w:r>
        <w:t xml:space="preserve">African Union / GGW Agency representatives</w:t>
      </w:r>
    </w:p>
    <w:p>
      <w:pPr>
        <w:numPr>
          <w:ilvl w:val="0"/>
          <w:numId w:val="1035"/>
        </w:numPr>
      </w:pPr>
      <w:r>
        <w:t xml:space="preserve">Carbon and nature credit market operators</w:t>
      </w:r>
    </w:p>
    <w:p>
      <w:pPr>
        <w:pStyle w:val="FirstParagraph"/>
      </w:pPr>
      <w:r>
        <w:t xml:space="preserve">The MAP will co-design research instruments, validate findings, and co-author policy recommendations, fulfilling the call's</w:t>
      </w:r>
      <w:r>
        <w:t xml:space="preserve"> </w:t>
      </w:r>
      <w:r>
        <w:rPr>
          <w:b/>
          <w:bCs/>
        </w:rPr>
        <w:t xml:space="preserve">genuine multi-actor approach</w:t>
      </w:r>
      <w:r>
        <w:t xml:space="preserve"> </w:t>
      </w:r>
      <w:r>
        <w:t xml:space="preserve">requirement.</w:t>
      </w:r>
    </w:p>
    <w:p>
      <w:r>
        <w:pict>
          <v:rect style="width:0;height:1.5pt" o:hralign="center" o:hrstd="t" o:hr="t"/>
        </w:pict>
      </w:r>
    </w:p>
    <w:bookmarkEnd w:id="60"/>
    <w:bookmarkEnd w:id="61"/>
    <w:bookmarkStart w:id="64" w:name="Xd8eb05ab5d390815b4d167ef14f8f2e1a7885a1"/>
    <w:p>
      <w:pPr>
        <w:pStyle w:val="Heading2"/>
      </w:pPr>
      <w:r>
        <w:t xml:space="preserve">7. Expected Outcomes and Impact</w:t>
      </w:r>
    </w:p>
    <w:bookmarkStart w:id="62" w:name="X199da6aa9162818ed5d09a170435a15ff89ba77"/>
    <w:p>
      <w:pPr>
        <w:pStyle w:val="Heading3"/>
      </w:pPr>
      <w:r>
        <w:t xml:space="preserve">7.1 Mapping to Call Expected Outcomes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Call Expected Outcome</w:t>
            </w:r>
          </w:p>
        </w:tc>
        <w:tc>
          <w:tcPr/>
          <w:p>
            <w:pPr>
              <w:pStyle w:val="Compact"/>
            </w:pPr>
            <w:r>
              <w:t xml:space="preserve">Project Contribution</w:t>
            </w:r>
          </w:p>
        </w:tc>
      </w:tr>
      <w:tr>
        <w:tc>
          <w:tcPr/>
          <w:p>
            <w:pPr>
              <w:pStyle w:val="Compact"/>
            </w:pPr>
            <w:r>
              <w:t xml:space="preserve">Decision-makers have improved understanding of bioeconomy and nature market impacts on agricultural sustainability, food security, climate, biodiversity, and land-use conflicts</w:t>
            </w:r>
          </w:p>
        </w:tc>
        <w:tc>
          <w:tcPr/>
          <w:p>
            <w:pPr>
              <w:pStyle w:val="Compact"/>
            </w:pPr>
            <w:r>
              <w:t xml:space="preserve">Phase-resolved quantitative assessments for 3 commodity systems + cross-comparative analysis; specific land-use conflict indices; biomass threshold models</w:t>
            </w:r>
          </w:p>
        </w:tc>
      </w:tr>
      <w:tr>
        <w:tc>
          <w:tcPr/>
          <w:p>
            <w:pPr>
              <w:pStyle w:val="Compact"/>
            </w:pPr>
            <w:r>
              <w:t xml:space="preserve">Society benefits from economic activities aligning bioeconomy, climate and biodiversity objectives while safeguarding food security</w:t>
            </w:r>
          </w:p>
        </w:tc>
        <w:tc>
          <w:tcPr/>
          <w:p>
            <w:pPr>
              <w:pStyle w:val="Compact"/>
            </w:pPr>
            <w:r>
              <w:t xml:space="preserve">Novel business models for shea, olive oil, and diversification commodities that monetise environmental services without compromising food production; tested at scale with cooperatives</w:t>
            </w:r>
          </w:p>
        </w:tc>
      </w:tr>
      <w:tr>
        <w:tc>
          <w:tcPr/>
          <w:p>
            <w:pPr>
              <w:pStyle w:val="Compact"/>
            </w:pPr>
            <w:r>
              <w:t xml:space="preserve">Farmers gain opportunities to diversify production and income and improve environmental performance without compromising food supply</w:t>
            </w:r>
          </w:p>
        </w:tc>
        <w:tc>
          <w:tcPr/>
          <w:p>
            <w:pPr>
              <w:pStyle w:val="Compact"/>
            </w:pPr>
            <w:r>
              <w:t xml:space="preserve">Cooperative income diversification models; carbon and nature credit pathway analysis; fair value chain design tools; women's cooperative capacity tools</w:t>
            </w:r>
          </w:p>
        </w:tc>
      </w:tr>
      <w:tr>
        <w:tc>
          <w:tcPr/>
          <w:p>
            <w:pPr>
              <w:pStyle w:val="Compact"/>
            </w:pPr>
            <w:r>
              <w:t xml:space="preserve">Policymakers better equipped to develop effective, evidence-based agricultural and environmental policies</w:t>
            </w:r>
          </w:p>
        </w:tc>
        <w:tc>
          <w:tcPr/>
          <w:p>
            <w:pPr>
              <w:pStyle w:val="Compact"/>
            </w:pPr>
            <w:r>
              <w:t xml:space="preserve">Policy recommendations addressing CAP, CRCF, Nature Credits, EU Bioeconomy Strategy; input to EAA framework revision; CRCF methodology contribution</w:t>
            </w:r>
          </w:p>
        </w:tc>
      </w:tr>
    </w:tbl>
    <w:bookmarkEnd w:id="62"/>
    <w:bookmarkStart w:id="63" w:name="Xc9da14e07ff343304f2dc44dd7c5577aa1d53a6"/>
    <w:p>
      <w:pPr>
        <w:pStyle w:val="Heading3"/>
      </w:pPr>
      <w:r>
        <w:t xml:space="preserve">7.2 Wider Impacts</w:t>
      </w:r>
    </w:p>
    <w:p>
      <w:pPr>
        <w:pStyle w:val="FirstParagraph"/>
      </w:pPr>
      <w:r>
        <w:rPr>
          <w:b/>
          <w:bCs/>
        </w:rPr>
        <w:t xml:space="preserve">Scientific Impact:</w:t>
      </w:r>
    </w:p>
    <w:p>
      <w:pPr>
        <w:numPr>
          <w:ilvl w:val="0"/>
          <w:numId w:val="1036"/>
        </w:numPr>
      </w:pPr>
      <w:r>
        <w:t xml:space="preserve">First phase-resolved Scope 3 GHG emission factors for the shea supply chain, publishable in leading environmental economics journals</w:t>
      </w:r>
    </w:p>
    <w:p>
      <w:pPr>
        <w:numPr>
          <w:ilvl w:val="0"/>
          <w:numId w:val="1036"/>
        </w:numPr>
      </w:pPr>
      <w:r>
        <w:t xml:space="preserve">Novel integration of N-D-C triadic framework into agricultural natural capital accounting</w:t>
      </w:r>
    </w:p>
    <w:p>
      <w:pPr>
        <w:numPr>
          <w:ilvl w:val="0"/>
          <w:numId w:val="1036"/>
        </w:numPr>
      </w:pPr>
      <w:r>
        <w:t xml:space="preserve">New biomass threshold model methodology applicable across commodity systems</w:t>
      </w:r>
    </w:p>
    <w:p>
      <w:pPr>
        <w:pStyle w:val="FirstParagraph"/>
      </w:pPr>
      <w:r>
        <w:rPr>
          <w:b/>
          <w:bCs/>
        </w:rPr>
        <w:t xml:space="preserve">Economic Impact:</w:t>
      </w:r>
    </w:p>
    <w:p>
      <w:pPr>
        <w:numPr>
          <w:ilvl w:val="0"/>
          <w:numId w:val="1037"/>
        </w:numPr>
      </w:pPr>
      <w:r>
        <w:t xml:space="preserve">Unlocking carbon and nature credit revenue for GGW-region shea cooperatives (estimated 4–6 million women beneficiaries)</w:t>
      </w:r>
    </w:p>
    <w:p>
      <w:pPr>
        <w:numPr>
          <w:ilvl w:val="0"/>
          <w:numId w:val="1037"/>
        </w:numPr>
      </w:pPr>
      <w:r>
        <w:t xml:space="preserve">Cooperative value capture improvement in the Spanish olive oil sector (60–70% of €1.5bn annual production)</w:t>
      </w:r>
    </w:p>
    <w:p>
      <w:pPr>
        <w:numPr>
          <w:ilvl w:val="0"/>
          <w:numId w:val="1037"/>
        </w:numPr>
      </w:pPr>
      <w:r>
        <w:t xml:space="preserve">EUDR compliance tools for Argentine soya/beef supply chain actors</w:t>
      </w:r>
    </w:p>
    <w:p>
      <w:pPr>
        <w:pStyle w:val="FirstParagraph"/>
      </w:pPr>
      <w:r>
        <w:rPr>
          <w:b/>
          <w:bCs/>
        </w:rPr>
        <w:t xml:space="preserve">Policy Impact:</w:t>
      </w:r>
    </w:p>
    <w:p>
      <w:pPr>
        <w:numPr>
          <w:ilvl w:val="0"/>
          <w:numId w:val="1038"/>
        </w:numPr>
      </w:pPr>
      <w:r>
        <w:t xml:space="preserve">Direct input to CRCF Delegated Acts (2026) and Nature Credits certification methodology</w:t>
      </w:r>
    </w:p>
    <w:p>
      <w:pPr>
        <w:numPr>
          <w:ilvl w:val="0"/>
          <w:numId w:val="1038"/>
        </w:numPr>
      </w:pPr>
      <w:r>
        <w:t xml:space="preserve">Recommendations for CAP Strategic Plan revisions (2027 review cycle)</w:t>
      </w:r>
    </w:p>
    <w:p>
      <w:pPr>
        <w:numPr>
          <w:ilvl w:val="0"/>
          <w:numId w:val="1038"/>
        </w:numPr>
      </w:pPr>
      <w:r>
        <w:t xml:space="preserve">GGW financing strategy evidence base</w:t>
      </w:r>
    </w:p>
    <w:p>
      <w:pPr>
        <w:pStyle w:val="FirstParagraph"/>
      </w:pPr>
      <w:r>
        <w:rPr>
          <w:b/>
          <w:bCs/>
        </w:rPr>
        <w:t xml:space="preserve">Environmental Impact:</w:t>
      </w:r>
    </w:p>
    <w:p>
      <w:pPr>
        <w:numPr>
          <w:ilvl w:val="0"/>
          <w:numId w:val="1039"/>
        </w:numPr>
      </w:pPr>
      <w:r>
        <w:t xml:space="preserve">Quantification of carbon and biodiversity benefits of shea parkland agroforestry at GGW scale</w:t>
      </w:r>
    </w:p>
    <w:p>
      <w:pPr>
        <w:numPr>
          <w:ilvl w:val="0"/>
          <w:numId w:val="1039"/>
        </w:numPr>
      </w:pPr>
      <w:r>
        <w:t xml:space="preserve">Water stress and land-use conflict intelligence for Andalusian olive sector</w:t>
      </w:r>
    </w:p>
    <w:p>
      <w:pPr>
        <w:numPr>
          <w:ilvl w:val="0"/>
          <w:numId w:val="1039"/>
        </w:numPr>
      </w:pPr>
      <w:r>
        <w:t xml:space="preserve">Deforestation risk assessment for Argentine soya in EU supply chains</w:t>
      </w:r>
    </w:p>
    <w:p>
      <w:r>
        <w:pict>
          <v:rect style="width:0;height:1.5pt" o:hralign="center" o:hrstd="t" o:hr="t"/>
        </w:pict>
      </w:r>
    </w:p>
    <w:bookmarkEnd w:id="63"/>
    <w:bookmarkEnd w:id="64"/>
    <w:bookmarkStart w:id="67" w:name="Xb757ff8d861ef095ae4012649e28cf181bcd4a0"/>
    <w:p>
      <w:pPr>
        <w:pStyle w:val="Heading2"/>
      </w:pPr>
      <w:r>
        <w:t xml:space="preserve">8. Budget Framework</w:t>
      </w:r>
    </w:p>
    <w:bookmarkStart w:id="65" w:name="Xc5faaae14cd179e885fae4b8864cb973cca6dc6"/>
    <w:p>
      <w:pPr>
        <w:pStyle w:val="Heading3"/>
      </w:pPr>
      <w:r>
        <w:t xml:space="preserve">8.1 Indicative Budget Allocation (€6,000,000 total)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 Package</w:t>
            </w:r>
          </w:p>
        </w:tc>
        <w:tc>
          <w:tcPr/>
          <w:p>
            <w:pPr>
              <w:pStyle w:val="Compact"/>
            </w:pPr>
            <w:r>
              <w:t xml:space="preserve">Indicative Budget</w:t>
            </w:r>
          </w:p>
        </w:tc>
        <w:tc>
          <w:tcPr/>
          <w:p>
            <w:pPr>
              <w:pStyle w:val="Compact"/>
            </w:pPr>
            <w:r>
              <w:t xml:space="preserve">Justification</w:t>
            </w:r>
          </w:p>
        </w:tc>
      </w:tr>
      <w:tr>
        <w:tc>
          <w:tcPr/>
          <w:p>
            <w:pPr>
              <w:pStyle w:val="Compact"/>
            </w:pPr>
            <w:r>
              <w:t xml:space="preserve">WP1 — Framework Development</w:t>
            </w:r>
          </w:p>
        </w:tc>
        <w:tc>
          <w:tcPr/>
          <w:p>
            <w:pPr>
              <w:pStyle w:val="Compact"/>
            </w:pPr>
            <w:r>
              <w:t xml:space="preserve">€600,000</w:t>
            </w:r>
          </w:p>
        </w:tc>
        <w:tc>
          <w:tcPr/>
          <w:p>
            <w:pPr>
              <w:pStyle w:val="Compact"/>
            </w:pPr>
            <w:r>
              <w:t xml:space="preserve">Methodology development, harmonisation workshops, protocol writing</w:t>
            </w:r>
          </w:p>
        </w:tc>
      </w:tr>
      <w:tr>
        <w:tc>
          <w:tcPr/>
          <w:p>
            <w:pPr>
              <w:pStyle w:val="Compact"/>
            </w:pPr>
            <w:r>
              <w:t xml:space="preserve">WP2 — Shea Supply Chain</w:t>
            </w:r>
          </w:p>
        </w:tc>
        <w:tc>
          <w:tcPr/>
          <w:p>
            <w:pPr>
              <w:pStyle w:val="Compact"/>
            </w:pPr>
            <w:r>
              <w:t xml:space="preserve">€1,500,000</w:t>
            </w:r>
          </w:p>
        </w:tc>
        <w:tc>
          <w:tcPr/>
          <w:p>
            <w:pPr>
              <w:pStyle w:val="Compact"/>
            </w:pPr>
            <w:r>
              <w:t xml:space="preserve">Field research (West Africa), data collection, GHG accounting, stakeholder engagement</w:t>
            </w:r>
          </w:p>
        </w:tc>
      </w:tr>
      <w:tr>
        <w:tc>
          <w:tcPr/>
          <w:p>
            <w:pPr>
              <w:pStyle w:val="Compact"/>
            </w:pPr>
            <w:r>
              <w:t xml:space="preserve">WP3 — Olive Oil Supply Chain</w:t>
            </w:r>
          </w:p>
        </w:tc>
        <w:tc>
          <w:tcPr/>
          <w:p>
            <w:pPr>
              <w:pStyle w:val="Compact"/>
            </w:pPr>
            <w:r>
              <w:t xml:space="preserve">€900,000</w:t>
            </w:r>
          </w:p>
        </w:tc>
        <w:tc>
          <w:tcPr/>
          <w:p>
            <w:pPr>
              <w:pStyle w:val="Compact"/>
            </w:pPr>
            <w:r>
              <w:t xml:space="preserve">Spain/Italy field work, cooperative engagement, natural capital accounts</w:t>
            </w:r>
          </w:p>
        </w:tc>
      </w:tr>
      <w:tr>
        <w:tc>
          <w:tcPr/>
          <w:p>
            <w:pPr>
              <w:pStyle w:val="Compact"/>
            </w:pPr>
            <w:r>
              <w:t xml:space="preserve">WP4 — Diversification &amp; Comparative</w:t>
            </w:r>
          </w:p>
        </w:tc>
        <w:tc>
          <w:tcPr/>
          <w:p>
            <w:pPr>
              <w:pStyle w:val="Compact"/>
            </w:pPr>
            <w:r>
              <w:t xml:space="preserve">€700,000</w:t>
            </w:r>
          </w:p>
        </w:tc>
        <w:tc>
          <w:tcPr/>
          <w:p>
            <w:pPr>
              <w:pStyle w:val="Compact"/>
            </w:pPr>
            <w:r>
              <w:t xml:space="preserve">Argentina desk research + targeted fieldwork, comparative modelling</w:t>
            </w:r>
          </w:p>
        </w:tc>
      </w:tr>
      <w:tr>
        <w:tc>
          <w:tcPr/>
          <w:p>
            <w:pPr>
              <w:pStyle w:val="Compact"/>
            </w:pPr>
            <w:r>
              <w:t xml:space="preserve">WP5 — Policy Recommendations</w:t>
            </w:r>
          </w:p>
        </w:tc>
        <w:tc>
          <w:tcPr/>
          <w:p>
            <w:pPr>
              <w:pStyle w:val="Compact"/>
            </w:pPr>
            <w:r>
              <w:t xml:space="preserve">€500,000</w:t>
            </w:r>
          </w:p>
        </w:tc>
        <w:tc>
          <w:tcPr/>
          <w:p>
            <w:pPr>
              <w:pStyle w:val="Compact"/>
            </w:pPr>
            <w:r>
              <w:t xml:space="preserve">SSH research, co-design workshops, policy brief production</w:t>
            </w:r>
          </w:p>
        </w:tc>
      </w:tr>
      <w:tr>
        <w:tc>
          <w:tcPr/>
          <w:p>
            <w:pPr>
              <w:pStyle w:val="Compact"/>
            </w:pPr>
            <w:r>
              <w:t xml:space="preserve">WP6 — Digital Platform</w:t>
            </w:r>
          </w:p>
        </w:tc>
        <w:tc>
          <w:tcPr/>
          <w:p>
            <w:pPr>
              <w:pStyle w:val="Compact"/>
            </w:pPr>
            <w:r>
              <w:t xml:space="preserve">€600,000</w:t>
            </w:r>
          </w:p>
        </w:tc>
        <w:tc>
          <w:tcPr/>
          <w:p>
            <w:pPr>
              <w:pStyle w:val="Compact"/>
            </w:pPr>
            <w:r>
              <w:t xml:space="preserve">Dashboard development, data infrastructure integration, training materials</w:t>
            </w:r>
          </w:p>
        </w:tc>
      </w:tr>
      <w:tr>
        <w:tc>
          <w:tcPr/>
          <w:p>
            <w:pPr>
              <w:pStyle w:val="Compact"/>
            </w:pPr>
            <w:r>
              <w:t xml:space="preserve">WP7 — Communication &amp; Dissemination</w:t>
            </w:r>
          </w:p>
        </w:tc>
        <w:tc>
          <w:tcPr/>
          <w:p>
            <w:pPr>
              <w:pStyle w:val="Compact"/>
            </w:pPr>
            <w:r>
              <w:t xml:space="preserve">€400,000</w:t>
            </w:r>
          </w:p>
        </w:tc>
        <w:tc>
          <w:tcPr/>
          <w:p>
            <w:pPr>
              <w:pStyle w:val="Compact"/>
            </w:pPr>
            <w:r>
              <w:t xml:space="preserve">Publications, conferences, website, stakeholder events</w:t>
            </w:r>
          </w:p>
        </w:tc>
      </w:tr>
      <w:tr>
        <w:tc>
          <w:tcPr/>
          <w:p>
            <w:pPr>
              <w:pStyle w:val="Compact"/>
            </w:pPr>
            <w:r>
              <w:t xml:space="preserve">WP8 — Project Management</w:t>
            </w:r>
          </w:p>
        </w:tc>
        <w:tc>
          <w:tcPr/>
          <w:p>
            <w:pPr>
              <w:pStyle w:val="Compact"/>
            </w:pPr>
            <w:r>
              <w:t xml:space="preserve">€400,000</w:t>
            </w:r>
          </w:p>
        </w:tc>
        <w:tc>
          <w:tcPr/>
          <w:p>
            <w:pPr>
              <w:pStyle w:val="Compact"/>
            </w:pPr>
            <w:r>
              <w:t xml:space="preserve">Coordination, reporting, financial management, EC liaison</w:t>
            </w:r>
          </w:p>
        </w:tc>
      </w:tr>
      <w:tr>
        <w:tc>
          <w:tcPr/>
          <w:p>
            <w:pPr>
              <w:pStyle w:val="Compact"/>
            </w:pPr>
            <w:r>
              <w:rPr>
                <w:b/>
                <w:bCs/>
              </w:rPr>
              <w:t xml:space="preserve">Indirect costs</w:t>
            </w:r>
          </w:p>
        </w:tc>
        <w:tc>
          <w:tcPr/>
          <w:p>
            <w:pPr>
              <w:pStyle w:val="Compact"/>
            </w:pPr>
            <w:r>
              <w:rPr>
                <w:b/>
                <w:bCs/>
              </w:rPr>
              <w:t xml:space="preserve">~€300,000</w:t>
            </w:r>
          </w:p>
        </w:tc>
        <w:tc>
          <w:tcPr/>
          <w:p>
            <w:pPr>
              <w:pStyle w:val="Compact"/>
            </w:pPr>
            <w:r>
              <w:t xml:space="preserve">At flat rate (to be confirmed per entity)</w:t>
            </w:r>
          </w:p>
        </w:tc>
      </w:tr>
      <w:tr>
        <w:tc>
          <w:tcPr/>
          <w:p>
            <w:pPr>
              <w:pStyle w:val="Compact"/>
            </w:pPr>
            <w:r>
              <w:rPr>
                <w:b/>
                <w:bCs/>
              </w:rPr>
              <w:t xml:space="preserve">TOTAL</w:t>
            </w:r>
          </w:p>
        </w:tc>
        <w:tc>
          <w:tcPr/>
          <w:p>
            <w:pPr>
              <w:pStyle w:val="Compact"/>
            </w:pPr>
            <w:r>
              <w:rPr>
                <w:b/>
                <w:bCs/>
              </w:rPr>
              <w:t xml:space="preserve">€6,000,000</w:t>
            </w:r>
          </w:p>
        </w:tc>
        <w:tc>
          <w:tcPr/>
          <w:p>
            <w:pPr>
              <w:pStyle w:val="Compact"/>
            </w:pPr>
          </w:p>
        </w:tc>
      </w:tr>
    </w:tbl>
    <w:p>
      <w:pPr>
        <w:pStyle w:val="BlockText"/>
      </w:pPr>
      <w:r>
        <w:t xml:space="preserve">Horizon Europe RIA funding rate is typically 100% of eligible costs for non-profit entities and 70% for for-profit entities. Final budget allocation subject to partner negotiation and EC guidance.</w:t>
      </w:r>
    </w:p>
    <w:bookmarkEnd w:id="65"/>
    <w:bookmarkStart w:id="66" w:name="Xd4d7e30d9e697f7a0f648725799d9e3caeec9ae"/>
    <w:p>
      <w:pPr>
        <w:pStyle w:val="Heading3"/>
      </w:pPr>
      <w:r>
        <w:t xml:space="preserve">8.2 Budget Notes</w:t>
      </w:r>
    </w:p>
    <w:p>
      <w:pPr>
        <w:numPr>
          <w:ilvl w:val="0"/>
          <w:numId w:val="1040"/>
        </w:numPr>
      </w:pPr>
      <w:r>
        <w:t xml:space="preserve">WP2 Shea budget is intentionally the largest: West Africa fieldwork carries higher logistical costs; full Scope 3 GHG accounting and biodiversity assessment require significant data collection effort</w:t>
      </w:r>
    </w:p>
    <w:p>
      <w:pPr>
        <w:numPr>
          <w:ilvl w:val="0"/>
          <w:numId w:val="1040"/>
        </w:numPr>
      </w:pPr>
      <w:r>
        <w:t xml:space="preserve">Personnel costs will dominate (~65% of total), consistent with European Commission norms for RIA projects</w:t>
      </w:r>
    </w:p>
    <w:p>
      <w:pPr>
        <w:numPr>
          <w:ilvl w:val="0"/>
          <w:numId w:val="1040"/>
        </w:numPr>
      </w:pPr>
      <w:r>
        <w:t xml:space="preserve">Travel and subsistence is estimated at ~8% of total, covering West Africa field missions and EU consortium meetings</w:t>
      </w:r>
    </w:p>
    <w:p>
      <w:pPr>
        <w:numPr>
          <w:ilvl w:val="0"/>
          <w:numId w:val="1040"/>
        </w:numPr>
      </w:pPr>
      <w:r>
        <w:t xml:space="preserve">Subcontracting (to African cooperatives as data collection partners) estimated at ~5% of total</w:t>
      </w:r>
    </w:p>
    <w:p>
      <w:r>
        <w:pict>
          <v:rect style="width:0;height:1.5pt" o:hralign="center" o:hrstd="t" o:hr="t"/>
        </w:pict>
      </w:r>
    </w:p>
    <w:bookmarkEnd w:id="66"/>
    <w:bookmarkEnd w:id="67"/>
    <w:bookmarkStart w:id="68" w:name="X2d9bbab09edc5219c665d042f82f0478f2195a8"/>
    <w:p>
      <w:pPr>
        <w:pStyle w:val="Heading2"/>
      </w:pPr>
      <w:r>
        <w:t xml:space="preserve">9. Policy Alignment</w:t>
      </w:r>
    </w:p>
    <w:p>
      <w:pPr>
        <w:pStyle w:val="FirstParagraph"/>
      </w:pPr>
      <w:r>
        <w:t xml:space="preserve">This proposal is explicitly designed to serve and strengthen the following EU policy frameworks: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Policy Framework</w:t>
            </w:r>
          </w:p>
        </w:tc>
        <w:tc>
          <w:tcPr/>
          <w:p>
            <w:pPr>
              <w:pStyle w:val="Compact"/>
            </w:pPr>
            <w:r>
              <w:t xml:space="preserve">Relevance</w:t>
            </w:r>
          </w:p>
        </w:tc>
      </w:tr>
      <w:tr>
        <w:tc>
          <w:tcPr/>
          <w:p>
            <w:pPr>
              <w:pStyle w:val="Compact"/>
            </w:pPr>
            <w:r>
              <w:rPr>
                <w:b/>
                <w:bCs/>
              </w:rPr>
              <w:t xml:space="preserve">EU Vision for Agriculture and Food</w:t>
            </w:r>
          </w:p>
        </w:tc>
        <w:tc>
          <w:tcPr/>
          <w:p>
            <w:pPr>
              <w:pStyle w:val="Compact"/>
            </w:pPr>
            <w:r>
              <w:t xml:space="preserve">Fair farmer income; resilient supply chains; sustainable food systems</w:t>
            </w:r>
          </w:p>
        </w:tc>
      </w:tr>
      <w:tr>
        <w:tc>
          <w:tcPr/>
          <w:p>
            <w:pPr>
              <w:pStyle w:val="Compact"/>
            </w:pPr>
            <w:r>
              <w:rPr>
                <w:b/>
                <w:bCs/>
              </w:rPr>
              <w:t xml:space="preserve">Common Agricultural Policy (CAP)</w:t>
            </w:r>
          </w:p>
        </w:tc>
        <w:tc>
          <w:tcPr/>
          <w:p>
            <w:pPr>
              <w:pStyle w:val="Compact"/>
            </w:pPr>
            <w:r>
              <w:t xml:space="preserve">Evidence base for CAP Strategic Plans; ecosystem service payment design</w:t>
            </w:r>
          </w:p>
        </w:tc>
      </w:tr>
      <w:tr>
        <w:tc>
          <w:tcPr/>
          <w:p>
            <w:pPr>
              <w:pStyle w:val="Compact"/>
            </w:pPr>
            <w:r>
              <w:rPr>
                <w:b/>
                <w:bCs/>
              </w:rPr>
              <w:t xml:space="preserve">EU Bioeconomy Strategy (revised 2025)</w:t>
            </w:r>
          </w:p>
        </w:tc>
        <w:tc>
          <w:tcPr/>
          <w:p>
            <w:pPr>
              <w:pStyle w:val="Compact"/>
            </w:pPr>
            <w:r>
              <w:t xml:space="preserve">Circular bio-based economy transition; valorisation of agricultural biomass</w:t>
            </w:r>
          </w:p>
        </w:tc>
      </w:tr>
      <w:tr>
        <w:tc>
          <w:tcPr/>
          <w:p>
            <w:pPr>
              <w:pStyle w:val="Compact"/>
            </w:pPr>
            <w:r>
              <w:rPr>
                <w:b/>
                <w:bCs/>
              </w:rPr>
              <w:t xml:space="preserve">Carbon Removals and Carbon Farming Regulation (CRCF) — EU 2025/2358</w:t>
            </w:r>
          </w:p>
        </w:tc>
        <w:tc>
          <w:tcPr/>
          <w:p>
            <w:pPr>
              <w:pStyle w:val="Compact"/>
            </w:pPr>
            <w:r>
              <w:t xml:space="preserve">Methodology input for agricultural carbon removal certification</w:t>
            </w:r>
          </w:p>
        </w:tc>
      </w:tr>
      <w:tr>
        <w:tc>
          <w:tcPr/>
          <w:p>
            <w:pPr>
              <w:pStyle w:val="Compact"/>
            </w:pPr>
            <w:r>
              <w:rPr>
                <w:b/>
                <w:bCs/>
              </w:rPr>
              <w:t xml:space="preserve">Nature Credits Roadmap (2025)</w:t>
            </w:r>
          </w:p>
        </w:tc>
        <w:tc>
          <w:tcPr/>
          <w:p>
            <w:pPr>
              <w:pStyle w:val="Compact"/>
            </w:pPr>
            <w:r>
              <w:t xml:space="preserve">Certification framework for nature credits for agricultural land managers</w:t>
            </w:r>
          </w:p>
        </w:tc>
      </w:tr>
      <w:tr>
        <w:tc>
          <w:tcPr/>
          <w:p>
            <w:pPr>
              <w:pStyle w:val="Compact"/>
            </w:pPr>
            <w:r>
              <w:rPr>
                <w:b/>
                <w:bCs/>
              </w:rPr>
              <w:t xml:space="preserve">European Green Deal</w:t>
            </w:r>
          </w:p>
        </w:tc>
        <w:tc>
          <w:tcPr/>
          <w:p>
            <w:pPr>
              <w:pStyle w:val="Compact"/>
            </w:pPr>
            <w:r>
              <w:t xml:space="preserve">Climate and biodiversity objectives; Green Deal Farm to Fork strategy</w:t>
            </w:r>
          </w:p>
        </w:tc>
      </w:tr>
      <w:tr>
        <w:tc>
          <w:tcPr/>
          <w:p>
            <w:pPr>
              <w:pStyle w:val="Compact"/>
            </w:pPr>
            <w:r>
              <w:rPr>
                <w:b/>
                <w:bCs/>
              </w:rPr>
              <w:t xml:space="preserve">EU Deforestation Regulation (EUDR)</w:t>
            </w:r>
          </w:p>
        </w:tc>
        <w:tc>
          <w:tcPr/>
          <w:p>
            <w:pPr>
              <w:pStyle w:val="Compact"/>
            </w:pPr>
            <w:r>
              <w:t xml:space="preserve">Supply chain transparency tools for Argentine soya/beef, shea</w:t>
            </w:r>
          </w:p>
        </w:tc>
      </w:tr>
      <w:tr>
        <w:tc>
          <w:tcPr/>
          <w:p>
            <w:pPr>
              <w:pStyle w:val="Compact"/>
            </w:pPr>
            <w:r>
              <w:rPr>
                <w:b/>
                <w:bCs/>
              </w:rPr>
              <w:t xml:space="preserve">Corporate Sustainability Reporting Directive (CSRD)</w:t>
            </w:r>
          </w:p>
        </w:tc>
        <w:tc>
          <w:tcPr/>
          <w:p>
            <w:pPr>
              <w:pStyle w:val="Compact"/>
            </w:pPr>
            <w:r>
              <w:t xml:space="preserve">Scope 3 emission factors for EU companies sourcing African and South American commodities</w:t>
            </w:r>
          </w:p>
        </w:tc>
      </w:tr>
      <w:tr>
        <w:tc>
          <w:tcPr/>
          <w:p>
            <w:pPr>
              <w:pStyle w:val="Compact"/>
            </w:pPr>
            <w:r>
              <w:rPr>
                <w:b/>
                <w:bCs/>
              </w:rPr>
              <w:t xml:space="preserve">Economic Accounts for Agriculture (EAA) Framework</w:t>
            </w:r>
          </w:p>
        </w:tc>
        <w:tc>
          <w:tcPr/>
          <w:p>
            <w:pPr>
              <w:pStyle w:val="Compact"/>
            </w:pPr>
            <w:r>
              <w:t xml:space="preserve">Direct alignment: project produces natural capital accounts for integration</w:t>
            </w:r>
          </w:p>
        </w:tc>
      </w:tr>
      <w:tr>
        <w:tc>
          <w:tcPr/>
          <w:p>
            <w:pPr>
              <w:pStyle w:val="Compact"/>
            </w:pPr>
            <w:r>
              <w:rPr>
                <w:b/>
                <w:bCs/>
              </w:rPr>
              <w:t xml:space="preserve">African Union Great Green Wall Initiative</w:t>
            </w:r>
          </w:p>
        </w:tc>
        <w:tc>
          <w:tcPr/>
          <w:p>
            <w:pPr>
              <w:pStyle w:val="Compact"/>
            </w:pPr>
            <w:r>
              <w:t xml:space="preserve">Evidence base for value chain development in GGW corridor countries</w:t>
            </w:r>
          </w:p>
        </w:tc>
      </w:tr>
      <w:tr>
        <w:tc>
          <w:tcPr/>
          <w:p>
            <w:pPr>
              <w:pStyle w:val="Compact"/>
            </w:pPr>
            <w:r>
              <w:rPr>
                <w:b/>
                <w:bCs/>
              </w:rPr>
              <w:t xml:space="preserve">OECD Policy Recommendations for Spain</w:t>
            </w:r>
          </w:p>
        </w:tc>
        <w:tc>
          <w:tcPr/>
          <w:p>
            <w:pPr>
              <w:pStyle w:val="Compact"/>
            </w:pPr>
            <w:r>
              <w:t xml:space="preserve">Specifically addresses cooperative sector reform and natural capital in agri-policy</w:t>
            </w:r>
          </w:p>
        </w:tc>
      </w:tr>
    </w:tbl>
    <w:p>
      <w:r>
        <w:pict>
          <v:rect style="width:0;height:1.5pt" o:hralign="center" o:hrstd="t" o:hr="t"/>
        </w:pict>
      </w:r>
    </w:p>
    <w:bookmarkEnd w:id="68"/>
    <w:bookmarkStart w:id="69" w:name="X784f6bcad0ae6458f80caff933fe9acb634ec02"/>
    <w:p>
      <w:pPr>
        <w:pStyle w:val="Heading2"/>
      </w:pPr>
      <w:r>
        <w:t xml:space="preserve">10. Complementarity with Ongoing Horizon Europe Projects</w:t>
      </w:r>
    </w:p>
    <w:p>
      <w:pPr>
        <w:pStyle w:val="FirstParagraph"/>
      </w:pPr>
      <w:r>
        <w:t xml:space="preserve">As required by the call, this proposal establishes complementarities with ongoing Horizon Europe projects: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Project</w:t>
            </w:r>
          </w:p>
        </w:tc>
        <w:tc>
          <w:tcPr/>
          <w:p>
            <w:pPr>
              <w:pStyle w:val="Compact"/>
            </w:pPr>
            <w:r>
              <w:t xml:space="preserve">Relationship</w:t>
            </w:r>
          </w:p>
        </w:tc>
      </w:tr>
      <w:tr>
        <w:tc>
          <w:tcPr/>
          <w:p>
            <w:pPr>
              <w:pStyle w:val="Compact"/>
            </w:pPr>
            <w:r>
              <w:rPr>
                <w:b/>
                <w:bCs/>
              </w:rPr>
              <w:t xml:space="preserve">ROBIN</w:t>
            </w:r>
            <w:r>
              <w:t xml:space="preserve"> </w:t>
            </w:r>
            <w:r>
              <w:t xml:space="preserve">(Driving Sustainability: Circular Bioeconomy and Governance in Andalusia)</w:t>
            </w:r>
          </w:p>
        </w:tc>
        <w:tc>
          <w:tcPr/>
          <w:p>
            <w:pPr>
              <w:pStyle w:val="Compact"/>
            </w:pPr>
            <w:r>
              <w:t xml:space="preserve">Complementarity on olive sector governance; ROBIN's circular bioeconomy governance findings will inform WP3; potential joint workshop</w:t>
            </w:r>
          </w:p>
        </w:tc>
      </w:tr>
      <w:tr>
        <w:tc>
          <w:tcPr/>
          <w:p>
            <w:pPr>
              <w:pStyle w:val="Compact"/>
            </w:pPr>
            <w:r>
              <w:rPr>
                <w:b/>
                <w:bCs/>
              </w:rPr>
              <w:t xml:space="preserve">SCALE-UP</w:t>
            </w:r>
            <w:r>
              <w:t xml:space="preserve"> </w:t>
            </w:r>
            <w:r>
              <w:t xml:space="preserve">(Sustainable Circular Agri-food Economy)</w:t>
            </w:r>
          </w:p>
        </w:tc>
        <w:tc>
          <w:tcPr/>
          <w:p>
            <w:pPr>
              <w:pStyle w:val="Compact"/>
            </w:pPr>
            <w:r>
              <w:t xml:space="preserve">Biomass ecological nutrient flows methodology — alignment and data sharing</w:t>
            </w:r>
          </w:p>
        </w:tc>
      </w:tr>
      <w:tr>
        <w:tc>
          <w:tcPr/>
          <w:p>
            <w:pPr>
              <w:pStyle w:val="Compact"/>
            </w:pPr>
            <w:r>
              <w:rPr>
                <w:b/>
                <w:bCs/>
              </w:rPr>
              <w:t xml:space="preserve">IMPACT-LCA</w:t>
            </w:r>
            <w:r>
              <w:t xml:space="preserve"> </w:t>
            </w:r>
            <w:r>
              <w:t xml:space="preserve">(EIT Food)</w:t>
            </w:r>
          </w:p>
        </w:tc>
        <w:tc>
          <w:tcPr/>
          <w:p>
            <w:pPr>
              <w:pStyle w:val="Compact"/>
            </w:pPr>
            <w:r>
              <w:t xml:space="preserve">Automated LCA methodology for supply chains — integration pathway for TVF Scope 3 accounting</w:t>
            </w:r>
          </w:p>
        </w:tc>
      </w:tr>
      <w:tr>
        <w:tc>
          <w:tcPr/>
          <w:p>
            <w:pPr>
              <w:pStyle w:val="Compact"/>
            </w:pPr>
            <w:r>
              <w:rPr>
                <w:b/>
                <w:bCs/>
              </w:rPr>
              <w:t xml:space="preserve">Resilient Agri-Food Supply Chains</w:t>
            </w:r>
            <w:r>
              <w:t xml:space="preserve"> </w:t>
            </w:r>
            <w:r>
              <w:t xml:space="preserve">(HORIZON)</w:t>
            </w:r>
          </w:p>
        </w:tc>
        <w:tc>
          <w:tcPr/>
          <w:p>
            <w:pPr>
              <w:pStyle w:val="Compact"/>
            </w:pPr>
            <w:r>
              <w:t xml:space="preserve">Data-driven supply chain resilience — methodological complementarity</w:t>
            </w:r>
          </w:p>
        </w:tc>
      </w:tr>
    </w:tbl>
    <w:p>
      <w:pPr>
        <w:pStyle w:val="BlockText"/>
      </w:pPr>
      <w:r>
        <w:rPr>
          <w:b/>
          <w:bCs/>
        </w:rPr>
        <w:t xml:space="preserve">Dedicated coordination task:</w:t>
      </w:r>
      <w:r>
        <w:t xml:space="preserve"> </w:t>
      </w:r>
      <w:r>
        <w:t xml:space="preserve">WP7 includes a dedicated task and budget allocation for collaboration with other projects selected under HORIZON-CL6-2026-01-CIRCBIO-09, including participation in joint activities, workshops, and common communication and dissemination activities, as required by the call.</w:t>
      </w:r>
    </w:p>
    <w:p>
      <w:r>
        <w:pict>
          <v:rect style="width:0;height:1.5pt" o:hralign="center" o:hrstd="t" o:hr="t"/>
        </w:pict>
      </w:r>
    </w:p>
    <w:bookmarkEnd w:id="69"/>
    <w:bookmarkStart w:id="74" w:name="X944409ca8fa53e9e685035b142da34983e70df5"/>
    <w:p>
      <w:pPr>
        <w:pStyle w:val="Heading2"/>
      </w:pPr>
      <w:r>
        <w:t xml:space="preserve">11. Dissemination and Exploitation Strategy</w:t>
      </w:r>
    </w:p>
    <w:bookmarkStart w:id="70" w:name="scientific-dissemination"/>
    <w:p>
      <w:pPr>
        <w:pStyle w:val="Heading3"/>
      </w:pPr>
      <w:r>
        <w:t xml:space="preserve">Scientific Dissemination</w:t>
      </w:r>
    </w:p>
    <w:p>
      <w:pPr>
        <w:numPr>
          <w:ilvl w:val="0"/>
          <w:numId w:val="1041"/>
        </w:numPr>
      </w:pPr>
      <w:r>
        <w:t xml:space="preserve">Minimum 8 peer-reviewed open-access publications over project lifetime</w:t>
      </w:r>
    </w:p>
    <w:p>
      <w:pPr>
        <w:numPr>
          <w:ilvl w:val="0"/>
          <w:numId w:val="1041"/>
        </w:numPr>
      </w:pPr>
      <w:r>
        <w:t xml:space="preserve">Presentations at leading conferences: EAAE (European Association of Agricultural Economists), ISIE (International Society for Industrial Ecology), EGU (European Geosciences Union)</w:t>
      </w:r>
    </w:p>
    <w:p>
      <w:pPr>
        <w:numPr>
          <w:ilvl w:val="0"/>
          <w:numId w:val="1041"/>
        </w:numPr>
      </w:pPr>
      <w:r>
        <w:t xml:space="preserve">Contributions to IPBES assessment processes and SEEA revision consultations</w:t>
      </w:r>
    </w:p>
    <w:bookmarkEnd w:id="70"/>
    <w:bookmarkStart w:id="71" w:name="policy-dissemination"/>
    <w:p>
      <w:pPr>
        <w:pStyle w:val="Heading3"/>
      </w:pPr>
      <w:r>
        <w:t xml:space="preserve">Policy Dissemination</w:t>
      </w:r>
    </w:p>
    <w:p>
      <w:pPr>
        <w:numPr>
          <w:ilvl w:val="0"/>
          <w:numId w:val="1042"/>
        </w:numPr>
      </w:pPr>
      <w:r>
        <w:t xml:space="preserve">Policy briefs for: DG AGRI, DG ENV, DG CLIMA, Spanish MAPA, French MASA, Italian MASAF</w:t>
      </w:r>
    </w:p>
    <w:p>
      <w:pPr>
        <w:numPr>
          <w:ilvl w:val="0"/>
          <w:numId w:val="1042"/>
        </w:numPr>
      </w:pPr>
      <w:r>
        <w:t xml:space="preserve">GGW Agency and African Union stakeholder briefings</w:t>
      </w:r>
    </w:p>
    <w:p>
      <w:pPr>
        <w:numPr>
          <w:ilvl w:val="0"/>
          <w:numId w:val="1042"/>
        </w:numPr>
      </w:pPr>
      <w:r>
        <w:t xml:space="preserve">OECD bilateral engagement (building on Spain policy recommendations)</w:t>
      </w:r>
    </w:p>
    <w:p>
      <w:pPr>
        <w:numPr>
          <w:ilvl w:val="0"/>
          <w:numId w:val="1042"/>
        </w:numPr>
      </w:pPr>
      <w:r>
        <w:t xml:space="preserve">Input to CRCF Delegated Acts consultation process</w:t>
      </w:r>
    </w:p>
    <w:bookmarkEnd w:id="71"/>
    <w:bookmarkStart w:id="72" w:name="practitioner-and-market-dissemination"/>
    <w:p>
      <w:pPr>
        <w:pStyle w:val="Heading3"/>
      </w:pPr>
      <w:r>
        <w:t xml:space="preserve">Practitioner and Market Dissemination</w:t>
      </w:r>
    </w:p>
    <w:p>
      <w:pPr>
        <w:numPr>
          <w:ilvl w:val="0"/>
          <w:numId w:val="1043"/>
        </w:numPr>
      </w:pPr>
      <w:r>
        <w:t xml:space="preserve">Farmer and cooperative toolkits (translated into Spanish, French, Arabic, Bambara)</w:t>
      </w:r>
    </w:p>
    <w:p>
      <w:pPr>
        <w:numPr>
          <w:ilvl w:val="0"/>
          <w:numId w:val="1043"/>
        </w:numPr>
      </w:pPr>
      <w:r>
        <w:t xml:space="preserve">TVF Digital Dashboard (open access, hosted post-project)</w:t>
      </w:r>
    </w:p>
    <w:p>
      <w:pPr>
        <w:numPr>
          <w:ilvl w:val="0"/>
          <w:numId w:val="1043"/>
        </w:numPr>
      </w:pPr>
      <w:r>
        <w:t xml:space="preserve">Training programme for farm accountants and cooperative managers</w:t>
      </w:r>
    </w:p>
    <w:p>
      <w:pPr>
        <w:numPr>
          <w:ilvl w:val="0"/>
          <w:numId w:val="1043"/>
        </w:numPr>
      </w:pPr>
      <w:r>
        <w:t xml:space="preserve">EU cosmetics and chocolate manufacturer Scope 3 data service</w:t>
      </w:r>
    </w:p>
    <w:bookmarkEnd w:id="72"/>
    <w:bookmarkStart w:id="73" w:name="exploitation-beyond-the-project"/>
    <w:p>
      <w:pPr>
        <w:pStyle w:val="Heading3"/>
      </w:pPr>
      <w:r>
        <w:t xml:space="preserve">Exploitation Beyond the Project</w:t>
      </w:r>
    </w:p>
    <w:p>
      <w:pPr>
        <w:numPr>
          <w:ilvl w:val="0"/>
          <w:numId w:val="1044"/>
        </w:numPr>
      </w:pPr>
      <w:r>
        <w:t xml:space="preserve">The TVF methodology and digital platform are designed for post-project commercial and institutional uptake</w:t>
      </w:r>
    </w:p>
    <w:p>
      <w:pPr>
        <w:numPr>
          <w:ilvl w:val="0"/>
          <w:numId w:val="1044"/>
        </w:numPr>
      </w:pPr>
      <w:r>
        <w:t xml:space="preserve">Potential revenue model: fee-for-service Scope 3 accounting for EU companies (CSRD compliance)</w:t>
      </w:r>
    </w:p>
    <w:p>
      <w:pPr>
        <w:numPr>
          <w:ilvl w:val="0"/>
          <w:numId w:val="1044"/>
        </w:numPr>
      </w:pPr>
      <w:r>
        <w:t xml:space="preserve">Potential institutional uptake: integration into Eurostat EAA data collection infrastructure</w:t>
      </w:r>
    </w:p>
    <w:p>
      <w:r>
        <w:pict>
          <v:rect style="width:0;height:1.5pt" o:hralign="center" o:hrstd="t" o:hr="t"/>
        </w:pict>
      </w:r>
    </w:p>
    <w:bookmarkEnd w:id="73"/>
    <w:bookmarkEnd w:id="74"/>
    <w:bookmarkStart w:id="75" w:name="X2606b47b284c5374d11e972a88f332b88e4a023"/>
    <w:p>
      <w:pPr>
        <w:pStyle w:val="Heading2"/>
      </w:pPr>
      <w:r>
        <w:t xml:space="preserve">12. Multi-Actor Approach Statement</w:t>
      </w:r>
    </w:p>
    <w:p>
      <w:pPr>
        <w:pStyle w:val="FirstParagraph"/>
      </w:pPr>
      <w:r>
        <w:t xml:space="preserve">The call requires proposals to</w:t>
      </w:r>
      <w:r>
        <w:t xml:space="preserve"> </w:t>
      </w:r>
      <w:r>
        <w:rPr>
          <w:b/>
          <w:bCs/>
        </w:rPr>
        <w:t xml:space="preserve">implement the multi-actor approach</w:t>
      </w:r>
      <w:r>
        <w:t xml:space="preserve"> </w:t>
      </w:r>
      <w:r>
        <w:t xml:space="preserve">with a consortium based on a</w:t>
      </w:r>
      <w:r>
        <w:t xml:space="preserve"> </w:t>
      </w:r>
      <w:r>
        <w:rPr>
          <w:b/>
          <w:bCs/>
        </w:rPr>
        <w:t xml:space="preserve">balanced mix of actors</w:t>
      </w:r>
      <w:r>
        <w:t xml:space="preserve"> </w:t>
      </w:r>
      <w:r>
        <w:t xml:space="preserve">including farmers, researchers, farm accountants, and businesses.</w:t>
      </w:r>
    </w:p>
    <w:p>
      <w:pPr>
        <w:pStyle w:val="BodyText"/>
      </w:pPr>
      <w:r>
        <w:t xml:space="preserve">This project fulfils this requirement through two structural mechanisms:</w:t>
      </w:r>
    </w:p>
    <w:p>
      <w:pPr>
        <w:pStyle w:val="BodyText"/>
      </w:pPr>
      <w:r>
        <w:rPr>
          <w:b/>
          <w:bCs/>
        </w:rPr>
        <w:t xml:space="preserve">1. Consortium composition:</w:t>
      </w:r>
      <w:r>
        <w:t xml:space="preserve"> </w:t>
      </w:r>
      <w:r>
        <w:t xml:space="preserve">The consortium includes research institutions, a cooperative federation (farmers and farm accountants), private sector supply chain analytics, technology providers, and communication specialists. Each WP Lead represents a distinct actor type.</w:t>
      </w:r>
    </w:p>
    <w:p>
      <w:pPr>
        <w:pStyle w:val="BodyText"/>
      </w:pPr>
      <w:r>
        <w:rPr>
          <w:b/>
          <w:bCs/>
        </w:rPr>
        <w:t xml:space="preserve">2. Multi-Actor Panel (MAP):</w:t>
      </w:r>
      <w:r>
        <w:t xml:space="preserve"> </w:t>
      </w:r>
      <w:r>
        <w:t xml:space="preserve">A formally constituted advisory and co-creation body with defined roles, meeting schedule, and budget allocation. MAP members include primary producers (shea cooperatives, olive cooperative representatives), farm accountants, EU and African policymakers, and downstream market operators. MAP activities are integrated into WP1 (co-design of framework), WP5 (co-design of policy recommendations), and WP7 (validation of communications).</w:t>
      </w:r>
    </w:p>
    <w:p>
      <w:pPr>
        <w:pStyle w:val="BodyText"/>
      </w:pPr>
      <w:r>
        <w:rPr>
          <w:b/>
          <w:bCs/>
        </w:rPr>
        <w:t xml:space="preserve">Genuine co-creation, not consultation:</w:t>
      </w:r>
      <w:r>
        <w:t xml:space="preserve"> </w:t>
      </w:r>
      <w:r>
        <w:t xml:space="preserve">Following Horizon Europe MAA guidance, the MAP is not a post-hoc consultation mechanism. MAP members will co-design research instruments (WP1), validate data collection approaches (WP2, WP3), co-author policy recommendations (WP5), and participate in dissemination events (WP7). Budget is allocated proportionally to ensure genuine participation.</w:t>
      </w:r>
    </w:p>
    <w:p>
      <w:r>
        <w:pict>
          <v:rect style="width:0;height:1.5pt" o:hralign="center" o:hrstd="t" o:hr="t"/>
        </w:pict>
      </w:r>
    </w:p>
    <w:bookmarkEnd w:id="75"/>
    <w:bookmarkStart w:id="76" w:name="Xa346225cfcd871b7b528835098fd1b374448f63"/>
    <w:p>
      <w:pPr>
        <w:pStyle w:val="Heading2"/>
      </w:pPr>
      <w:r>
        <w:t xml:space="preserve">13. Social Sciences and Humanities Integration</w:t>
      </w:r>
    </w:p>
    <w:p>
      <w:pPr>
        <w:pStyle w:val="FirstParagraph"/>
      </w:pPr>
      <w:r>
        <w:t xml:space="preserve">The call explicitly requires the</w:t>
      </w:r>
      <w:r>
        <w:t xml:space="preserve"> </w:t>
      </w:r>
      <w:r>
        <w:rPr>
          <w:b/>
          <w:bCs/>
        </w:rPr>
        <w:t xml:space="preserve">effective contribution of SSH disciplines</w:t>
      </w:r>
      <w:r>
        <w:t xml:space="preserve">. This project integrates SSH throughout: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SSH Discipline</w:t>
            </w:r>
          </w:p>
        </w:tc>
        <w:tc>
          <w:tcPr/>
          <w:p>
            <w:pPr>
              <w:pStyle w:val="Compact"/>
            </w:pPr>
            <w:r>
              <w:t xml:space="preserve">Integration Point</w:t>
            </w:r>
          </w:p>
        </w:tc>
        <w:tc>
          <w:tcPr/>
          <w:p>
            <w:pPr>
              <w:pStyle w:val="Compact"/>
            </w:pPr>
            <w:r>
              <w:t xml:space="preserve">WP</w:t>
            </w:r>
          </w:p>
        </w:tc>
      </w:tr>
      <w:tr>
        <w:tc>
          <w:tcPr/>
          <w:p>
            <w:pPr>
              <w:pStyle w:val="Compact"/>
            </w:pPr>
            <w:r>
              <w:t xml:space="preserve">Agricultural economics</w:t>
            </w:r>
          </w:p>
        </w:tc>
        <w:tc>
          <w:tcPr/>
          <w:p>
            <w:pPr>
              <w:pStyle w:val="Compact"/>
            </w:pPr>
            <w:r>
              <w:t xml:space="preserve">Value chain income distribution analysis; cooperative economics</w:t>
            </w:r>
          </w:p>
        </w:tc>
        <w:tc>
          <w:tcPr/>
          <w:p>
            <w:pPr>
              <w:pStyle w:val="Compact"/>
            </w:pPr>
            <w:r>
              <w:t xml:space="preserve">WP2, WP3</w:t>
            </w:r>
          </w:p>
        </w:tc>
      </w:tr>
      <w:tr>
        <w:tc>
          <w:tcPr/>
          <w:p>
            <w:pPr>
              <w:pStyle w:val="Compact"/>
            </w:pPr>
            <w:r>
              <w:t xml:space="preserve">Political economy</w:t>
            </w:r>
          </w:p>
        </w:tc>
        <w:tc>
          <w:tcPr/>
          <w:p>
            <w:pPr>
              <w:pStyle w:val="Compact"/>
            </w:pPr>
            <w:r>
              <w:t xml:space="preserve">Land tenure, governance structures, value appropriation asymmetries</w:t>
            </w:r>
          </w:p>
        </w:tc>
        <w:tc>
          <w:tcPr/>
          <w:p>
            <w:pPr>
              <w:pStyle w:val="Compact"/>
            </w:pPr>
            <w:r>
              <w:t xml:space="preserve">WP3, WP4</w:t>
            </w:r>
          </w:p>
        </w:tc>
      </w:tr>
      <w:tr>
        <w:tc>
          <w:tcPr/>
          <w:p>
            <w:pPr>
              <w:pStyle w:val="Compact"/>
            </w:pPr>
            <w:r>
              <w:t xml:space="preserve">Gender studies</w:t>
            </w:r>
          </w:p>
        </w:tc>
        <w:tc>
          <w:tcPr/>
          <w:p>
            <w:pPr>
              <w:pStyle w:val="Compact"/>
            </w:pPr>
            <w:r>
              <w:t xml:space="preserve">Women's cooperative analysis; equity dimensions of shea value chain</w:t>
            </w:r>
          </w:p>
        </w:tc>
        <w:tc>
          <w:tcPr/>
          <w:p>
            <w:pPr>
              <w:pStyle w:val="Compact"/>
            </w:pPr>
            <w:r>
              <w:t xml:space="preserve">WP2</w:t>
            </w:r>
          </w:p>
        </w:tc>
      </w:tr>
      <w:tr>
        <w:tc>
          <w:tcPr/>
          <w:p>
            <w:pPr>
              <w:pStyle w:val="Compact"/>
            </w:pPr>
            <w:r>
              <w:t xml:space="preserve">Development economics</w:t>
            </w:r>
          </w:p>
        </w:tc>
        <w:tc>
          <w:tcPr/>
          <w:p>
            <w:pPr>
              <w:pStyle w:val="Compact"/>
            </w:pPr>
            <w:r>
              <w:t xml:space="preserve">North-South trade dynamics; fair value; GGW livelihood impacts</w:t>
            </w:r>
          </w:p>
        </w:tc>
        <w:tc>
          <w:tcPr/>
          <w:p>
            <w:pPr>
              <w:pStyle w:val="Compact"/>
            </w:pPr>
            <w:r>
              <w:t xml:space="preserve">WP2, WP5</w:t>
            </w:r>
          </w:p>
        </w:tc>
      </w:tr>
      <w:tr>
        <w:tc>
          <w:tcPr/>
          <w:p>
            <w:pPr>
              <w:pStyle w:val="Compact"/>
            </w:pPr>
            <w:r>
              <w:t xml:space="preserve">Environmental sociology</w:t>
            </w:r>
          </w:p>
        </w:tc>
        <w:tc>
          <w:tcPr/>
          <w:p>
            <w:pPr>
              <w:pStyle w:val="Compact"/>
            </w:pPr>
            <w:r>
              <w:t xml:space="preserve">Land-use conflict analysis; community impacts</w:t>
            </w:r>
          </w:p>
        </w:tc>
        <w:tc>
          <w:tcPr/>
          <w:p>
            <w:pPr>
              <w:pStyle w:val="Compact"/>
            </w:pPr>
            <w:r>
              <w:t xml:space="preserve">WP4</w:t>
            </w:r>
          </w:p>
        </w:tc>
      </w:tr>
      <w:tr>
        <w:tc>
          <w:tcPr/>
          <w:p>
            <w:pPr>
              <w:pStyle w:val="Compact"/>
            </w:pPr>
            <w:r>
              <w:t xml:space="preserve">Policy sciences</w:t>
            </w:r>
          </w:p>
        </w:tc>
        <w:tc>
          <w:tcPr/>
          <w:p>
            <w:pPr>
              <w:pStyle w:val="Compact"/>
            </w:pPr>
            <w:r>
              <w:t xml:space="preserve">Evidence-based policy design; CAP, CRCF, Nature Credits</w:t>
            </w:r>
          </w:p>
        </w:tc>
        <w:tc>
          <w:tcPr/>
          <w:p>
            <w:pPr>
              <w:pStyle w:val="Compact"/>
            </w:pPr>
            <w:r>
              <w:t xml:space="preserve">WP5</w:t>
            </w:r>
          </w:p>
        </w:tc>
      </w:tr>
      <w:tr>
        <w:tc>
          <w:tcPr/>
          <w:p>
            <w:pPr>
              <w:pStyle w:val="Compact"/>
            </w:pPr>
            <w:r>
              <w:t xml:space="preserve">Science and Technology Studies</w:t>
            </w:r>
          </w:p>
        </w:tc>
        <w:tc>
          <w:tcPr/>
          <w:p>
            <w:pPr>
              <w:pStyle w:val="Compact"/>
            </w:pPr>
            <w:r>
              <w:t xml:space="preserve">Technology adoption in cooperative sector; digital dashboard acceptance</w:t>
            </w:r>
          </w:p>
        </w:tc>
        <w:tc>
          <w:tcPr/>
          <w:p>
            <w:pPr>
              <w:pStyle w:val="Compact"/>
            </w:pPr>
            <w:r>
              <w:t xml:space="preserve">WP6</w:t>
            </w:r>
          </w:p>
        </w:tc>
      </w:tr>
    </w:tbl>
    <w:p>
      <w:pPr>
        <w:pStyle w:val="BodyText"/>
      </w:pPr>
      <w:r>
        <w:t xml:space="preserve">An SSH co-lead will be designated within WP5 and will have cross-cutting advisory responsibilities across all WPs. SSH integration criteria from the Horizon Europe SSH Integration Toolkit will be applied at proposal stage and reviewed at mid-term.</w:t>
      </w:r>
    </w:p>
    <w:p>
      <w:r>
        <w:pict>
          <v:rect style="width:0;height:1.5pt" o:hralign="center" o:hrstd="t" o:hr="t"/>
        </w:pict>
      </w:r>
    </w:p>
    <w:bookmarkEnd w:id="76"/>
    <w:bookmarkStart w:id="77" w:name="X7b3b14457c4253d01791e3ea545a1ea53d25af5"/>
    <w:p>
      <w:pPr>
        <w:pStyle w:val="Heading2"/>
      </w:pPr>
      <w:r>
        <w:t xml:space="preserve">14. Key Risks and Mitigation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t xml:space="preserve">Data opacity in West African shea supply chain</w:t>
            </w:r>
          </w:p>
        </w:tc>
        <w:tc>
          <w:tcPr/>
          <w:p>
            <w:pPr>
              <w:pStyle w:val="Compact"/>
            </w:pPr>
            <w:r>
              <w:t xml:space="preserve">High</w:t>
            </w:r>
          </w:p>
        </w:tc>
        <w:tc>
          <w:tcPr/>
          <w:p>
            <w:pPr>
              <w:pStyle w:val="Compact"/>
            </w:pPr>
            <w:r>
              <w:t xml:space="preserve">Medium</w:t>
            </w:r>
          </w:p>
        </w:tc>
        <w:tc>
          <w:tcPr/>
          <w:p>
            <w:pPr>
              <w:pStyle w:val="Compact"/>
            </w:pPr>
            <w:r>
              <w:t xml:space="preserve">Phase-explicit transparency classification; OPAQUE marking as finding; field partners with established cooperative relationships</w:t>
            </w:r>
          </w:p>
        </w:tc>
      </w:tr>
      <w:tr>
        <w:tc>
          <w:tcPr/>
          <w:p>
            <w:pPr>
              <w:pStyle w:val="Compact"/>
            </w:pPr>
            <w:r>
              <w:t xml:space="preserve">Partner recruitment / consortium assembly</w:t>
            </w:r>
          </w:p>
        </w:tc>
        <w:tc>
          <w:tcPr/>
          <w:p>
            <w:pPr>
              <w:pStyle w:val="Compact"/>
            </w:pPr>
            <w:r>
              <w:t xml:space="preserve">Medium</w:t>
            </w:r>
          </w:p>
        </w:tc>
        <w:tc>
          <w:tcPr/>
          <w:p>
            <w:pPr>
              <w:pStyle w:val="Compact"/>
            </w:pPr>
            <w:r>
              <w:t xml:space="preserve">High</w:t>
            </w:r>
          </w:p>
        </w:tc>
        <w:tc>
          <w:tcPr/>
          <w:p>
            <w:pPr>
              <w:pStyle w:val="Compact"/>
            </w:pPr>
            <w:r>
              <w:t xml:space="preserve">Early engagement with Impact Agri (Jon White), Cooperativas Agro-alimentarias, IFAPA; fall-back partners identified for each role</w:t>
            </w:r>
          </w:p>
        </w:tc>
      </w:tr>
      <w:tr>
        <w:tc>
          <w:tcPr/>
          <w:p>
            <w:pPr>
              <w:pStyle w:val="Compact"/>
            </w:pPr>
            <w:r>
              <w:t xml:space="preserve">Field access disruption (West Africa security situation)</w:t>
            </w:r>
          </w:p>
        </w:tc>
        <w:tc>
          <w:tcPr/>
          <w:p>
            <w:pPr>
              <w:pStyle w:val="Compact"/>
            </w:pPr>
            <w:r>
              <w:t xml:space="preserve">Medium</w:t>
            </w:r>
          </w:p>
        </w:tc>
        <w:tc>
          <w:tcPr/>
          <w:p>
            <w:pPr>
              <w:pStyle w:val="Compact"/>
            </w:pPr>
            <w:r>
              <w:t xml:space="preserve">High</w:t>
            </w:r>
          </w:p>
        </w:tc>
        <w:tc>
          <w:tcPr/>
          <w:p>
            <w:pPr>
              <w:pStyle w:val="Compact"/>
            </w:pPr>
            <w:r>
              <w:t xml:space="preserve">Remote data collection protocols; local partner-led field activities; BF/SN/GH geographic diversification</w:t>
            </w:r>
          </w:p>
        </w:tc>
      </w:tr>
      <w:tr>
        <w:tc>
          <w:tcPr/>
          <w:p>
            <w:pPr>
              <w:pStyle w:val="Compact"/>
            </w:pPr>
            <w:r>
              <w:t xml:space="preserve">Argentine political/economic instability affecting data access</w:t>
            </w:r>
          </w:p>
        </w:tc>
        <w:tc>
          <w:tcPr/>
          <w:p>
            <w:pPr>
              <w:pStyle w:val="Compact"/>
            </w:pPr>
            <w:r>
              <w:t xml:space="preserve">Low–Medium</w:t>
            </w:r>
          </w:p>
        </w:tc>
        <w:tc>
          <w:tcPr/>
          <w:p>
            <w:pPr>
              <w:pStyle w:val="Compact"/>
            </w:pPr>
            <w:r>
              <w:t xml:space="preserve">Medium</w:t>
            </w:r>
          </w:p>
        </w:tc>
        <w:tc>
          <w:tcPr/>
          <w:p>
            <w:pPr>
              <w:pStyle w:val="Compact"/>
            </w:pPr>
            <w:r>
              <w:t xml:space="preserve">Desk-research primary methodology for Argentina; local research partner engagement</w:t>
            </w:r>
          </w:p>
        </w:tc>
      </w:tr>
      <w:tr>
        <w:tc>
          <w:tcPr/>
          <w:p>
            <w:pPr>
              <w:pStyle w:val="Compact"/>
            </w:pPr>
            <w:r>
              <w:t xml:space="preserve">Scope 3 GHG accounting methodological disagreements</w:t>
            </w:r>
          </w:p>
        </w:tc>
        <w:tc>
          <w:tcPr/>
          <w:p>
            <w:pPr>
              <w:pStyle w:val="Compact"/>
            </w:pPr>
            <w:r>
              <w:t xml:space="preserve">Medium</w:t>
            </w:r>
          </w:p>
        </w:tc>
        <w:tc>
          <w:tcPr/>
          <w:p>
            <w:pPr>
              <w:pStyle w:val="Compact"/>
            </w:pPr>
            <w:r>
              <w:t xml:space="preserve">Medium</w:t>
            </w:r>
          </w:p>
        </w:tc>
        <w:tc>
          <w:tcPr/>
          <w:p>
            <w:pPr>
              <w:pStyle w:val="Compact"/>
            </w:pPr>
            <w:r>
              <w:t xml:space="preserve">Alignment with GHG Protocol Scope 3 standard; peer review of methodology; transparent uncertainty reporting</w:t>
            </w:r>
          </w:p>
        </w:tc>
      </w:tr>
      <w:tr>
        <w:tc>
          <w:tcPr/>
          <w:p>
            <w:pPr>
              <w:pStyle w:val="Compact"/>
            </w:pPr>
            <w:r>
              <w:t xml:space="preserve">Over-complexity / under-delivery</w:t>
            </w:r>
          </w:p>
        </w:tc>
        <w:tc>
          <w:tcPr/>
          <w:p>
            <w:pPr>
              <w:pStyle w:val="Compact"/>
            </w:pPr>
            <w:r>
              <w:t xml:space="preserve">Medium</w:t>
            </w:r>
          </w:p>
        </w:tc>
        <w:tc>
          <w:tcPr/>
          <w:p>
            <w:pPr>
              <w:pStyle w:val="Compact"/>
            </w:pPr>
            <w:r>
              <w:t xml:space="preserve">High</w:t>
            </w:r>
          </w:p>
        </w:tc>
        <w:tc>
          <w:tcPr/>
          <w:p>
            <w:pPr>
              <w:pStyle w:val="Compact"/>
            </w:pPr>
            <w:r>
              <w:t xml:space="preserve">Modular WP design; clear milestone structure; staged deliverable approach; external advisory board</w:t>
            </w:r>
          </w:p>
        </w:tc>
      </w:tr>
      <w:tr>
        <w:tc>
          <w:tcPr/>
          <w:p>
            <w:pPr>
              <w:pStyle w:val="Compact"/>
            </w:pPr>
            <w:r>
              <w:t xml:space="preserve">Post-Brexit UK partner eligibility issues</w:t>
            </w:r>
          </w:p>
        </w:tc>
        <w:tc>
          <w:tcPr/>
          <w:p>
            <w:pPr>
              <w:pStyle w:val="Compact"/>
            </w:pPr>
            <w:r>
              <w:t xml:space="preserve">Low</w:t>
            </w:r>
          </w:p>
        </w:tc>
        <w:tc>
          <w:tcPr/>
          <w:p>
            <w:pPr>
              <w:pStyle w:val="Compact"/>
            </w:pPr>
            <w:r>
              <w:t xml:space="preserve">High</w:t>
            </w:r>
          </w:p>
        </w:tc>
        <w:tc>
          <w:tcPr/>
          <w:p>
            <w:pPr>
              <w:pStyle w:val="Compact"/>
            </w:pPr>
            <w:r>
              <w:t xml:space="preserve">Confirm UK Associated Country status at proposal submission; EU MS backup for critical roles</w:t>
            </w:r>
          </w:p>
        </w:tc>
      </w:tr>
    </w:tbl>
    <w:p>
      <w:r>
        <w:pict>
          <v:rect style="width:0;height:1.5pt" o:hralign="center" o:hrstd="t" o:hr="t"/>
        </w:pict>
      </w:r>
    </w:p>
    <w:bookmarkEnd w:id="77"/>
    <w:bookmarkStart w:id="80" w:name="Xd474d15743c5df2f5473eab03709938fdb9f5cc"/>
    <w:p>
      <w:pPr>
        <w:pStyle w:val="Heading2"/>
      </w:pPr>
      <w:r>
        <w:t xml:space="preserve">15. Draft Action Plan and Timeline</w:t>
      </w:r>
    </w:p>
    <w:bookmarkStart w:id="78" w:name="immediate-actions-april--september-2026"/>
    <w:p>
      <w:pPr>
        <w:pStyle w:val="Heading3"/>
      </w:pPr>
      <w:r>
        <w:t xml:space="preserve">Immediate Actions (April–September 2026)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Owner</w:t>
            </w:r>
          </w:p>
        </w:tc>
        <w:tc>
          <w:tcPr/>
          <w:p>
            <w:pPr>
              <w:pStyle w:val="Compact"/>
            </w:pPr>
            <w:r>
              <w:t xml:space="preserve">Deadline</w:t>
            </w:r>
          </w:p>
        </w:tc>
      </w:tr>
      <w:tr>
        <w:tc>
          <w:tcPr/>
          <w:p>
            <w:pPr>
              <w:pStyle w:val="Compact"/>
            </w:pPr>
            <w:r>
              <w:t xml:space="preserve">Begin drafting full proposal</w:t>
            </w:r>
          </w:p>
        </w:tc>
        <w:tc>
          <w:tcPr/>
          <w:p>
            <w:pPr>
              <w:pStyle w:val="Compact"/>
            </w:pPr>
            <w:r>
              <w:t xml:space="preserve">SNJ</w:t>
            </w:r>
          </w:p>
        </w:tc>
        <w:tc>
          <w:tcPr/>
          <w:p>
            <w:pPr>
              <w:pStyle w:val="Compact"/>
            </w:pPr>
            <w:r>
              <w:t xml:space="preserve">April 2026 onwards</w:t>
            </w:r>
          </w:p>
        </w:tc>
      </w:tr>
      <w:tr>
        <w:tc>
          <w:tcPr/>
          <w:p>
            <w:pPr>
              <w:pStyle w:val="Compact"/>
            </w:pPr>
            <w:r>
              <w:t xml:space="preserve">Confirm consortium composition — priority: Spanish partner, Italian partner, SSH/policy partner</w:t>
            </w:r>
          </w:p>
        </w:tc>
        <w:tc>
          <w:tcPr/>
          <w:p>
            <w:pPr>
              <w:pStyle w:val="Compact"/>
            </w:pPr>
            <w:r>
              <w:t xml:space="preserve">SNJ + True Value Analytics</w:t>
            </w:r>
          </w:p>
        </w:tc>
        <w:tc>
          <w:tcPr/>
          <w:p>
            <w:pPr>
              <w:pStyle w:val="Compact"/>
            </w:pPr>
            <w:r>
              <w:t xml:space="preserve">May 2026</w:t>
            </w:r>
          </w:p>
        </w:tc>
      </w:tr>
      <w:tr>
        <w:tc>
          <w:tcPr/>
          <w:p>
            <w:pPr>
              <w:pStyle w:val="Compact"/>
            </w:pPr>
            <w:r>
              <w:t xml:space="preserve">Contact Jon White at Impact Agri — confirm participation and scope</w:t>
            </w:r>
          </w:p>
        </w:tc>
        <w:tc>
          <w:tcPr/>
          <w:p>
            <w:pPr>
              <w:pStyle w:val="Compact"/>
            </w:pPr>
            <w:r>
              <w:t xml:space="preserve">SNJ</w:t>
            </w:r>
          </w:p>
        </w:tc>
        <w:tc>
          <w:tcPr/>
          <w:p>
            <w:pPr>
              <w:pStyle w:val="Compact"/>
            </w:pPr>
            <w:r>
              <w:t xml:space="preserve">April 2026</w:t>
            </w:r>
          </w:p>
        </w:tc>
      </w:tr>
      <w:tr>
        <w:tc>
          <w:tcPr/>
          <w:p>
            <w:pPr>
              <w:pStyle w:val="Compact"/>
            </w:pPr>
            <w:r>
              <w:t xml:space="preserve">Establish UK Participant Register registrations (all UK-based entities)</w:t>
            </w:r>
          </w:p>
        </w:tc>
        <w:tc>
          <w:tcPr/>
          <w:p>
            <w:pPr>
              <w:pStyle w:val="Compact"/>
            </w:pPr>
            <w:r>
              <w:t xml:space="preserve">Legal/admin</w:t>
            </w:r>
          </w:p>
        </w:tc>
        <w:tc>
          <w:tcPr/>
          <w:p>
            <w:pPr>
              <w:pStyle w:val="Compact"/>
            </w:pPr>
            <w:r>
              <w:t xml:space="preserve">May 2026</w:t>
            </w:r>
          </w:p>
        </w:tc>
      </w:tr>
      <w:tr>
        <w:tc>
          <w:tcPr/>
          <w:p>
            <w:pPr>
              <w:pStyle w:val="Compact"/>
            </w:pPr>
            <w:r>
              <w:t xml:space="preserve">Commission letter of intent from Cooperativas Agro-alimentarias de España</w:t>
            </w:r>
          </w:p>
        </w:tc>
        <w:tc>
          <w:tcPr/>
          <w:p>
            <w:pPr>
              <w:pStyle w:val="Compact"/>
            </w:pPr>
            <w:r>
              <w:t xml:space="preserve">Consortium coordinator</w:t>
            </w:r>
          </w:p>
        </w:tc>
        <w:tc>
          <w:tcPr/>
          <w:p>
            <w:pPr>
              <w:pStyle w:val="Compact"/>
            </w:pPr>
            <w:r>
              <w:t xml:space="preserve">June 2026</w:t>
            </w:r>
          </w:p>
        </w:tc>
      </w:tr>
      <w:tr>
        <w:tc>
          <w:tcPr/>
          <w:p>
            <w:pPr>
              <w:pStyle w:val="Compact"/>
            </w:pPr>
            <w:r>
              <w:t xml:space="preserve">Commission letter of intent from West Africa shea partner</w:t>
            </w:r>
          </w:p>
        </w:tc>
        <w:tc>
          <w:tcPr/>
          <w:p>
            <w:pPr>
              <w:pStyle w:val="Compact"/>
            </w:pPr>
            <w:r>
              <w:t xml:space="preserve">Consortium coordinator</w:t>
            </w:r>
          </w:p>
        </w:tc>
        <w:tc>
          <w:tcPr/>
          <w:p>
            <w:pPr>
              <w:pStyle w:val="Compact"/>
            </w:pPr>
            <w:r>
              <w:t xml:space="preserve">June 2026</w:t>
            </w:r>
          </w:p>
        </w:tc>
      </w:tr>
      <w:tr>
        <w:tc>
          <w:tcPr/>
          <w:p>
            <w:pPr>
              <w:pStyle w:val="Compact"/>
            </w:pPr>
            <w:r>
              <w:t xml:space="preserve">Develop detailed work plan and budget breakdown</w:t>
            </w:r>
          </w:p>
        </w:tc>
        <w:tc>
          <w:tcPr/>
          <w:p>
            <w:pPr>
              <w:pStyle w:val="Compact"/>
            </w:pPr>
            <w:r>
              <w:t xml:space="preserve">All partners</w:t>
            </w:r>
          </w:p>
        </w:tc>
        <w:tc>
          <w:tcPr/>
          <w:p>
            <w:pPr>
              <w:pStyle w:val="Compact"/>
            </w:pPr>
            <w:r>
              <w:t xml:space="preserve">July 2026</w:t>
            </w:r>
          </w:p>
        </w:tc>
      </w:tr>
      <w:tr>
        <w:tc>
          <w:tcPr/>
          <w:p>
            <w:pPr>
              <w:pStyle w:val="Compact"/>
            </w:pPr>
            <w:r>
              <w:t xml:space="preserve">Complete Excellence section (methodology)</w:t>
            </w:r>
          </w:p>
        </w:tc>
        <w:tc>
          <w:tcPr/>
          <w:p>
            <w:pPr>
              <w:pStyle w:val="Compact"/>
            </w:pPr>
            <w:r>
              <w:t xml:space="preserve">SNJ + academic partner</w:t>
            </w:r>
          </w:p>
        </w:tc>
        <w:tc>
          <w:tcPr/>
          <w:p>
            <w:pPr>
              <w:pStyle w:val="Compact"/>
            </w:pPr>
            <w:r>
              <w:t xml:space="preserve">July 2026</w:t>
            </w:r>
          </w:p>
        </w:tc>
      </w:tr>
      <w:tr>
        <w:tc>
          <w:tcPr/>
          <w:p>
            <w:pPr>
              <w:pStyle w:val="Compact"/>
            </w:pPr>
            <w:r>
              <w:t xml:space="preserve">Complete Impact section</w:t>
            </w:r>
          </w:p>
        </w:tc>
        <w:tc>
          <w:tcPr/>
          <w:p>
            <w:pPr>
              <w:pStyle w:val="Compact"/>
            </w:pPr>
            <w:r>
              <w:t xml:space="preserve">SNJ</w:t>
            </w:r>
          </w:p>
        </w:tc>
        <w:tc>
          <w:tcPr/>
          <w:p>
            <w:pPr>
              <w:pStyle w:val="Compact"/>
            </w:pPr>
            <w:r>
              <w:t xml:space="preserve">August 2026</w:t>
            </w:r>
          </w:p>
        </w:tc>
      </w:tr>
      <w:tr>
        <w:tc>
          <w:tcPr/>
          <w:p>
            <w:pPr>
              <w:pStyle w:val="Compact"/>
            </w:pPr>
            <w:r>
              <w:t xml:space="preserve">Complete Implementation section (WP descriptions, Gantt, budget tables)</w:t>
            </w:r>
          </w:p>
        </w:tc>
        <w:tc>
          <w:tcPr/>
          <w:p>
            <w:pPr>
              <w:pStyle w:val="Compact"/>
            </w:pPr>
            <w:r>
              <w:t xml:space="preserve">All partners</w:t>
            </w:r>
          </w:p>
        </w:tc>
        <w:tc>
          <w:tcPr/>
          <w:p>
            <w:pPr>
              <w:pStyle w:val="Compact"/>
            </w:pPr>
            <w:r>
              <w:t xml:space="preserve">August 2026</w:t>
            </w:r>
          </w:p>
        </w:tc>
      </w:tr>
      <w:tr>
        <w:tc>
          <w:tcPr/>
          <w:p>
            <w:pPr>
              <w:pStyle w:val="Compact"/>
            </w:pPr>
            <w:r>
              <w:t xml:space="preserve">Internal review and final edit</w:t>
            </w:r>
          </w:p>
        </w:tc>
        <w:tc>
          <w:tcPr/>
          <w:p>
            <w:pPr>
              <w:pStyle w:val="Compact"/>
            </w:pPr>
            <w:r>
              <w:t xml:space="preserve">All partners</w:t>
            </w:r>
          </w:p>
        </w:tc>
        <w:tc>
          <w:tcPr/>
          <w:p>
            <w:pPr>
              <w:pStyle w:val="Compact"/>
            </w:pPr>
            <w:r>
              <w:t xml:space="preserve">September 2026</w:t>
            </w:r>
          </w:p>
        </w:tc>
      </w:tr>
      <w:tr>
        <w:tc>
          <w:tcPr/>
          <w:p>
            <w:pPr>
              <w:pStyle w:val="Compact"/>
            </w:pPr>
            <w:r>
              <w:rPr>
                <w:b/>
                <w:bCs/>
              </w:rPr>
              <w:t xml:space="preserve">SUBMISSION</w:t>
            </w:r>
          </w:p>
        </w:tc>
        <w:tc>
          <w:tcPr/>
          <w:p>
            <w:pPr>
              <w:pStyle w:val="Compact"/>
            </w:pPr>
            <w:r>
              <w:t xml:space="preserve">Coordinator</w:t>
            </w:r>
          </w:p>
        </w:tc>
        <w:tc>
          <w:tcPr/>
          <w:p>
            <w:pPr>
              <w:pStyle w:val="Compact"/>
            </w:pPr>
            <w:r>
              <w:rPr>
                <w:b/>
                <w:bCs/>
              </w:rPr>
              <w:t xml:space="preserve">17 September 2026 17:00 Brussels</w:t>
            </w:r>
          </w:p>
        </w:tc>
      </w:tr>
    </w:tbl>
    <w:bookmarkEnd w:id="78"/>
    <w:bookmarkStart w:id="79" w:name="Xed5488b1d4b9c9e77928cacfa733d1c3ae711d8"/>
    <w:p>
      <w:pPr>
        <w:pStyle w:val="Heading3"/>
      </w:pPr>
      <w:r>
        <w:t xml:space="preserve">Project Timeline (Post-Award, indicative 54-month project)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Months</w:t>
            </w:r>
          </w:p>
        </w:tc>
        <w:tc>
          <w:tcPr/>
          <w:p>
            <w:pPr>
              <w:pStyle w:val="Compact"/>
            </w:pPr>
            <w:r>
              <w:t xml:space="preserve">Focus</w:t>
            </w:r>
          </w:p>
        </w:tc>
      </w:tr>
      <w:tr>
        <w:tc>
          <w:tcPr/>
          <w:p>
            <w:pPr>
              <w:pStyle w:val="Compact"/>
            </w:pPr>
            <w:r>
              <w:t xml:space="preserve">Setup</w:t>
            </w:r>
          </w:p>
        </w:tc>
        <w:tc>
          <w:tcPr/>
          <w:p>
            <w:pPr>
              <w:pStyle w:val="Compact"/>
            </w:pPr>
            <w:r>
              <w:t xml:space="preserve">M1–M6</w:t>
            </w:r>
          </w:p>
        </w:tc>
        <w:tc>
          <w:tcPr/>
          <w:p>
            <w:pPr>
              <w:pStyle w:val="Compact"/>
            </w:pPr>
            <w:r>
              <w:t xml:space="preserve">Consortium kick-off; data management plan; ethics; co-design of instruments</w:t>
            </w:r>
          </w:p>
        </w:tc>
      </w:tr>
      <w:tr>
        <w:tc>
          <w:tcPr/>
          <w:p>
            <w:pPr>
              <w:pStyle w:val="Compact"/>
            </w:pPr>
            <w:r>
              <w:t xml:space="preserve">Phase 1 Research</w:t>
            </w:r>
          </w:p>
        </w:tc>
        <w:tc>
          <w:tcPr/>
          <w:p>
            <w:pPr>
              <w:pStyle w:val="Compact"/>
            </w:pPr>
            <w:r>
              <w:t xml:space="preserve">M6–M24</w:t>
            </w:r>
          </w:p>
        </w:tc>
        <w:tc>
          <w:tcPr/>
          <w:p>
            <w:pPr>
              <w:pStyle w:val="Compact"/>
            </w:pPr>
            <w:r>
              <w:t xml:space="preserve">Framework development; initial commodity mapping; field data collection begins</w:t>
            </w:r>
          </w:p>
        </w:tc>
      </w:tr>
      <w:tr>
        <w:tc>
          <w:tcPr/>
          <w:p>
            <w:pPr>
              <w:pStyle w:val="Compact"/>
            </w:pPr>
            <w:r>
              <w:t xml:space="preserve">Phase 2 Research</w:t>
            </w:r>
          </w:p>
        </w:tc>
        <w:tc>
          <w:tcPr/>
          <w:p>
            <w:pPr>
              <w:pStyle w:val="Compact"/>
            </w:pPr>
            <w:r>
              <w:t xml:space="preserve">M24–M42</w:t>
            </w:r>
          </w:p>
        </w:tc>
        <w:tc>
          <w:tcPr/>
          <w:p>
            <w:pPr>
              <w:pStyle w:val="Compact"/>
            </w:pPr>
            <w:r>
              <w:t xml:space="preserve">Full supply chain data collection; natural capital accounts; threshold models</w:t>
            </w:r>
          </w:p>
        </w:tc>
      </w:tr>
      <w:tr>
        <w:tc>
          <w:tcPr/>
          <w:p>
            <w:pPr>
              <w:pStyle w:val="Compact"/>
            </w:pPr>
            <w:r>
              <w:t xml:space="preserve">Synthesis</w:t>
            </w:r>
          </w:p>
        </w:tc>
        <w:tc>
          <w:tcPr/>
          <w:p>
            <w:pPr>
              <w:pStyle w:val="Compact"/>
            </w:pPr>
            <w:r>
              <w:t xml:space="preserve">M42–M48</w:t>
            </w:r>
          </w:p>
        </w:tc>
        <w:tc>
          <w:tcPr/>
          <w:p>
            <w:pPr>
              <w:pStyle w:val="Compact"/>
            </w:pPr>
            <w:r>
              <w:t xml:space="preserve">Cross-comparative analysis; policy recommendations; dashboard finalisation</w:t>
            </w:r>
          </w:p>
        </w:tc>
      </w:tr>
      <w:tr>
        <w:tc>
          <w:tcPr/>
          <w:p>
            <w:pPr>
              <w:pStyle w:val="Compact"/>
            </w:pPr>
            <w:r>
              <w:t xml:space="preserve">Dissemination</w:t>
            </w:r>
          </w:p>
        </w:tc>
        <w:tc>
          <w:tcPr/>
          <w:p>
            <w:pPr>
              <w:pStyle w:val="Compact"/>
            </w:pPr>
            <w:r>
              <w:t xml:space="preserve">M48–M54</w:t>
            </w:r>
          </w:p>
        </w:tc>
        <w:tc>
          <w:tcPr/>
          <w:p>
            <w:pPr>
              <w:pStyle w:val="Compact"/>
            </w:pPr>
            <w:r>
              <w:t xml:space="preserve">Publications; policy engagement; exploitation; final reporting</w:t>
            </w:r>
          </w:p>
        </w:tc>
      </w:tr>
    </w:tbl>
    <w:p>
      <w:r>
        <w:pict>
          <v:rect style="width:0;height:1.5pt" o:hralign="center" o:hrstd="t" o:hr="t"/>
        </w:pict>
      </w:r>
    </w:p>
    <w:bookmarkEnd w:id="79"/>
    <w:bookmarkEnd w:id="80"/>
    <w:bookmarkStart w:id="88" w:name="Xf76ea67cd29adb8791d5855647e6d6135a55b40"/>
    <w:p>
      <w:pPr>
        <w:pStyle w:val="Heading2"/>
      </w:pPr>
      <w:r>
        <w:t xml:space="preserve">16. Consortium Partner Notes and Contacts</w:t>
      </w:r>
    </w:p>
    <w:bookmarkStart w:id="81" w:name="Xf216f327edd78540ca46a9e9fae1c829178a795"/>
    <w:p>
      <w:pPr>
        <w:pStyle w:val="Heading3"/>
      </w:pPr>
      <w:r>
        <w:t xml:space="preserve">True Value Analytics / Coordinating Entity</w:t>
      </w:r>
    </w:p>
    <w:p>
      <w:pPr>
        <w:numPr>
          <w:ilvl w:val="0"/>
          <w:numId w:val="1045"/>
        </w:numPr>
      </w:pPr>
      <w:r>
        <w:t xml:space="preserve">Role: Project coordination; TVF methodology lead; WP4, WP8</w:t>
      </w:r>
    </w:p>
    <w:p>
      <w:pPr>
        <w:numPr>
          <w:ilvl w:val="0"/>
          <w:numId w:val="1045"/>
        </w:numPr>
      </w:pPr>
      <w:r>
        <w:t xml:space="preserve">Contact: SNJ</w:t>
      </w:r>
    </w:p>
    <w:p>
      <w:pPr>
        <w:numPr>
          <w:ilvl w:val="0"/>
          <w:numId w:val="1045"/>
        </w:numPr>
      </w:pPr>
      <w:r>
        <w:t xml:space="preserve">Status: Lead applicant; confirming legal entity status and Participant Register registration</w:t>
      </w:r>
    </w:p>
    <w:p>
      <w:pPr>
        <w:numPr>
          <w:ilvl w:val="0"/>
          <w:numId w:val="1045"/>
        </w:numPr>
      </w:pPr>
      <w:r>
        <w:t xml:space="preserve">Note: Confirm whether entity is UK-based (Associated Country) or EU Member State registered; adjust consortium composition accordingly</w:t>
      </w:r>
    </w:p>
    <w:bookmarkEnd w:id="81"/>
    <w:bookmarkStart w:id="82" w:name="impact-agri"/>
    <w:p>
      <w:pPr>
        <w:pStyle w:val="Heading3"/>
      </w:pPr>
      <w:r>
        <w:t xml:space="preserve">Impact Agri</w:t>
      </w:r>
    </w:p>
    <w:p>
      <w:pPr>
        <w:numPr>
          <w:ilvl w:val="0"/>
          <w:numId w:val="1046"/>
        </w:numPr>
      </w:pPr>
      <w:r>
        <w:t xml:space="preserve">Contact: Jon White</w:t>
      </w:r>
    </w:p>
    <w:p>
      <w:pPr>
        <w:numPr>
          <w:ilvl w:val="0"/>
          <w:numId w:val="1046"/>
        </w:numPr>
      </w:pPr>
      <w:r>
        <w:t xml:space="preserve">Role: Supply chain analytics; shea/West Africa focus; WP2 support</w:t>
      </w:r>
    </w:p>
    <w:p>
      <w:pPr>
        <w:numPr>
          <w:ilvl w:val="0"/>
          <w:numId w:val="1046"/>
        </w:numPr>
      </w:pPr>
      <w:r>
        <w:t xml:space="preserve">Status: TO BE CONTACTED — April 2026 priority</w:t>
      </w:r>
    </w:p>
    <w:p>
      <w:pPr>
        <w:numPr>
          <w:ilvl w:val="0"/>
          <w:numId w:val="1046"/>
        </w:numPr>
      </w:pPr>
      <w:r>
        <w:t xml:space="preserve">Note: Confirm legal entity registration country; capacity for EU grant management; potential for co-lead on WP2</w:t>
      </w:r>
    </w:p>
    <w:bookmarkEnd w:id="82"/>
    <w:bookmarkStart w:id="83" w:name="spanish-agricultural-partner-tbc"/>
    <w:p>
      <w:pPr>
        <w:pStyle w:val="Heading3"/>
      </w:pPr>
      <w:r>
        <w:t xml:space="preserve">Spanish Agricultural Partner (TBC)</w:t>
      </w:r>
    </w:p>
    <w:p>
      <w:pPr>
        <w:numPr>
          <w:ilvl w:val="0"/>
          <w:numId w:val="1047"/>
        </w:numPr>
      </w:pPr>
      <w:r>
        <w:t xml:space="preserve">Options:</w:t>
      </w:r>
    </w:p>
    <w:p>
      <w:pPr>
        <w:numPr>
          <w:ilvl w:val="1"/>
          <w:numId w:val="1048"/>
        </w:numPr>
      </w:pPr>
      <w:r>
        <w:rPr>
          <w:b/>
          <w:bCs/>
        </w:rPr>
        <w:t xml:space="preserve">Cooperativas Agro-alimentarias de España</w:t>
      </w:r>
      <w:r>
        <w:t xml:space="preserve"> </w:t>
      </w:r>
      <w:r>
        <w:t xml:space="preserve">— national cooperative federation; strong policy credibility; access to olive oil cooperative sector</w:t>
      </w:r>
    </w:p>
    <w:p>
      <w:pPr>
        <w:numPr>
          <w:ilvl w:val="1"/>
          <w:numId w:val="1048"/>
        </w:numPr>
      </w:pPr>
      <w:r>
        <w:rPr>
          <w:b/>
          <w:bCs/>
        </w:rPr>
        <w:t xml:space="preserve">IFAPA (Instituto de Investigación y Formación Agraria y Pesquera)</w:t>
      </w:r>
      <w:r>
        <w:t xml:space="preserve"> </w:t>
      </w:r>
      <w:r>
        <w:t xml:space="preserve">— Andalusia public research agency; strong scientific credibility; existing Horizon Europe track record</w:t>
      </w:r>
    </w:p>
    <w:p>
      <w:pPr>
        <w:numPr>
          <w:ilvl w:val="1"/>
          <w:numId w:val="1048"/>
        </w:numPr>
      </w:pPr>
      <w:r>
        <w:rPr>
          <w:b/>
          <w:bCs/>
        </w:rPr>
        <w:t xml:space="preserve">Universidad de Jaén</w:t>
      </w:r>
      <w:r>
        <w:t xml:space="preserve"> </w:t>
      </w:r>
      <w:r>
        <w:t xml:space="preserve">— leading research centre on olive bioeconomy; circular bioeconomy and SDG publications in sector</w:t>
      </w:r>
    </w:p>
    <w:p>
      <w:pPr>
        <w:numPr>
          <w:ilvl w:val="0"/>
          <w:numId w:val="1047"/>
        </w:numPr>
      </w:pPr>
      <w:r>
        <w:t xml:space="preserve">Recommendation: Cooperativas Agro-alimentarias for multi-actor credentials; IFAPA or UJA for scientific credibility — potentially both</w:t>
      </w:r>
    </w:p>
    <w:p>
      <w:pPr>
        <w:numPr>
          <w:ilvl w:val="0"/>
          <w:numId w:val="1047"/>
        </w:numPr>
      </w:pPr>
      <w:r>
        <w:t xml:space="preserve">Status: TO BE ENGAGED — April–May 2026</w:t>
      </w:r>
    </w:p>
    <w:bookmarkEnd w:id="83"/>
    <w:bookmarkStart w:id="84" w:name="italian-partner-tbc"/>
    <w:p>
      <w:pPr>
        <w:pStyle w:val="Heading3"/>
      </w:pPr>
      <w:r>
        <w:t xml:space="preserve">Italian Partner (TBC)</w:t>
      </w:r>
    </w:p>
    <w:p>
      <w:pPr>
        <w:numPr>
          <w:ilvl w:val="0"/>
          <w:numId w:val="1049"/>
        </w:numPr>
      </w:pPr>
      <w:r>
        <w:t xml:space="preserve">Options:</w:t>
      </w:r>
    </w:p>
    <w:p>
      <w:pPr>
        <w:numPr>
          <w:ilvl w:val="1"/>
          <w:numId w:val="1050"/>
        </w:numPr>
      </w:pPr>
      <w:r>
        <w:rPr>
          <w:b/>
          <w:bCs/>
        </w:rPr>
        <w:t xml:space="preserve">Università degli Studi di Bari Aldo Moro</w:t>
      </w:r>
      <w:r>
        <w:t xml:space="preserve"> </w:t>
      </w:r>
      <w:r>
        <w:t xml:space="preserve">— olive supply chain research; Mediterranean agriculture expertise</w:t>
      </w:r>
    </w:p>
    <w:p>
      <w:pPr>
        <w:numPr>
          <w:ilvl w:val="1"/>
          <w:numId w:val="1050"/>
        </w:numPr>
      </w:pPr>
      <w:r>
        <w:rPr>
          <w:b/>
          <w:bCs/>
        </w:rPr>
        <w:t xml:space="preserve">Coldiretti</w:t>
      </w:r>
      <w:r>
        <w:t xml:space="preserve"> </w:t>
      </w:r>
      <w:r>
        <w:t xml:space="preserve">— largest Italian farmers' association; strong policy voice; covers Italian olive oil import/premium market</w:t>
      </w:r>
    </w:p>
    <w:p>
      <w:pPr>
        <w:numPr>
          <w:ilvl w:val="1"/>
          <w:numId w:val="1050"/>
        </w:numPr>
      </w:pPr>
      <w:r>
        <w:rPr>
          <w:b/>
          <w:bCs/>
        </w:rPr>
        <w:t xml:space="preserve">CREA (Consiglio per la ricerca in agricoltura e l'analisi dell'economia agraria)</w:t>
      </w:r>
      <w:r>
        <w:t xml:space="preserve"> </w:t>
      </w:r>
      <w:r>
        <w:t xml:space="preserve">— Italian national agricultural research agency</w:t>
      </w:r>
    </w:p>
    <w:p>
      <w:pPr>
        <w:numPr>
          <w:ilvl w:val="0"/>
          <w:numId w:val="1049"/>
        </w:numPr>
      </w:pPr>
      <w:r>
        <w:t xml:space="preserve">Recommendation: CREA or Università di Bari for scientific role; Coldiretti for multi-actor panel</w:t>
      </w:r>
    </w:p>
    <w:p>
      <w:pPr>
        <w:numPr>
          <w:ilvl w:val="0"/>
          <w:numId w:val="1049"/>
        </w:numPr>
      </w:pPr>
      <w:r>
        <w:t xml:space="preserve">Status: TO BE ENGAGED — May 2026</w:t>
      </w:r>
    </w:p>
    <w:bookmarkEnd w:id="84"/>
    <w:bookmarkStart w:id="85" w:name="ssh--policy-partner-tbc"/>
    <w:p>
      <w:pPr>
        <w:pStyle w:val="Heading3"/>
      </w:pPr>
      <w:r>
        <w:t xml:space="preserve">SSH / Policy Partner (TBC)</w:t>
      </w:r>
    </w:p>
    <w:p>
      <w:pPr>
        <w:numPr>
          <w:ilvl w:val="0"/>
          <w:numId w:val="1051"/>
        </w:numPr>
      </w:pPr>
      <w:r>
        <w:t xml:space="preserve">Options: WUR (Wageningen University Research), INRAE (France), LEI (Netherlands), Chatham House (UK associated)</w:t>
      </w:r>
    </w:p>
    <w:p>
      <w:pPr>
        <w:numPr>
          <w:ilvl w:val="0"/>
          <w:numId w:val="1051"/>
        </w:numPr>
      </w:pPr>
      <w:r>
        <w:t xml:space="preserve">Requirement: Strong agricultural economics and political economy capability; EU policy engagement track record</w:t>
      </w:r>
    </w:p>
    <w:p>
      <w:pPr>
        <w:numPr>
          <w:ilvl w:val="0"/>
          <w:numId w:val="1051"/>
        </w:numPr>
      </w:pPr>
      <w:r>
        <w:t xml:space="preserve">Status: TO BE IDENTIFIED AND ENGAGED — May 2026</w:t>
      </w:r>
    </w:p>
    <w:bookmarkEnd w:id="85"/>
    <w:bookmarkStart w:id="86" w:name="west-africa-research-partner-tbc"/>
    <w:p>
      <w:pPr>
        <w:pStyle w:val="Heading3"/>
      </w:pPr>
      <w:r>
        <w:t xml:space="preserve">West Africa Research Partner (TBC)</w:t>
      </w:r>
    </w:p>
    <w:p>
      <w:pPr>
        <w:numPr>
          <w:ilvl w:val="0"/>
          <w:numId w:val="1052"/>
        </w:numPr>
      </w:pPr>
      <w:r>
        <w:t xml:space="preserve">Options:</w:t>
      </w:r>
    </w:p>
    <w:p>
      <w:pPr>
        <w:numPr>
          <w:ilvl w:val="1"/>
          <w:numId w:val="1053"/>
        </w:numPr>
      </w:pPr>
      <w:r>
        <w:rPr>
          <w:b/>
          <w:bCs/>
        </w:rPr>
        <w:t xml:space="preserve">Institut Sénégalais de Recherches Agricoles (ISRA)</w:t>
      </w:r>
      <w:r>
        <w:t xml:space="preserve"> </w:t>
      </w:r>
      <w:r>
        <w:t xml:space="preserve">— Senegal national agricultural research</w:t>
      </w:r>
    </w:p>
    <w:p>
      <w:pPr>
        <w:numPr>
          <w:ilvl w:val="1"/>
          <w:numId w:val="1053"/>
        </w:numPr>
      </w:pPr>
      <w:r>
        <w:rPr>
          <w:b/>
          <w:bCs/>
        </w:rPr>
        <w:t xml:space="preserve">CIFOR-ICRAF</w:t>
      </w:r>
      <w:r>
        <w:t xml:space="preserve"> </w:t>
      </w:r>
      <w:r>
        <w:t xml:space="preserve">— existing shea supply chain research in West Africa; GGW-corridor focus</w:t>
      </w:r>
    </w:p>
    <w:p>
      <w:pPr>
        <w:numPr>
          <w:ilvl w:val="1"/>
          <w:numId w:val="1053"/>
        </w:numPr>
      </w:pPr>
      <w:r>
        <w:rPr>
          <w:b/>
          <w:bCs/>
        </w:rPr>
        <w:t xml:space="preserve">Nitidæ</w:t>
      </w:r>
      <w:r>
        <w:t xml:space="preserve"> </w:t>
      </w:r>
      <w:r>
        <w:t xml:space="preserve">(France, West Africa operations) — SHEA GETS GREENER project alumni; operational shea cooperative relationships</w:t>
      </w:r>
    </w:p>
    <w:p>
      <w:pPr>
        <w:numPr>
          <w:ilvl w:val="0"/>
          <w:numId w:val="1052"/>
        </w:numPr>
      </w:pPr>
      <w:r>
        <w:t xml:space="preserve">Recommendation: Nitidæ (or Nitidæ + ISRA combination) for field access and cooperative relationships; CIFOR-ICRAF for scientific credibility</w:t>
      </w:r>
    </w:p>
    <w:p>
      <w:pPr>
        <w:numPr>
          <w:ilvl w:val="0"/>
          <w:numId w:val="1052"/>
        </w:numPr>
      </w:pPr>
      <w:r>
        <w:t xml:space="preserve">Status: TO BE ENGAGED — May–June 2026</w:t>
      </w:r>
    </w:p>
    <w:bookmarkEnd w:id="86"/>
    <w:bookmarkStart w:id="87" w:name="technology-partner-tbc"/>
    <w:p>
      <w:pPr>
        <w:pStyle w:val="Heading3"/>
      </w:pPr>
      <w:r>
        <w:t xml:space="preserve">Technology Partner (TBC)</w:t>
      </w:r>
    </w:p>
    <w:p>
      <w:pPr>
        <w:numPr>
          <w:ilvl w:val="0"/>
          <w:numId w:val="1054"/>
        </w:numPr>
      </w:pPr>
      <w:r>
        <w:t xml:space="preserve">Requirements: Agri-data platform development; EU agricultural data infrastructure integration (Copernicus, LUCAS, Eurostat); open-source dashboard development</w:t>
      </w:r>
    </w:p>
    <w:p>
      <w:pPr>
        <w:numPr>
          <w:ilvl w:val="0"/>
          <w:numId w:val="1054"/>
        </w:numPr>
      </w:pPr>
      <w:r>
        <w:t xml:space="preserve">Options: Wageningen spin-out; EU agri-tech SME from open call; existing EU agri-data platform providers</w:t>
      </w:r>
    </w:p>
    <w:p>
      <w:pPr>
        <w:numPr>
          <w:ilvl w:val="0"/>
          <w:numId w:val="1054"/>
        </w:numPr>
      </w:pPr>
      <w:r>
        <w:t xml:space="preserve">Status: TO BE IDENTIFIED — June 2026</w:t>
      </w:r>
    </w:p>
    <w:p>
      <w:r>
        <w:pict>
          <v:rect style="width:0;height:1.5pt" o:hralign="center" o:hrstd="t" o:hr="t"/>
        </w:pict>
      </w:r>
    </w:p>
    <w:bookmarkEnd w:id="87"/>
    <w:bookmarkEnd w:id="88"/>
    <w:bookmarkStart w:id="96" w:name="X08af24347352d8f130a5080a54383d351d1f49a"/>
    <w:p>
      <w:pPr>
        <w:pStyle w:val="Heading2"/>
      </w:pPr>
      <w:r>
        <w:t xml:space="preserve">17. Annexes and Supporting Material</w:t>
      </w:r>
    </w:p>
    <w:bookmarkStart w:id="89" w:name="X6e378c2b59b4368a0a50973751a040e502b3f46"/>
    <w:p>
      <w:pPr>
        <w:pStyle w:val="Heading3"/>
      </w:pPr>
      <w:r>
        <w:t xml:space="preserve">Annex A — True Value Framework Technical Specification</w:t>
      </w:r>
    </w:p>
    <w:p>
      <w:pPr>
        <w:pStyle w:val="FirstParagraph"/>
      </w:pPr>
      <w:r>
        <w:rPr>
          <w:i/>
          <w:iCs/>
        </w:rPr>
        <w:t xml:space="preserve">(To be attached: TVF methodology documentation, phase resolution protocol, N-D-C analytical framework specification)</w:t>
      </w:r>
    </w:p>
    <w:bookmarkEnd w:id="89"/>
    <w:bookmarkStart w:id="90" w:name="Xc37ddf2e81d1a21a02ea3da8295adb126844957"/>
    <w:p>
      <w:pPr>
        <w:pStyle w:val="Heading3"/>
      </w:pPr>
      <w:r>
        <w:t xml:space="preserve">Annex B — Shea Value Chain Preliminary Data</w:t>
      </w:r>
    </w:p>
    <w:p>
      <w:pPr>
        <w:pStyle w:val="FirstParagraph"/>
      </w:pPr>
      <w:r>
        <w:rPr>
          <w:i/>
          <w:iCs/>
        </w:rPr>
        <w:t xml:space="preserve">(To be attached: existing shea supply chain data, GGW corridor maps, cooperative network data)</w:t>
      </w:r>
    </w:p>
    <w:bookmarkEnd w:id="90"/>
    <w:bookmarkStart w:id="91" w:name="X7333daf48720ac9bda5079fae8aa2a3a19df348"/>
    <w:p>
      <w:pPr>
        <w:pStyle w:val="Heading3"/>
      </w:pPr>
      <w:r>
        <w:t xml:space="preserve">Annex C — Olive Oil Value Chain Preliminary Data</w:t>
      </w:r>
    </w:p>
    <w:p>
      <w:pPr>
        <w:pStyle w:val="FirstParagraph"/>
      </w:pPr>
      <w:r>
        <w:rPr>
          <w:i/>
          <w:iCs/>
        </w:rPr>
        <w:t xml:space="preserve">(To be attached: Spanish olive oil production statistics, cooperative sector data, OECD Spain policy recommendations summary)</w:t>
      </w:r>
    </w:p>
    <w:bookmarkEnd w:id="91"/>
    <w:bookmarkStart w:id="92" w:name="X9f59475276c003a2db911d09822d688a7adde5c"/>
    <w:p>
      <w:pPr>
        <w:pStyle w:val="Heading3"/>
      </w:pPr>
      <w:r>
        <w:t xml:space="preserve">Annex D — CRCF and Nature Credits Regulatory Context</w:t>
      </w:r>
    </w:p>
    <w:p>
      <w:pPr>
        <w:pStyle w:val="FirstParagraph"/>
      </w:pPr>
      <w:r>
        <w:rPr>
          <w:i/>
          <w:iCs/>
        </w:rPr>
        <w:t xml:space="preserve">(To be attached: CRCF Regulation summary; Nature Credits Roadmap key elements; Delegated Acts timeline)</w:t>
      </w:r>
    </w:p>
    <w:bookmarkEnd w:id="92"/>
    <w:bookmarkStart w:id="93" w:name="annex-e-----letters-of-intent"/>
    <w:p>
      <w:pPr>
        <w:pStyle w:val="Heading3"/>
      </w:pPr>
      <w:r>
        <w:t xml:space="preserve">Annex E — Letters of Intent</w:t>
      </w:r>
    </w:p>
    <w:p>
      <w:pPr>
        <w:pStyle w:val="FirstParagraph"/>
      </w:pPr>
      <w:r>
        <w:rPr>
          <w:i/>
          <w:iCs/>
        </w:rPr>
        <w:t xml:space="preserve">(To be attached at proposal submission: letters from all consortium partners and key MAP members)</w:t>
      </w:r>
    </w:p>
    <w:bookmarkEnd w:id="93"/>
    <w:bookmarkStart w:id="94" w:name="annex-f-----cvs-of-key-personnel"/>
    <w:p>
      <w:pPr>
        <w:pStyle w:val="Heading3"/>
      </w:pPr>
      <w:r>
        <w:t xml:space="preserve">Annex F — CVs of Key Personnel</w:t>
      </w:r>
    </w:p>
    <w:p>
      <w:pPr>
        <w:pStyle w:val="FirstParagraph"/>
      </w:pPr>
      <w:r>
        <w:rPr>
          <w:i/>
          <w:iCs/>
        </w:rPr>
        <w:t xml:space="preserve">(To be attached: 2-page CVs for all key researchers and project leads)</w:t>
      </w:r>
    </w:p>
    <w:bookmarkEnd w:id="94"/>
    <w:bookmarkStart w:id="95" w:name="annex-g-----ethics-self-assessment"/>
    <w:p>
      <w:pPr>
        <w:pStyle w:val="Heading3"/>
      </w:pPr>
      <w:r>
        <w:t xml:space="preserve">Annex G — Ethics Self-Assessment</w:t>
      </w:r>
    </w:p>
    <w:p>
      <w:pPr>
        <w:pStyle w:val="FirstParagraph"/>
      </w:pPr>
      <w:r>
        <w:rPr>
          <w:i/>
          <w:iCs/>
        </w:rPr>
        <w:t xml:space="preserve">(To be completed: ethics checklist per EC requirements; data protection; informed consent in fieldwork; research involving vulnerable communities — shea women cooperatives)</w:t>
      </w:r>
    </w:p>
    <w:p>
      <w:r>
        <w:pict>
          <v:rect style="width:0;height:1.5pt" o:hralign="center" o:hrstd="t" o:hr="t"/>
        </w:pict>
      </w:r>
    </w:p>
    <w:bookmarkEnd w:id="95"/>
    <w:bookmarkEnd w:id="96"/>
    <w:bookmarkStart w:id="101" w:name="X12f4c771b6ba5419ec26b8502a0b7bd70fe8052"/>
    <w:p>
      <w:pPr>
        <w:pStyle w:val="Heading2"/>
      </w:pPr>
      <w:r>
        <w:t xml:space="preserve">SUPPORTING CONTEXT: Why This Call Is a Strategic Fit</w:t>
      </w:r>
    </w:p>
    <w:bookmarkStart w:id="97" w:name="X1fe1af292a048c79cf59190ffcdfa00d6fd2ddb"/>
    <w:p>
      <w:pPr>
        <w:pStyle w:val="Heading3"/>
      </w:pPr>
      <w:r>
        <w:t xml:space="preserve">The EU Has Built the Regulatory Framework — Now Needs the Analytical Tools</w:t>
      </w:r>
    </w:p>
    <w:p>
      <w:pPr>
        <w:pStyle w:val="FirstParagraph"/>
      </w:pPr>
      <w:r>
        <w:t xml:space="preserve">In 2025–2026, the EU completed the regulatory architecture for its bioeconomy and nature market vision:</w:t>
      </w:r>
    </w:p>
    <w:p>
      <w:pPr>
        <w:numPr>
          <w:ilvl w:val="0"/>
          <w:numId w:val="1055"/>
        </w:numPr>
      </w:pPr>
      <w:r>
        <w:t xml:space="preserve">The CRCF Regulation was operationalised (November 2025)</w:t>
      </w:r>
    </w:p>
    <w:p>
      <w:pPr>
        <w:numPr>
          <w:ilvl w:val="0"/>
          <w:numId w:val="1055"/>
        </w:numPr>
      </w:pPr>
      <w:r>
        <w:t xml:space="preserve">The Nature Credits Roadmap was published (July 2025)</w:t>
      </w:r>
    </w:p>
    <w:p>
      <w:pPr>
        <w:numPr>
          <w:ilvl w:val="0"/>
          <w:numId w:val="1055"/>
        </w:numPr>
      </w:pPr>
      <w:r>
        <w:t xml:space="preserve">The EU Bioeconomy Strategy was revised</w:t>
      </w:r>
    </w:p>
    <w:p>
      <w:pPr>
        <w:numPr>
          <w:ilvl w:val="0"/>
          <w:numId w:val="1055"/>
        </w:numPr>
      </w:pPr>
      <w:r>
        <w:t xml:space="preserve">CSRD is now driving corporate Scope 3 disclosure obligations</w:t>
      </w:r>
    </w:p>
    <w:p>
      <w:pPr>
        <w:pStyle w:val="FirstParagraph"/>
      </w:pPr>
      <w:r>
        <w:t xml:space="preserve">What the EU lacks is</w:t>
      </w:r>
      <w:r>
        <w:t xml:space="preserve"> </w:t>
      </w:r>
      <w:r>
        <w:rPr>
          <w:b/>
          <w:bCs/>
        </w:rPr>
        <w:t xml:space="preserve">the supply chain-resolved quantitative methodology</w:t>
      </w:r>
      <w:r>
        <w:t xml:space="preserve"> </w:t>
      </w:r>
      <w:r>
        <w:t xml:space="preserve">to operationalise these frameworks. Standard LCA tools and national agricultural statistics lack the phase resolution and North-South supply chain coverage required. The True Value Framework directly fills this gap.</w:t>
      </w:r>
    </w:p>
    <w:bookmarkEnd w:id="97"/>
    <w:bookmarkStart w:id="98" w:name="X6ddb59fdca879fd2102103889a3db807f770c08"/>
    <w:p>
      <w:pPr>
        <w:pStyle w:val="Heading3"/>
      </w:pPr>
      <w:r>
        <w:t xml:space="preserve">The Multi-Commodity, Multi-Region Design Maximises Policy Relevance</w:t>
      </w:r>
    </w:p>
    <w:p>
      <w:pPr>
        <w:pStyle w:val="FirstParagraph"/>
      </w:pPr>
      <w:r>
        <w:t xml:space="preserve">By spanning West Africa (GGW/shea), Mediterranean EU (olive oil/Spain/Italy), and South America (Argentina/soya), this project generates the</w:t>
      </w:r>
      <w:r>
        <w:t xml:space="preserve"> </w:t>
      </w:r>
      <w:r>
        <w:rPr>
          <w:b/>
          <w:bCs/>
        </w:rPr>
        <w:t xml:space="preserve">comparative evidence base</w:t>
      </w:r>
      <w:r>
        <w:t xml:space="preserve"> </w:t>
      </w:r>
      <w:r>
        <w:t xml:space="preserve">that single-commodity or single-region projects cannot produce. The EU needs to understand how bioeconomy and nature market incentives interact with food security risks across different governance environments — this project provides exactly that.</w:t>
      </w:r>
    </w:p>
    <w:bookmarkEnd w:id="98"/>
    <w:bookmarkStart w:id="99" w:name="the-cooperative-sector-is-the-key-actor"/>
    <w:p>
      <w:pPr>
        <w:pStyle w:val="Heading3"/>
      </w:pPr>
      <w:r>
        <w:t xml:space="preserve">The Cooperative Sector Is the Key Actor</w:t>
      </w:r>
    </w:p>
    <w:p>
      <w:pPr>
        <w:pStyle w:val="FirstParagraph"/>
      </w:pPr>
      <w:r>
        <w:t xml:space="preserve">Both in the olive oil sector (Spain) and in the shea sector (West African women's cooperatives),</w:t>
      </w:r>
      <w:r>
        <w:t xml:space="preserve"> </w:t>
      </w:r>
      <w:r>
        <w:rPr>
          <w:b/>
          <w:bCs/>
        </w:rPr>
        <w:t xml:space="preserve">cooperative structures are simultaneously the most vulnerable to value appropriation asymmetries AND the most capable of scaling sustainable practices</w:t>
      </w:r>
      <w:r>
        <w:t xml:space="preserve"> </w:t>
      </w:r>
      <w:r>
        <w:t xml:space="preserve">if given the right analytical and policy tools. This project puts cooperatives at the centre of the research design and the multi-actor approach — not as subjects of study but as co-creators of knowledge and co-authors of policy recommendations.</w:t>
      </w:r>
    </w:p>
    <w:bookmarkEnd w:id="99"/>
    <w:bookmarkStart w:id="100" w:name="Xd5427789b9c6633abe79deecd066e4acbd2b0ea"/>
    <w:p>
      <w:pPr>
        <w:pStyle w:val="Heading3"/>
      </w:pPr>
      <w:r>
        <w:t xml:space="preserve">The GGW Dimension Provides Global Impact and Political Visibility</w:t>
      </w:r>
    </w:p>
    <w:p>
      <w:pPr>
        <w:pStyle w:val="FirstParagraph"/>
      </w:pPr>
      <w:r>
        <w:t xml:space="preserve">The Great Green Wall is the AU and EU's flagship collaborative initiative for African land restoration, climate adaptation and rural development. Connecting this project explicitly to GGW objectives — through the shea supply chain analysis and the natural capital accounting for parkland agroforestry — provides political visibility, alignment with EU–Africa partnership commitments, and a pathway to the $33 billion GGW financing challenge.</w:t>
      </w:r>
    </w:p>
    <w:p>
      <w:r>
        <w:pict>
          <v:rect style="width:0;height:1.5pt" o:hralign="center" o:hrstd="t" o:hr="t"/>
        </w:pict>
      </w:r>
    </w:p>
    <w:p>
      <w:pPr>
        <w:pStyle w:val="FirstParagraph"/>
      </w:pPr>
      <w:r>
        <w:rPr>
          <w:i/>
          <w:iCs/>
        </w:rPr>
        <w:t xml:space="preserve">Document status: DRAFT v0.1</w:t>
      </w:r>
      <w:r>
        <w:br/>
      </w:r>
      <w:r>
        <w:rPr>
          <w:i/>
          <w:iCs/>
        </w:rPr>
        <w:t xml:space="preserve">Author: SNJ</w:t>
      </w:r>
      <w:r>
        <w:br/>
      </w:r>
      <w:r>
        <w:rPr>
          <w:i/>
          <w:iCs/>
        </w:rPr>
        <w:t xml:space="preserve">Created: April 2026</w:t>
      </w:r>
      <w:r>
        <w:br/>
      </w:r>
      <w:r>
        <w:rPr>
          <w:i/>
          <w:iCs/>
        </w:rPr>
        <w:t xml:space="preserve">Next action: Begin consortium outreach — Contact Jon White (Impact Agri) and Spanish partners — April 2026</w:t>
      </w:r>
      <w:r>
        <w:br/>
      </w:r>
      <w:r>
        <w:rPr>
          <w:i/>
          <w:iCs/>
        </w:rPr>
        <w:t xml:space="preserve">Submission deadline: 17 September 2026 17:00 Brussels time</w:t>
      </w:r>
    </w:p>
    <w:bookmarkEnd w:id="100"/>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2026-04-16T20:20:58Z</dcterms:created>
  <dcterms:modified xsi:type="dcterms:W3CDTF">2026-04-16T20:20:58Z</dcterms:modified>
</cp:coreProperties>
</file>

<file path=docProps/custom.xml><?xml version="1.0" encoding="utf-8"?>
<Properties xmlns="http://schemas.openxmlformats.org/officeDocument/2006/custom-properties" xmlns:vt="http://schemas.openxmlformats.org/officeDocument/2006/docPropsVTypes"/>
</file>