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gif" ContentType="image/gi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tbl>
      <w:tblPr>
        <w:tblW w:w="9900" w:type="dxa"/>
        <w:jc w:val="start"/>
        <w:tblInd w:w="0" w:type="dxa"/>
        <w:tblLayout w:type="fixed"/>
        <w:tblCellMar>
          <w:top w:w="0" w:type="dxa"/>
          <w:start w:w="0" w:type="dxa"/>
          <w:bottom w:w="0" w:type="dxa"/>
          <w:end w:w="0" w:type="dxa"/>
        </w:tblCellMar>
      </w:tblPr>
      <w:tblGrid>
        <w:gridCol w:w="5348"/>
        <w:gridCol w:w="2269"/>
        <w:gridCol w:w="53"/>
        <w:gridCol w:w="2230"/>
      </w:tblGrid>
      <w:tr>
        <w:trPr/>
        <w:tc>
          <w:tcPr>
            <w:tcW w:w="5348" w:type="dxa"/>
            <w:tcBorders/>
            <w:vAlign w:val="center"/>
          </w:tcPr>
          <w:tbl>
            <w:tblPr>
              <w:tblW w:w="5303" w:type="dxa"/>
              <w:jc w:val="start"/>
              <w:tblInd w:w="0" w:type="dxa"/>
              <w:tblLayout w:type="fixed"/>
              <w:tblCellMar>
                <w:top w:w="0" w:type="dxa"/>
                <w:start w:w="0" w:type="dxa"/>
                <w:bottom w:w="0" w:type="dxa"/>
                <w:end w:w="0" w:type="dxa"/>
              </w:tblCellMar>
            </w:tblPr>
            <w:tblGrid>
              <w:gridCol w:w="5303"/>
            </w:tblGrid>
            <w:tr>
              <w:trPr/>
              <w:tc>
                <w:tcPr>
                  <w:tcW w:w="5303" w:type="dxa"/>
                  <w:tcBorders/>
                  <w:vAlign w:val="center"/>
                </w:tcPr>
                <w:p>
                  <w:pPr>
                    <w:pStyle w:val="Heading3"/>
                    <w:bidi w:val="0"/>
                    <w:spacing w:before="140" w:after="120"/>
                    <w:jc w:val="start"/>
                    <w:rPr/>
                  </w:pPr>
                  <w:r>
                    <w:rPr/>
                    <w:t xml:space="preserve">Sarah Jones &lt;sarah.jones175@gmail.com&gt; </w:t>
                  </w:r>
                </w:p>
              </w:tc>
            </w:tr>
          </w:tbl>
          <w:p>
            <w:pPr>
              <w:pStyle w:val="TableContents"/>
              <w:bidi w:val="0"/>
              <w:jc w:val="start"/>
              <w:rPr>
                <w:sz w:val="4"/>
                <w:szCs w:val="4"/>
              </w:rPr>
            </w:pPr>
            <w:r>
              <w:rPr>
                <w:sz w:val="4"/>
                <w:szCs w:val="4"/>
              </w:rPr>
            </w:r>
          </w:p>
        </w:tc>
        <w:tc>
          <w:tcPr>
            <w:tcW w:w="2269" w:type="dxa"/>
            <w:tcBorders/>
            <w:vAlign w:val="center"/>
          </w:tcPr>
          <w:p>
            <w:pPr>
              <w:pStyle w:val="TableContents"/>
              <w:bidi w:val="0"/>
              <w:ind w:hanging="0" w:start="0" w:end="0"/>
              <w:jc w:val="start"/>
              <w:rPr/>
            </w:pPr>
            <w:bookmarkStart w:id="0" w:name="avWBGd-1082"/>
            <w:bookmarkStart w:id="1" w:name="avWBGd-1083"/>
            <w:bookmarkEnd w:id="0"/>
            <w:bookmarkEnd w:id="1"/>
            <w:r>
              <w:rPr/>
              <w:t>9:22 (hace 13 minutos)</w:t>
            </w:r>
          </w:p>
          <w:p>
            <w:pPr>
              <w:pStyle w:val="TableContents"/>
              <w:bidi w:val="0"/>
              <w:ind w:hanging="0" w:start="0" w:end="0"/>
              <w:jc w:val="start"/>
              <w:rPr/>
            </w:pPr>
            <w:r>
              <w:rPr/>
            </w:r>
          </w:p>
          <w:p>
            <w:pPr>
              <w:pStyle w:val="TableContents"/>
              <w:bidi w:val="0"/>
              <w:ind w:hanging="0" w:start="0" w:end="0"/>
              <w:jc w:val="start"/>
              <w:rPr>
                <w:sz w:val="4"/>
                <w:szCs w:val="4"/>
              </w:rPr>
            </w:pPr>
            <w:r>
              <w:rPr>
                <w:sz w:val="4"/>
                <w:szCs w:val="4"/>
              </w:rPr>
            </w:r>
            <w:bookmarkStart w:id="2" w:name="avWBGd-1086"/>
            <w:bookmarkStart w:id="3" w:name="avWBGd-1086"/>
            <w:bookmarkEnd w:id="3"/>
          </w:p>
          <w:p/>
        </w:tc>
        <w:tc>
          <w:tcPr>
            <w:tcW w:w="53" w:type="dxa"/>
            <w:tcBorders/>
            <w:vAlign w:val="center"/>
          </w:tcPr>
          <w:p>
            <w:pPr>
              <w:pStyle w:val="TableContents"/>
              <w:bidi w:val="0"/>
              <w:jc w:val="start"/>
              <w:rPr>
                <w:sz w:val="4"/>
                <w:szCs w:val="4"/>
              </w:rPr>
            </w:pPr>
            <w:r>
              <w:rPr>
                <w:sz w:val="4"/>
                <w:szCs w:val="4"/>
              </w:rPr>
            </w:r>
          </w:p>
        </w:tc>
        <w:tc>
          <w:tcPr>
            <w:tcW w:w="2230" w:type="dxa"/>
            <w:vMerge w:val="restart"/>
            <w:tcBorders/>
            <w:vAlign w:val="center"/>
          </w:tcPr>
          <w:p>
            <w:pPr>
              <w:pStyle w:val="TableContents"/>
              <w:bidi w:val="0"/>
              <w:ind w:hanging="0" w:start="0" w:end="0"/>
              <w:jc w:val="start"/>
              <w:rPr>
                <w:sz w:val="4"/>
                <w:szCs w:val="4"/>
              </w:rPr>
            </w:pPr>
            <w:r>
              <w:rPr>
                <w:sz w:val="4"/>
                <w:szCs w:val="4"/>
              </w:rPr>
            </w:r>
          </w:p>
          <w:tbl>
            <w:tblPr>
              <w:tblW w:w="2142" w:type="dxa"/>
              <w:jc w:val="start"/>
              <w:tblInd w:w="0" w:type="dxa"/>
              <w:tblLayout w:type="fixed"/>
              <w:tblCellMar>
                <w:top w:w="0" w:type="dxa"/>
                <w:start w:w="0" w:type="dxa"/>
                <w:bottom w:w="0" w:type="dxa"/>
                <w:end w:w="0" w:type="dxa"/>
              </w:tblCellMar>
            </w:tblPr>
            <w:tblGrid>
              <w:gridCol w:w="2142"/>
            </w:tblGrid>
            <w:tr>
              <w:trPr/>
              <w:tc>
                <w:tcPr>
                  <w:tcW w:w="2142" w:type="dxa"/>
                  <w:tcBorders/>
                  <w:vAlign w:val="center"/>
                </w:tcPr>
                <w:p>
                  <w:pPr>
                    <w:pStyle w:val="TableContents"/>
                    <w:widowControl w:val="false"/>
                    <w:suppressLineNumbers/>
                    <w:bidi w:val="0"/>
                    <w:jc w:val="start"/>
                    <w:rPr/>
                  </w:pPr>
                  <w:r>
                    <w:rPr/>
                    <w:t xml:space="preserve">para </w:t>
                  </w:r>
                  <w:r>
                    <w:rPr>
                      <w:b/>
                    </w:rPr>
                    <w:t>Michael</w:t>
                  </w:r>
                  <w:r>
                    <w:rPr/>
                    <w:t>, Janine</w:t>
                  </w:r>
                </w:p>
                <w:p>
                  <w:pPr>
                    <w:pStyle w:val="TableContents"/>
                    <w:bidi w:val="0"/>
                    <w:ind w:hanging="0" w:start="0" w:end="0"/>
                    <w:jc w:val="start"/>
                    <w:rPr>
                      <w:sz w:val="4"/>
                      <w:szCs w:val="4"/>
                    </w:rPr>
                  </w:pPr>
                  <w:r>
                    <w:rPr>
                      <w:sz w:val="4"/>
                      <w:szCs w:val="4"/>
                    </w:rPr>
                    <w:drawing>
                      <wp:inline distT="0" distB="0" distL="0" distR="0">
                        <wp:extent cx="14605" cy="1460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605" cy="14605"/>
                                </a:xfrm>
                                <a:prstGeom prst="rect">
                                  <a:avLst/>
                                </a:prstGeom>
                              </pic:spPr>
                            </pic:pic>
                          </a:graphicData>
                        </a:graphic>
                      </wp:inline>
                    </w:drawing>
                  </w:r>
                </w:p>
                <w:p/>
              </w:tc>
            </w:tr>
          </w:tbl>
          <w:p>
            <w:pPr>
              <w:pStyle w:val="TableContents"/>
              <w:bidi w:val="0"/>
              <w:jc w:val="start"/>
              <w:rPr/>
            </w:pPr>
            <w:r>
              <w:rPr/>
            </w:r>
          </w:p>
          <w:p/>
        </w:tc>
      </w:tr>
      <w:tr>
        <w:trPr/>
        <w:tc>
          <w:tcPr>
            <w:tcW w:w="7670" w:type="dxa"/>
            <w:gridSpan w:val="3"/>
            <w:tcBorders/>
            <w:vAlign w:val="center"/>
          </w:tcPr>
          <w:p>
            <w:pPr>
              <w:pStyle w:val="TableContents"/>
              <w:bidi w:val="0"/>
              <w:jc w:val="start"/>
              <w:rPr>
                <w:sz w:val="4"/>
                <w:szCs w:val="4"/>
              </w:rPr>
            </w:pPr>
            <w:r>
              <w:rPr>
                <w:sz w:val="4"/>
                <w:szCs w:val="4"/>
              </w:rPr>
            </w:r>
          </w:p>
        </w:tc>
        <w:tc>
          <w:tcPr>
            <w:tcW w:w="2230" w:type="dxa"/>
            <w:vMerge w:val="continue"/>
            <w:tcBorders/>
            <w:vAlign w:val="center"/>
          </w:tcPr>
          <w:p>
            <w:pPr>
              <w:pStyle w:val="TableContents"/>
              <w:bidi w:val="0"/>
              <w:jc w:val="start"/>
              <w:rPr>
                <w:sz w:val="4"/>
                <w:szCs w:val="4"/>
              </w:rPr>
            </w:pPr>
            <w:r>
              <w:rPr>
                <w:sz w:val="4"/>
                <w:szCs w:val="4"/>
              </w:rPr>
            </w:r>
          </w:p>
        </w:tc>
      </w:tr>
    </w:tbl>
    <w:p>
      <w:pPr>
        <w:sectPr>
          <w:type w:val="nextPage"/>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rPr/>
      </w:pPr>
      <w:r>
        <w:rPr/>
        <w:t>Michael,</w:t>
      </w:r>
    </w:p>
    <w:p>
      <w:pPr>
        <w:pStyle w:val="BodyText"/>
        <w:bidi w:val="0"/>
        <w:spacing w:before="0" w:after="0"/>
        <w:ind w:hanging="0" w:start="0" w:end="0"/>
        <w:rPr/>
      </w:pPr>
      <w:r>
        <w:rPr/>
        <w:t>You might also be interested thinking of your AI project as well.  </w:t>
      </w:r>
    </w:p>
    <w:p>
      <w:pPr>
        <w:pStyle w:val="BodyText"/>
        <w:bidi w:val="0"/>
        <w:spacing w:before="0" w:after="0"/>
        <w:ind w:hanging="0" w:start="0" w:end="0"/>
        <w:rPr/>
      </w:pPr>
      <w:r>
        <w:rPr/>
      </w:r>
    </w:p>
    <w:p>
      <w:pPr>
        <w:pStyle w:val="BodyText"/>
        <w:bidi w:val="0"/>
        <w:spacing w:before="0" w:after="0"/>
        <w:ind w:hanging="0" w:start="0" w:end="0"/>
        <w:rPr/>
      </w:pPr>
      <w:r>
        <w:rPr/>
        <w:t>Janine,</w:t>
      </w:r>
    </w:p>
    <w:p>
      <w:pPr>
        <w:pStyle w:val="BodyText"/>
        <w:bidi w:val="0"/>
        <w:spacing w:before="0" w:after="0"/>
        <w:ind w:hanging="0" w:start="0" w:end="0"/>
        <w:rPr/>
      </w:pPr>
      <w:r>
        <w:rPr/>
      </w:r>
    </w:p>
    <w:p>
      <w:pPr>
        <w:pStyle w:val="BodyText"/>
        <w:bidi w:val="0"/>
        <w:spacing w:before="0" w:after="0"/>
        <w:ind w:hanging="0" w:start="0" w:end="0"/>
        <w:rPr/>
      </w:pPr>
      <w:r>
        <w:rPr/>
        <w:t>I hope you are recovering Ok. There is no immediate rush to look at this, just some quick feedback for info. </w:t>
      </w:r>
    </w:p>
    <w:p>
      <w:pPr>
        <w:pStyle w:val="BodyText"/>
        <w:bidi w:val="0"/>
        <w:spacing w:before="0" w:after="0"/>
        <w:ind w:hanging="0" w:start="0" w:end="0"/>
        <w:rPr/>
      </w:pPr>
      <w:r>
        <w:rPr/>
        <w:t>In a nutshell, this is really exciting. Our commodities supply chain structure model has accepted all ecosystem services as a holistic whole to respond for an AU Blue Economy Bond (AUBEB) KPI. Jeff and I wouldn't have asked the cTVF to do this at this stage if we hadn't collaborated with you. </w:t>
      </w:r>
    </w:p>
    <w:p>
      <w:pPr>
        <w:pStyle w:val="BodyText"/>
        <w:bidi w:val="0"/>
        <w:spacing w:before="0" w:after="0"/>
        <w:ind w:hanging="0" w:start="0" w:end="0"/>
        <w:rPr/>
      </w:pPr>
      <w:r>
        <w:rPr/>
        <w:t>I've put the preliminary feedback in the Clarity Knowledge Bank https//:, as below, as the site Jeff is working on is unstable, he's having to rewrite the whole site, PDI,  to include ecosystem services redefinition and gaps.</w:t>
      </w:r>
    </w:p>
    <w:p>
      <w:pPr>
        <w:pStyle w:val="BodyText"/>
        <w:bidi w:val="0"/>
        <w:spacing w:before="0" w:after="0"/>
        <w:ind w:hanging="0" w:start="0" w:end="0"/>
        <w:rPr/>
      </w:pPr>
      <w:r>
        <w:rPr/>
        <w:t>This is exactly what we need. </w:t>
      </w:r>
    </w:p>
    <w:p>
      <w:pPr>
        <w:pStyle w:val="BodyText"/>
        <w:bidi w:val="0"/>
        <w:spacing w:before="0" w:after="0"/>
        <w:ind w:hanging="0" w:start="0" w:end="0"/>
        <w:rPr/>
      </w:pPr>
      <w:r>
        <w:rPr/>
        <w:t>At a quick glance the lower scores on the AUBEB system integrity (Phi) and other cTVF characteristics for investors are specific - detailed data on fisheries, number of women livelihoods, obviously the lack of clarity on the formalisation of the KPI. But I haven't looked vigorously. We are running a complete gap analysis on the whole cTVF model.  </w:t>
      </w:r>
    </w:p>
    <w:p>
      <w:pPr>
        <w:pStyle w:val="BodyText"/>
        <w:bidi w:val="0"/>
        <w:spacing w:before="0" w:after="0"/>
        <w:ind w:hanging="0" w:start="0" w:end="0"/>
        <w:rPr/>
      </w:pPr>
      <w:r>
        <w:rPr/>
      </w:r>
    </w:p>
    <w:p>
      <w:pPr>
        <w:pStyle w:val="BodyText"/>
        <w:bidi w:val="0"/>
        <w:spacing w:before="0" w:after="0"/>
        <w:ind w:hanging="0" w:start="0" w:end="0"/>
        <w:rPr/>
      </w:pPr>
      <w:r>
        <w:rPr/>
        <w:t>The issue we have is that the AI is expensive. It's manageable from the front end linked to documents and www -just to get an idea we are paying about US$1000 per month in this start up phase which is very manageable. As soon as you connect the cTVF front end to our growing database the costs rise exponentially. Michael will tell you as he has an AI project working upwards of many millions, 10s of millions, 100s of millions, aimed at billions I believe. When we were chatting to Jeff he mentioned a figure of around US$100M to start replicating something like Anthropic Claude that will have its own system integrity analytics built in - the True AI for Good? This is not for our sustainable development projects to cover, it's just to be aware of development costs and barriers for Jeff's vision and that a group of experts manually inputting documents with their thinking and their summary data is not only fundamental as a gap baseline check, it's also far cheaper at this stage.</w:t>
      </w:r>
    </w:p>
    <w:p>
      <w:pPr>
        <w:pStyle w:val="BodyText"/>
        <w:bidi w:val="0"/>
        <w:spacing w:before="0" w:after="0"/>
        <w:ind w:hanging="0" w:start="0" w:end="0"/>
        <w:rPr>
          <w:u w:val="single"/>
        </w:rPr>
      </w:pPr>
      <w:r>
        <w:rPr>
          <w:u w:val="single"/>
        </w:rPr>
      </w:r>
    </w:p>
    <w:p>
      <w:pPr>
        <w:pStyle w:val="BodyText"/>
        <w:bidi w:val="0"/>
        <w:spacing w:before="0" w:after="0"/>
        <w:ind w:hanging="0" w:start="0" w:end="0"/>
        <w:rPr>
          <w:i/>
        </w:rPr>
      </w:pPr>
      <w:r>
        <w:rPr>
          <w:i/>
        </w:rPr>
        <w:t>Message from Jeff: This is a critical report as it highlights exactly what data was extracted from the Draft AUBCI PDI v1 JC 20.4.26, what was needed but not subtracted, and what we need to include in all reports i.e. new critical parameters discovered.</w:t>
      </w:r>
    </w:p>
    <w:p>
      <w:pPr>
        <w:pStyle w:val="BodyText"/>
        <w:bidi w:val="0"/>
        <w:spacing w:before="0" w:after="0"/>
        <w:ind w:hanging="0" w:start="0" w:end="0"/>
        <w:rPr>
          <w:b/>
        </w:rPr>
      </w:pPr>
      <w:r>
        <w:rPr>
          <w:b/>
        </w:rPr>
      </w:r>
    </w:p>
    <w:p>
      <w:pPr>
        <w:pStyle w:val="BodyText"/>
        <w:bidi w:val="0"/>
        <w:spacing w:before="0" w:after="0"/>
        <w:ind w:hanging="0" w:start="0" w:end="0"/>
        <w:rPr>
          <w:b/>
        </w:rPr>
      </w:pPr>
      <w:r>
        <w:rPr>
          <w:b/>
        </w:rPr>
        <w:t>AUBEB PDI Status </w:t>
      </w:r>
    </w:p>
    <w:p>
      <w:pPr>
        <w:pStyle w:val="BodyText"/>
        <w:bidi w:val="0"/>
        <w:spacing w:before="0" w:after="0"/>
        <w:ind w:hanging="0" w:start="0" w:end="0"/>
        <w:rPr>
          <w:u w:val="single"/>
        </w:rPr>
      </w:pPr>
      <w:r>
        <w:rPr>
          <w:u w:val="single"/>
        </w:rPr>
      </w:r>
    </w:p>
    <w:p>
      <w:pPr>
        <w:pStyle w:val="BodyText"/>
        <w:bidi w:val="0"/>
        <w:spacing w:before="0" w:after="0"/>
        <w:ind w:hanging="0" w:start="0" w:end="0"/>
        <w:rPr/>
      </w:pPr>
      <w:hyperlink r:id="rId3" w:tgtFrame="_blank">
        <w:r>
          <w:rPr>
            <w:rStyle w:val="Hyperlink"/>
            <w:u w:val="single"/>
          </w:rPr>
          <w:t>https://claritycoalition.net/knowledge-base/6456/</w:t>
        </w:r>
      </w:hyperlink>
    </w:p>
    <w:p>
      <w:pPr>
        <w:pStyle w:val="BodyText"/>
        <w:bidi w:val="0"/>
        <w:ind w:hanging="0" w:start="0" w:end="0"/>
        <w:rPr>
          <w:u w:val="single"/>
        </w:rPr>
      </w:pPr>
      <w:r>
        <w:rPr>
          <w:u w:val="single"/>
        </w:rPr>
      </w:r>
    </w:p>
    <w:p>
      <w:pPr>
        <w:pStyle w:val="Heading3"/>
        <w:bidi w:val="0"/>
        <w:ind w:hanging="0" w:start="0" w:end="0"/>
        <w:rPr/>
      </w:pPr>
      <w:bookmarkStart w:id="4" w:name="m_8003113517820195706gmail-financial_mec"/>
      <w:bookmarkEnd w:id="4"/>
      <w:r>
        <w:rPr/>
        <w:t xml:space="preserve">e.g. 1.1.3 1.3 </w:t>
      </w:r>
      <w:r>
        <w:rPr>
          <w:rStyle w:val="SourceText"/>
        </w:rPr>
        <w:t>financial_mechanism</w:t>
      </w:r>
      <w:r>
        <w:rPr/>
        <w:t xml:space="preserve"> — Header level</w:t>
      </w:r>
    </w:p>
    <w:p>
      <w:pPr>
        <w:pStyle w:val="BodyText"/>
        <w:bidi w:val="0"/>
        <w:rPr/>
      </w:pPr>
      <w:r>
        <w:rPr>
          <w:rStyle w:val="Strong"/>
        </w:rPr>
        <w:t>Why added:</w:t>
      </w:r>
      <w:r>
        <w:rPr/>
        <w:t xml:space="preserve"> When a bond, fund, or credit facility is the commercialisation vehicle embedded in the supply chain, its instrument type, counterparties, coupon structure, and market eligibility must be captured alongside the supply chain logic. This is not needed for conventional commodity chains where the commercial phase is a standard sales transaction.</w:t>
      </w:r>
    </w:p>
    <w:p>
      <w:pPr>
        <w:pStyle w:val="BodyText"/>
        <w:bidi w:val="0"/>
        <w:spacing w:before="0" w:after="0"/>
        <w:rPr/>
      </w:pPr>
      <w:r>
        <w:rPr/>
      </w:r>
    </w:p>
    <w:p>
      <w:pPr>
        <w:pStyle w:val="BodyText"/>
        <w:bidi w:val="0"/>
        <w:spacing w:before="0" w:after="0"/>
        <w:ind w:hanging="0" w:start="0" w:end="0"/>
        <w:rPr>
          <w:u w:val="single"/>
        </w:rPr>
      </w:pPr>
      <w:r>
        <w:rPr>
          <w:u w:val="single"/>
        </w:rPr>
      </w:r>
    </w:p>
    <w:p>
      <w:pPr>
        <w:pStyle w:val="BodyText"/>
        <w:bidi w:val="0"/>
        <w:spacing w:before="0" w:after="0"/>
        <w:ind w:hanging="0" w:start="0" w:end="0"/>
        <w:rPr>
          <w:b/>
        </w:rPr>
      </w:pPr>
      <w:r>
        <w:rPr>
          <w:b/>
        </w:rPr>
        <w:t>AUBEB FRONT END Screen Shots</w:t>
      </w:r>
    </w:p>
    <w:p>
      <w:pPr>
        <w:pStyle w:val="BodyText"/>
        <w:bidi w:val="0"/>
        <w:spacing w:before="0" w:after="0"/>
        <w:ind w:hanging="0" w:start="0" w:end="0"/>
        <w:rPr>
          <w:b/>
        </w:rPr>
      </w:pPr>
      <w:r>
        <w:rPr>
          <w:b/>
        </w:rPr>
      </w:r>
    </w:p>
    <w:p>
      <w:pPr>
        <w:pStyle w:val="BodyText"/>
        <w:bidi w:val="0"/>
        <w:spacing w:before="0" w:after="0"/>
        <w:ind w:hanging="0" w:start="0" w:end="0"/>
        <w:rPr/>
      </w:pPr>
      <w:hyperlink r:id="rId4" w:tgtFrame="_blank">
        <w:r>
          <w:rPr>
            <w:rStyle w:val="Hyperlink"/>
          </w:rPr>
          <w:t>https://claritycoalition.net/knowledge-base/aubeb-front-end/</w:t>
        </w:r>
      </w:hyperlink>
    </w:p>
    <w:p>
      <w:pPr>
        <w:pStyle w:val="BodyText"/>
        <w:bidi w:val="0"/>
        <w:spacing w:before="0" w:after="0"/>
        <w:ind w:hanging="0" w:start="0" w:end="0"/>
        <w:rPr/>
      </w:pPr>
      <w:r>
        <w:rPr/>
      </w:r>
    </w:p>
    <w:p>
      <w:pPr>
        <w:pStyle w:val="BodyText"/>
        <w:bidi w:val="0"/>
        <w:spacing w:before="0" w:after="0"/>
        <w:ind w:hanging="0" w:start="0" w:end="0"/>
        <w:rPr>
          <w:b/>
        </w:rPr>
      </w:pPr>
      <w:r>
        <w:rPr>
          <w:b/>
        </w:rPr>
      </w:r>
    </w:p>
    <w:p>
      <w:pPr>
        <w:pStyle w:val="BodyText"/>
        <w:bidi w:val="0"/>
        <w:spacing w:before="0" w:after="0"/>
        <w:ind w:hanging="0" w:start="0" w:end="0"/>
        <w:rPr>
          <w:b/>
        </w:rPr>
      </w:pPr>
      <w:r>
        <w:rPr>
          <w:b/>
        </w:rPr>
        <w:t>INTRODUCTION ON THE TRUE VALUE PRICING CONVERGENCE INDEX (CONTEXT INCLUDING SECTION 7. PRACTICAL APPLICATION)</w:t>
      </w:r>
    </w:p>
    <w:p>
      <w:pPr>
        <w:pStyle w:val="BodyText"/>
        <w:bidi w:val="0"/>
        <w:spacing w:before="0" w:after="0"/>
        <w:ind w:hanging="0" w:start="0" w:end="0"/>
        <w:rPr>
          <w:b/>
        </w:rPr>
      </w:pPr>
      <w:r>
        <w:rPr>
          <w:b/>
        </w:rPr>
      </w:r>
    </w:p>
    <w:p>
      <w:pPr>
        <w:pStyle w:val="BodyText"/>
        <w:bidi w:val="0"/>
        <w:spacing w:before="0" w:after="0"/>
        <w:rPr/>
      </w:pPr>
      <w:hyperlink r:id="rId5" w:tgtFrame="_blank">
        <w:r>
          <w:rPr>
            <w:rStyle w:val="Hyperlink"/>
            <w:u w:val="single"/>
          </w:rPr>
          <w:t>https://claritycoalition.net/knowledge-base/tvpci_foundation_intro/</w:t>
        </w:r>
      </w:hyperlink>
      <w:r>
        <w:rPr/>
        <w:t xml:space="preserve"> </w:t>
      </w:r>
    </w:p>
    <w:p>
      <w:pPr>
        <w:pStyle w:val="BodyText"/>
        <w:bidi w:val="0"/>
        <w:spacing w:before="0" w:after="0"/>
        <w:ind w:hanging="0" w:start="0" w:end="0"/>
        <w:rPr/>
      </w:pPr>
      <w:r>
        <w:rPr/>
      </w:r>
    </w:p>
    <w:p>
      <w:pPr>
        <w:pStyle w:val="BodyText"/>
        <w:bidi w:val="0"/>
        <w:spacing w:before="0" w:after="0"/>
        <w:ind w:hanging="0" w:start="0" w:end="0"/>
        <w:rPr/>
      </w:pPr>
      <w:r>
        <w:rPr/>
      </w:r>
    </w:p>
    <w:p>
      <w:pPr>
        <w:pStyle w:val="BodyText"/>
        <w:bidi w:val="0"/>
        <w:spacing w:before="0" w:after="0"/>
        <w:ind w:hanging="0" w:start="0" w:end="0"/>
        <w:rPr/>
      </w:pPr>
      <w:r>
        <w:rPr/>
        <w:t>N.B. we need to change the Tholonic N-D-C in the entire cTVF Framework to N (Net Performance), C (Constraints), G (Growth) as there will be much confusion with Carbon NDC -National Determined Contribution</w:t>
      </w:r>
    </w:p>
    <w:p>
      <w:pPr>
        <w:pStyle w:val="BodyText"/>
        <w:bidi w:val="0"/>
        <w:spacing w:before="0" w:after="0"/>
        <w:ind w:hanging="0" w:start="0" w:end="0"/>
        <w:rPr/>
      </w:pPr>
      <w:r>
        <w:rPr/>
      </w:r>
    </w:p>
    <w:p>
      <w:pPr>
        <w:pStyle w:val="BodyText"/>
        <w:bidi w:val="0"/>
        <w:spacing w:before="0" w:after="0"/>
        <w:ind w:hanging="0" w:start="0" w:end="0"/>
        <w:rPr/>
      </w:pPr>
      <w:r>
        <w:rPr/>
        <w:t>SNJ 22.4.2026</w:t>
      </w:r>
    </w:p>
    <w:p>
      <w:pPr>
        <w:pStyle w:val="BodyText"/>
        <w:bidi w:val="0"/>
        <w:spacing w:before="0" w:after="0"/>
        <w:ind w:hanging="0" w:start="0" w:end="0"/>
        <w:rPr/>
      </w:pPr>
      <w:r>
        <w:rPr/>
      </w:r>
    </w:p>
    <w:p>
      <w:pPr>
        <w:pStyle w:val="BodyText"/>
        <w:bidi w:val="0"/>
        <w:spacing w:before="0" w:after="0"/>
        <w:ind w:hanging="0" w:start="0" w:end="0"/>
        <w:rPr/>
      </w:pPr>
      <w:r>
        <w:rPr/>
        <w:t>Very best</w:t>
      </w:r>
    </w:p>
    <w:p>
      <w:pPr>
        <w:pStyle w:val="BodyText"/>
        <w:bidi w:val="0"/>
        <w:spacing w:before="0" w:after="0"/>
        <w:ind w:hanging="0" w:start="0" w:end="0"/>
        <w:rPr/>
      </w:pPr>
      <w:r>
        <w:rPr/>
        <w:t>Sarah</w:t>
      </w:r>
    </w:p>
    <w:p>
      <w:pPr>
        <w:pStyle w:val="BodyText"/>
        <w:bidi w:val="0"/>
        <w:spacing w:before="0" w:after="0"/>
        <w:ind w:hanging="0" w:start="0" w:end="0"/>
        <w:rPr/>
      </w:pPr>
      <w:r>
        <w:rPr/>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hyperlink" Target="https://claritycoalition.net/knowledge-base/6456/" TargetMode="External"/><Relationship Id="rId4" Type="http://schemas.openxmlformats.org/officeDocument/2006/relationships/hyperlink" Target="https://claritycoalition.net/knowledge-base/aubeb-front-end/" TargetMode="External"/><Relationship Id="rId5" Type="http://schemas.openxmlformats.org/officeDocument/2006/relationships/hyperlink" Target="https://claritycoalition.net/knowledge-base/tvpci_foundation_intro/"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LibreOffice/24.2.2.2$Windows_X86_64 LibreOffice_project/d56cc158d8a96260b836f100ef4b4ef25d6f1a01</Application>
  <AppVersion>15.0000</AppVersion>
  <Pages>2</Pages>
  <Words>539</Words>
  <Characters>2847</Characters>
  <CharactersWithSpaces>3373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2026-04-22T09:36:52Z</dcterms:created>
  <dc:creator/>
  <dc:description/>
  <dc:language>en-US</dc:language>
  <cp:lastModifiedBy/>
  <dcterms:modified xsi:type="dcterms:W3CDTF">2026-04-22T09:41:02Z</dcterms:modified>
  <cp:revision>2</cp:revision>
  <dc:subject/>
  <dc:title/>
</cp:coreProperties>
</file>