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</w:pPr>
      <w:r>
        <w:rPr>
          <w:b/>
          <w:bCs/>
          <w:color w:val="17202B"/>
          <w:sz w:val="30"/>
          <w:szCs w:val="30"/>
        </w:rPr>
        <w:t xml:space="preserve">ISO/IEC 27001:2022 хамрах хүрээг үе шаттай өргөтгөх төлөвлөгөө</w:t>
      </w:r>
    </w:p>
    <w:p>
      <w:pPr>
        <w:spacing w:after="140"/>
      </w:pPr>
      <w:r>
        <w:rPr>
          <w:i/>
          <w:iCs/>
          <w:color w:val="5B6472"/>
          <w:sz w:val="19"/>
          <w:szCs w:val="19"/>
        </w:rPr>
        <w:t xml:space="preserve">2026-2030 дунд хугацааны стратегид үндэслэв  ·  Foundational-to-Ecosystem загвар  ·  засварласан хувилбар</w:t>
      </w:r>
    </w:p>
    <w:p>
      <w:pPr>
        <w:spacing w:after="120"/>
      </w:pPr>
      <w:r>
        <w:rPr>
          <w:b/>
          <w:bCs/>
          <w:color w:val="17202B"/>
          <w:sz w:val="18"/>
          <w:szCs w:val="18"/>
        </w:rPr>
        <w:t xml:space="preserve">Үндсэн зарчим. </w:t>
      </w:r>
      <w:r>
        <w:rPr>
          <w:color w:val="17202B"/>
          <w:sz w:val="18"/>
          <w:szCs w:val="18"/>
        </w:rPr>
        <w:t xml:space="preserve">Хамрах хүрээг нэг дор бус, 4 жилийн турш үе шаттайгаар тэлнэ — жил бүрийн </w:t>
      </w:r>
      <w:r>
        <w:rPr>
          <w:i/>
          <w:iCs/>
          <w:color w:val="17202B"/>
          <w:sz w:val="18"/>
          <w:szCs w:val="18"/>
        </w:rPr>
        <w:t xml:space="preserve">хяналтын аудит</w:t>
      </w:r>
      <w:r>
        <w:rPr>
          <w:color w:val="17202B"/>
          <w:sz w:val="18"/>
          <w:szCs w:val="18"/>
        </w:rPr>
        <w:t xml:space="preserve">-ыг </w:t>
      </w:r>
      <w:r>
        <w:rPr>
          <w:b/>
          <w:bCs/>
          <w:color w:val="17202B"/>
          <w:sz w:val="18"/>
          <w:szCs w:val="18"/>
        </w:rPr>
        <w:t xml:space="preserve">хамрах хүрээний өргөтгөл</w:t>
      </w:r>
      <w:r>
        <w:rPr>
          <w:color w:val="17202B"/>
          <w:sz w:val="18"/>
          <w:szCs w:val="18"/>
        </w:rPr>
        <w:t xml:space="preserve">-той хослуулснаар жил бүр цоо шинэ баталгаажуулалт хийхээс хамаагүй хямд, эрсдэл багатай байна. </w:t>
      </w:r>
      <w:r>
        <w:rPr>
          <w:b/>
          <w:bCs/>
          <w:color w:val="8A5A00"/>
          <w:sz w:val="18"/>
          <w:szCs w:val="18"/>
        </w:rPr>
        <w:t xml:space="preserve">Чухал засвар: </w:t>
      </w:r>
      <w:r>
        <w:rPr>
          <w:color w:val="17202B"/>
          <w:sz w:val="18"/>
          <w:szCs w:val="18"/>
        </w:rPr>
        <w:t xml:space="preserve">Тендерийн Ажлын даалгавар 1-д Төлбөрийн систем, технологийн газар (СВИФТ орчин, Банксүлжээ, DepoX-ийн үндсэн орчин үүнд багтана) аль хэдийн нэрлэгдсэн тул эдгээр нь </w:t>
      </w:r>
      <w:r>
        <w:rPr>
          <w:b/>
          <w:bCs/>
          <w:color w:val="17202B"/>
          <w:sz w:val="18"/>
          <w:szCs w:val="18"/>
        </w:rPr>
        <w:t xml:space="preserve">2027 оны Анхны хамрах хүрээнд орно</w:t>
      </w:r>
      <w:r>
        <w:rPr>
          <w:color w:val="17202B"/>
          <w:sz w:val="18"/>
          <w:szCs w:val="18"/>
        </w:rPr>
        <w:t xml:space="preserve"> — дараагийн жилүүдэд зөвхөн ШИНЭЭР бий болох дэд бүтэц (Нөөц төв гэх мэт) болон газар нэгжийг нэмнэ.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shd w:fill="E9F0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7202B"/>
                <w:sz w:val="24"/>
                <w:szCs w:val="24"/>
              </w:rPr>
              <w:t xml:space="preserve">2027  </w:t>
            </w:r>
            <w:r>
              <w:rPr>
                <w:b/>
                <w:bCs/>
                <w:color w:val="1F4E5F"/>
                <w:sz w:val="21"/>
                <w:szCs w:val="21"/>
              </w:rPr>
              <w:t xml:space="preserve">Үе шат 1 — Анхны баталгаажуулалт</w:t>
            </w:r>
          </w:p>
        </w:tc>
      </w:tr>
    </w:tbl>
    <w:p>
      <w:pPr>
        <w:spacing w:after="30" w:before="100"/>
      </w:pPr>
      <w:r>
        <w:rPr>
          <w:b/>
          <w:bCs/>
          <w:color w:val="1F4E5F"/>
          <w:sz w:val="17"/>
          <w:szCs w:val="17"/>
        </w:rPr>
        <w:t xml:space="preserve">Хамрах хүрээ (2027 оны эцэст):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2900"/>
        <w:gridCol w:w="2306"/>
      </w:tblGrid>
      <w:tr>
        <w:trPr>
          <w:tblHeader/>
        </w:trPr>
        <w:tc>
          <w:tcPr>
            <w:tcW w:type="dxa" w:w="33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Хамрах хүрээний бүрэлдэхүүн</w:t>
            </w:r>
          </w:p>
        </w:tc>
        <w:tc>
          <w:tcPr>
            <w:tcW w:type="dxa" w:w="1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Стратегийн заалт</w:t>
            </w:r>
          </w:p>
        </w:tc>
        <w:tc>
          <w:tcPr>
            <w:tcW w:type="dxa" w:w="2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Гол Annex A хяналт</w:t>
            </w:r>
          </w:p>
        </w:tc>
        <w:tc>
          <w:tcPr>
            <w:tcW w:type="dxa" w:w="2306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Аудитын төрөл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Монголбанкны Төв байр — Мэдээлэл технологийн хэлтэс, серверийн орчин, сүлжээний дэд бүтэц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1.8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A.5.1–A.5.4, A.8.9</w:t>
            </w:r>
          </w:p>
        </w:tc>
        <w:tc>
          <w:tcPr>
            <w:tcW w:type="dxa" w:w="230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Анхны баталгаажуулалт
(Stage 1 &amp; 2)</w:t>
            </w:r>
          </w:p>
        </w:tc>
      </w:tr>
      <w:tr>
        <w:tc>
          <w:tcPr>
            <w:tcW w:type="dxa" w:w="33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Төлбөрийн систем, технологийн газар бүхэлдээ — СВИФТ орчин, Банксүлжээ систем, DepoX-ийн үндсэн орчин, Үндэсний цахим гүйлгээний төв</w:t>
            </w:r>
          </w:p>
        </w:tc>
        <w:tc>
          <w:tcPr>
            <w:tcW w:type="dxa" w:w="19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1.9</w:t>
            </w:r>
          </w:p>
        </w:tc>
        <w:tc>
          <w:tcPr>
            <w:tcW w:type="dxa" w:w="29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A.5.9, A.5.12, A.8.20</w:t>
            </w:r>
          </w:p>
        </w:tc>
        <w:tc>
          <w:tcPr>
            <w:tcW w:type="dxa" w:w="2306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 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Санхүү, удирдлагын газрын Үйлчилгээ аюулгүй байдлын хэлтэс, Хүний нөөцийн хэлтэс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1.5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A.6.1–A.6.3, A.7.1–A.7.6</w:t>
            </w:r>
          </w:p>
        </w:tc>
        <w:tc>
          <w:tcPr>
            <w:tcW w:type="dxa" w:w="230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 </w:t>
            </w:r>
          </w:p>
        </w:tc>
      </w:tr>
      <w:tr>
        <w:tc>
          <w:tcPr>
            <w:tcW w:type="dxa" w:w="33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Эрсдэлийн удирдлага, дотоод аудитын газар; Хуулийн газар</w:t>
            </w:r>
          </w:p>
        </w:tc>
        <w:tc>
          <w:tcPr>
            <w:tcW w:type="dxa" w:w="19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1.6</w:t>
            </w:r>
          </w:p>
        </w:tc>
        <w:tc>
          <w:tcPr>
            <w:tcW w:type="dxa" w:w="29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A.5.31, Clause 6.1, 9.2</w:t>
            </w:r>
          </w:p>
        </w:tc>
        <w:tc>
          <w:tcPr>
            <w:tcW w:type="dxa" w:w="2306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 </w:t>
            </w:r>
          </w:p>
        </w:tc>
      </w:tr>
    </w:tbl>
    <w:p>
      <w:pPr>
        <w:spacing w:after="0" w:before="60"/>
      </w:pPr>
      <w:r>
        <w:rPr>
          <w:i/>
          <w:iCs/>
          <w:color w:val="5B6472"/>
          <w:sz w:val="15"/>
          <w:szCs w:val="15"/>
        </w:rPr>
        <w:t xml:space="preserve">Энэ бол тендерийн Ажлын даалгавар 1-д нэрлэсэн хамрах хүрээтэй бүрэн тохирно.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shd w:fill="FCE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🔑 2028 он руу шилжих нөхцөл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17202B"/>
                <w:sz w:val="17"/>
                <w:szCs w:val="17"/>
              </w:rPr>
              <w:t xml:space="preserve">Нөөц төв (DR site)-ийн барилга, техникийн угсралт дууссан, ашиглалтад орсон байх;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17202B"/>
                <w:sz w:val="17"/>
                <w:szCs w:val="17"/>
              </w:rPr>
              <w:t xml:space="preserve">DRP/BCP журам батлагдаж, дор хаяж нэг удаагийн симуляци/тест амжилттай хийгдсэн байх;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17202B"/>
                <w:sz w:val="17"/>
                <w:szCs w:val="17"/>
              </w:rPr>
              <w:t xml:space="preserve">Шинэ дэд бүтцийн эрсдэлийн үнэлгээ хийгдэж, SoA-д тусгагдсан байх;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17202B"/>
                <w:sz w:val="17"/>
                <w:szCs w:val="17"/>
              </w:rPr>
              <w:t xml:space="preserve">Гэрчилгээжүүлэх байгууллагад хамрах хүрээний өргөтгөлийн тухай урьдчилан (~60–90 хоногийн өмнө) бичгээр мэдэгдсэн байх.</w:t>
            </w:r>
          </w:p>
        </w:tc>
      </w:tr>
    </w:tbl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shd w:fill="EA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7202B"/>
                <w:sz w:val="24"/>
                <w:szCs w:val="24"/>
              </w:rPr>
              <w:t xml:space="preserve">2028  </w:t>
            </w:r>
            <w:r>
              <w:rPr>
                <w:b/>
                <w:bCs/>
                <w:color w:val="1F4E5F"/>
                <w:sz w:val="21"/>
                <w:szCs w:val="21"/>
              </w:rPr>
              <w:t xml:space="preserve">Үе шат 2 — 1-р Хяналтын аудит + Хамрах хүрээг өргөтгөх</w:t>
            </w:r>
          </w:p>
        </w:tc>
      </w:tr>
    </w:tbl>
    <w:p>
      <w:pPr>
        <w:spacing w:after="30" w:before="100"/>
      </w:pPr>
      <w:r>
        <w:rPr>
          <w:b/>
          <w:bCs/>
          <w:color w:val="1F4E5F"/>
          <w:sz w:val="17"/>
          <w:szCs w:val="17"/>
        </w:rPr>
        <w:t xml:space="preserve">Шинээр нэмэгдэх хамрах хүрээ: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2900"/>
        <w:gridCol w:w="2306"/>
      </w:tblGrid>
      <w:tr>
        <w:trPr>
          <w:tblHeader/>
        </w:trPr>
        <w:tc>
          <w:tcPr>
            <w:tcW w:type="dxa" w:w="33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Хамрах хүрээний бүрэлдэхүүн</w:t>
            </w:r>
          </w:p>
        </w:tc>
        <w:tc>
          <w:tcPr>
            <w:tcW w:type="dxa" w:w="1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Стратегийн заалт</w:t>
            </w:r>
          </w:p>
        </w:tc>
        <w:tc>
          <w:tcPr>
            <w:tcW w:type="dxa" w:w="2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Гол Annex A хяналт</w:t>
            </w:r>
          </w:p>
        </w:tc>
        <w:tc>
          <w:tcPr>
            <w:tcW w:type="dxa" w:w="2306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Аудитын төрөл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Төлбөр тооцооны Нөөц төв (DR Site) — шинэ барилга, дэд бүтэц, сервер, сүлжээ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5.2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A.5.29–A.5.30, A.8.14</w:t>
            </w:r>
          </w:p>
        </w:tc>
        <w:tc>
          <w:tcPr>
            <w:tcW w:type="dxa" w:w="230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1-р Хяналтын аудит
+ Scope Extension</w:t>
            </w:r>
          </w:p>
        </w:tc>
      </w:tr>
      <w:tr>
        <w:tc>
          <w:tcPr>
            <w:tcW w:type="dxa" w:w="33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АТМ сүлжээ, цэвэрлэгээний системүүдийн бүрэн хамрал (RTGS/СВИФТ-ийн үндсэн орчин 2027-д аль хэдийн орсон)</w:t>
            </w:r>
          </w:p>
        </w:tc>
        <w:tc>
          <w:tcPr>
            <w:tcW w:type="dxa" w:w="19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5.3</w:t>
            </w:r>
          </w:p>
        </w:tc>
        <w:tc>
          <w:tcPr>
            <w:tcW w:type="dxa" w:w="29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A.7.1–A.7.14 (DR сайт)</w:t>
            </w:r>
          </w:p>
        </w:tc>
        <w:tc>
          <w:tcPr>
            <w:tcW w:type="dxa" w:w="2306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 </w:t>
            </w:r>
          </w:p>
        </w:tc>
      </w:tr>
    </w:tbl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shd w:fill="FCE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🔑 2029 он руу шилжих нөхцөл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17202B"/>
                <w:sz w:val="17"/>
                <w:szCs w:val="17"/>
              </w:rPr>
              <w:t xml:space="preserve">Их өгөгдлийн систем, Зээлийн мэдээллийн сан техникийн хувьд ашиглалтад орсон байх;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17202B"/>
                <w:sz w:val="17"/>
                <w:szCs w:val="17"/>
              </w:rPr>
              <w:t xml:space="preserve">Арилжааны банк/ББСБ-тай холбогдох гэрээнд МАБ-ын шаардлага (A.5.20) орж, гарын үсэг зурагдсан байх;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17202B"/>
                <w:sz w:val="17"/>
                <w:szCs w:val="17"/>
              </w:rPr>
              <w:t xml:space="preserve">DLP, API gateway-ийн техникийн хяналт хэрэгжиж, дор хаяж 3 сарын лог/хяналтын түүхтэй болсон байх.</w:t>
            </w:r>
          </w:p>
        </w:tc>
      </w:tr>
    </w:tbl>
    <w:p>
      <w:r>
        <w:br w:type="pag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shd w:fill="F1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7202B"/>
                <w:sz w:val="24"/>
                <w:szCs w:val="24"/>
              </w:rPr>
              <w:t xml:space="preserve">2029  </w:t>
            </w:r>
            <w:r>
              <w:rPr>
                <w:b/>
                <w:bCs/>
                <w:color w:val="1F4E5F"/>
                <w:sz w:val="21"/>
                <w:szCs w:val="21"/>
              </w:rPr>
              <w:t xml:space="preserve">Үе шат 3 — 2-р Хяналтын аудит + Хамрах хүрээг өргөтгөх</w:t>
            </w:r>
          </w:p>
        </w:tc>
      </w:tr>
    </w:tbl>
    <w:p>
      <w:pPr>
        <w:spacing w:after="30" w:before="100"/>
      </w:pPr>
      <w:r>
        <w:rPr>
          <w:b/>
          <w:bCs/>
          <w:color w:val="1F4E5F"/>
          <w:sz w:val="17"/>
          <w:szCs w:val="17"/>
        </w:rPr>
        <w:t xml:space="preserve">Шинээр нэмэгдэх хамрах хүрээ: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2900"/>
        <w:gridCol w:w="2306"/>
      </w:tblGrid>
      <w:tr>
        <w:trPr>
          <w:tblHeader/>
        </w:trPr>
        <w:tc>
          <w:tcPr>
            <w:tcW w:type="dxa" w:w="33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Хамрах хүрээний бүрэлдэхүүн</w:t>
            </w:r>
          </w:p>
        </w:tc>
        <w:tc>
          <w:tcPr>
            <w:tcW w:type="dxa" w:w="1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Стратегийн заалт</w:t>
            </w:r>
          </w:p>
        </w:tc>
        <w:tc>
          <w:tcPr>
            <w:tcW w:type="dxa" w:w="2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Гол Annex A хяналт</w:t>
            </w:r>
          </w:p>
        </w:tc>
        <w:tc>
          <w:tcPr>
            <w:tcW w:type="dxa" w:w="2306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Аудитын төрөл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Их өгөгдлийн (Big Data) платформ; Зээлийн мэдээллийн нэгдсэн сан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1.7 (Чиглэл 1)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A.5.15, A.8.12 (DLP)</w:t>
            </w:r>
          </w:p>
        </w:tc>
        <w:tc>
          <w:tcPr>
            <w:tcW w:type="dxa" w:w="230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2-р Хяналтын аудит
+ Scope Extension</w:t>
            </w:r>
          </w:p>
        </w:tc>
      </w:tr>
      <w:tr>
        <w:tc>
          <w:tcPr>
            <w:tcW w:type="dxa" w:w="33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Валют арилжааны нэгдсэн систем — оролцогчдыг 100% хамруулна</w:t>
            </w:r>
          </w:p>
        </w:tc>
        <w:tc>
          <w:tcPr>
            <w:tcW w:type="dxa" w:w="19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3.2</w:t>
            </w:r>
          </w:p>
        </w:tc>
        <w:tc>
          <w:tcPr>
            <w:tcW w:type="dxa" w:w="29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A.8.20–A.8.22</w:t>
            </w:r>
          </w:p>
        </w:tc>
        <w:tc>
          <w:tcPr>
            <w:tcW w:type="dxa" w:w="2306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 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Арилжааны банк, ББСБ-тай холбогдох мэдээлэл солилцооны API сувгууд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4.1 / 6.3*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A.5.19–A.5.23</w:t>
            </w:r>
          </w:p>
        </w:tc>
        <w:tc>
          <w:tcPr>
            <w:tcW w:type="dxa" w:w="230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 </w:t>
            </w:r>
          </w:p>
        </w:tc>
      </w:tr>
    </w:tbl>
    <w:p>
      <w:pPr>
        <w:spacing w:after="0" w:before="60"/>
      </w:pPr>
      <w:r>
        <w:rPr>
          <w:i/>
          <w:iCs/>
          <w:color w:val="5B6472"/>
          <w:sz w:val="15"/>
          <w:szCs w:val="15"/>
        </w:rPr>
        <w:t xml:space="preserve">* Зээлийн мэдээллийн бодит цагийн урсгал нь А/176 тушаалын Зургаа-р бүлгийн 6.3-т нарийвчлан заасан чиг үүрэгтэй холбоотой.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shd w:fill="FCE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🔑 2030 он руу шилжих нөхцөл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17202B"/>
                <w:sz w:val="17"/>
                <w:szCs w:val="17"/>
              </w:rPr>
              <w:t xml:space="preserve">Бүх орон нутгийн салбарт үндсэн биет болон сүлжээний хяналт (A.7, A.8.22 segmentation) нэвтэрсэн байх;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17202B"/>
                <w:sz w:val="17"/>
                <w:szCs w:val="17"/>
              </w:rPr>
              <w:t xml:space="preserve">Финтек Sandbox-ын засаглалын журам батлагдсан байх;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17202B"/>
                <w:sz w:val="17"/>
                <w:szCs w:val="17"/>
              </w:rPr>
              <w:t xml:space="preserve">Дотоод аудитын хөтөлбөр орон нутгийн салбаруудыг хамарсан төлөвлөгөөтэй болсон байх;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17202B"/>
                <w:sz w:val="17"/>
                <w:szCs w:val="17"/>
              </w:rPr>
              <w:t xml:space="preserve">3 жилийн гэрчилгээний хугацаа дуусахаас өмнө дахин баталгаажуулалтад бэлтгэх ажил эхэлсэн байх.</w:t>
            </w:r>
          </w:p>
        </w:tc>
      </w:tr>
    </w:tbl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shd w:fill="EDE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7202B"/>
                <w:sz w:val="24"/>
                <w:szCs w:val="24"/>
              </w:rPr>
              <w:t xml:space="preserve">2030  </w:t>
            </w:r>
            <w:r>
              <w:rPr>
                <w:b/>
                <w:bCs/>
                <w:color w:val="1F4E5F"/>
                <w:sz w:val="21"/>
                <w:szCs w:val="21"/>
              </w:rPr>
              <w:t xml:space="preserve">Үе шат 4 — Дахин баталгаажуулалт (Full Recertification)</w:t>
            </w:r>
          </w:p>
        </w:tc>
      </w:tr>
    </w:tbl>
    <w:p>
      <w:pPr>
        <w:spacing w:after="30" w:before="100"/>
      </w:pPr>
      <w:r>
        <w:rPr>
          <w:b/>
          <w:bCs/>
          <w:color w:val="1F4E5F"/>
          <w:sz w:val="17"/>
          <w:szCs w:val="17"/>
        </w:rPr>
        <w:t xml:space="preserve">Шинээр нэмэгдэх хамрах хүрээ — Бүрэн экосистем: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2900"/>
        <w:gridCol w:w="2306"/>
      </w:tblGrid>
      <w:tr>
        <w:trPr>
          <w:tblHeader/>
        </w:trPr>
        <w:tc>
          <w:tcPr>
            <w:tcW w:type="dxa" w:w="33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Хамрах хүрээний бүрэлдэхүүн</w:t>
            </w:r>
          </w:p>
        </w:tc>
        <w:tc>
          <w:tcPr>
            <w:tcW w:type="dxa" w:w="1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Стратегийн заалт</w:t>
            </w:r>
          </w:p>
        </w:tc>
        <w:tc>
          <w:tcPr>
            <w:tcW w:type="dxa" w:w="2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Гол Annex A хяналт</w:t>
            </w:r>
          </w:p>
        </w:tc>
        <w:tc>
          <w:tcPr>
            <w:tcW w:type="dxa" w:w="2306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Аудитын төрөл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Орон нутгийн бүх салбар нэгжүүд; Гадаад улс дахь төлөөлөгчийн газар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5.1 (Стратеги)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A.7.1–A.7.6, A.8.1 (endpoint)</w:t>
            </w:r>
          </w:p>
        </w:tc>
        <w:tc>
          <w:tcPr>
            <w:tcW w:type="dxa" w:w="230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Дахин баталгаажуулалт
(3 жилийн шинэ гэрчилгээ)</w:t>
            </w:r>
          </w:p>
        </w:tc>
      </w:tr>
      <w:tr>
        <w:tc>
          <w:tcPr>
            <w:tcW w:type="dxa" w:w="33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Финтек туршилтын орчин (Sandbox); дотоод/гадаад цахим үйлчилгээний бүх суваг</w:t>
            </w:r>
          </w:p>
        </w:tc>
        <w:tc>
          <w:tcPr>
            <w:tcW w:type="dxa" w:w="19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5.1</w:t>
            </w:r>
          </w:p>
        </w:tc>
        <w:tc>
          <w:tcPr>
            <w:tcW w:type="dxa" w:w="2900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A.8.25–A.8.29 (SDLC)</w:t>
            </w:r>
          </w:p>
        </w:tc>
        <w:tc>
          <w:tcPr>
            <w:tcW w:type="dxa" w:w="2306"/>
            <w:shd w:fill="FAFA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 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93 хяналтын бүрэн нийцлийг баталгаажуулах, FSAP 2030 хөндлөнгийн үнэлгээнд бэлтгэх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FSAP 2030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Clause 9.2, Хавсралт А бүхэлдээ</w:t>
            </w:r>
          </w:p>
        </w:tc>
        <w:tc>
          <w:tcPr>
            <w:tcW w:type="dxa" w:w="2306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 </w:t>
            </w:r>
          </w:p>
        </w:tc>
      </w:tr>
    </w:tbl>
    <w:p>
      <w:pPr>
        <w:spacing w:before="80"/>
      </w:pPr>
      <w:r>
        <w:rPr>
          <w:b/>
          <w:bCs/>
          <w:color w:val="17202B"/>
          <w:sz w:val="16"/>
          <w:szCs w:val="16"/>
        </w:rPr>
        <w:t xml:space="preserve">Тэмдэглэл: </w:t>
      </w:r>
      <w:r>
        <w:rPr>
          <w:color w:val="5B6472"/>
          <w:sz w:val="15"/>
          <w:szCs w:val="15"/>
        </w:rPr>
        <w:t xml:space="preserve">“A.7.20–A.7.24” гэсэн хяналт ISO/IEC 27001:2022-т байхгүй тул (Хавсралт А.7 нь A.7.1–A.7.14 хүртэл) дээрх хүснэгтэд A.7.1–A.7.6 (салбарын биет хамгаалалт) болон A.8.1 (хөдөлгөөнт/төгсгөлийн төхөөрөмж) болгон засварлав.</w:t>
      </w:r>
    </w:p>
    <w:p>
      <w:pPr>
        <w:pBdr>
          <w:bottom w:val="single" w:color="1F4E5F" w:sz="6" w:space="3"/>
        </w:pBdr>
        <w:spacing w:after="90" w:before="240"/>
      </w:pPr>
      <w:r>
        <w:rPr>
          <w:b/>
          <w:bCs/>
          <w:color w:val="1F4E5F"/>
          <w:sz w:val="21"/>
          <w:szCs w:val="21"/>
        </w:rPr>
        <w:t xml:space="preserve">Хураангуй хүснэгт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700"/>
        <w:gridCol w:w="2900"/>
      </w:tblGrid>
      <w:tr>
        <w:trPr>
          <w:tblHeader/>
        </w:trPr>
        <w:tc>
          <w:tcPr>
            <w:tcW w:type="dxa" w:w="11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Он</w:t>
            </w:r>
          </w:p>
        </w:tc>
        <w:tc>
          <w:tcPr>
            <w:tcW w:type="dxa" w:w="27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Аудитын төрөл</w:t>
            </w:r>
          </w:p>
        </w:tc>
        <w:tc>
          <w:tcPr>
            <w:tcW w:type="dxa" w:w="37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Шинээр нэмэгдэх хэсэг</w:t>
            </w:r>
          </w:p>
        </w:tc>
        <w:tc>
          <w:tcPr>
            <w:tcW w:type="dxa" w:w="2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Стратегийн холбоос</w:t>
            </w:r>
          </w:p>
        </w:tc>
      </w:tr>
      <w:tr>
        <w:tc>
          <w:tcPr>
            <w:tcW w:type="dxa" w:w="1100"/>
            <w:shd w:fill="E9F0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7202B"/>
                <w:sz w:val="17"/>
                <w:szCs w:val="17"/>
              </w:rPr>
              <w:t xml:space="preserve">2027</w:t>
            </w:r>
          </w:p>
        </w:tc>
        <w:tc>
          <w:tcPr>
            <w:tcW w:type="dxa" w:w="2700"/>
            <w:shd w:fill="E9F0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Анхны баталгаажуулалт</w:t>
            </w:r>
          </w:p>
        </w:tc>
        <w:tc>
          <w:tcPr>
            <w:tcW w:type="dxa" w:w="3700"/>
            <w:shd w:fill="E9F0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Төв байр, IT, Төлбөрийн систем/СВИФТ, Эрсдэл, Хуулийн газар</w:t>
            </w:r>
          </w:p>
        </w:tc>
        <w:tc>
          <w:tcPr>
            <w:tcW w:type="dxa" w:w="2900"/>
            <w:shd w:fill="E9F0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1.5, 1.6, 1.8, 1.9</w:t>
            </w:r>
          </w:p>
        </w:tc>
      </w:tr>
      <w:tr>
        <w:tc>
          <w:tcPr>
            <w:tcW w:type="dxa" w:w="1100"/>
            <w:shd w:fill="EAF1E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7202B"/>
                <w:sz w:val="17"/>
                <w:szCs w:val="17"/>
              </w:rPr>
              <w:t xml:space="preserve">2028</w:t>
            </w:r>
          </w:p>
        </w:tc>
        <w:tc>
          <w:tcPr>
            <w:tcW w:type="dxa" w:w="2700"/>
            <w:shd w:fill="EAF1E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1-р Хяналт + Scope Extension</w:t>
            </w:r>
          </w:p>
        </w:tc>
        <w:tc>
          <w:tcPr>
            <w:tcW w:type="dxa" w:w="3700"/>
            <w:shd w:fill="EAF1E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Нөөц төв (DR Site), АТМ/цэвэрлэгээний системийн бүрэн хамрал</w:t>
            </w:r>
          </w:p>
        </w:tc>
        <w:tc>
          <w:tcPr>
            <w:tcW w:type="dxa" w:w="2900"/>
            <w:shd w:fill="EAF1E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5.2, 5.3</w:t>
            </w:r>
          </w:p>
        </w:tc>
      </w:tr>
      <w:tr>
        <w:tc>
          <w:tcPr>
            <w:tcW w:type="dxa" w:w="1100"/>
            <w:shd w:fill="F1EDE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7202B"/>
                <w:sz w:val="17"/>
                <w:szCs w:val="17"/>
              </w:rPr>
              <w:t xml:space="preserve">2029</w:t>
            </w:r>
          </w:p>
        </w:tc>
        <w:tc>
          <w:tcPr>
            <w:tcW w:type="dxa" w:w="2700"/>
            <w:shd w:fill="F1EDE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2-р Хяналт + Scope Extension</w:t>
            </w:r>
          </w:p>
        </w:tc>
        <w:tc>
          <w:tcPr>
            <w:tcW w:type="dxa" w:w="3700"/>
            <w:shd w:fill="F1EDE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Их өгөгдөл, Зээлийн мэдээлэл, Валют арилжаа, гадны банк/ББСБ API</w:t>
            </w:r>
          </w:p>
        </w:tc>
        <w:tc>
          <w:tcPr>
            <w:tcW w:type="dxa" w:w="2900"/>
            <w:shd w:fill="F1EDE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1.7, 3.2, 4.1</w:t>
            </w:r>
          </w:p>
        </w:tc>
      </w:tr>
      <w:tr>
        <w:tc>
          <w:tcPr>
            <w:tcW w:type="dxa" w:w="1100"/>
            <w:shd w:fill="EDE7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7202B"/>
                <w:sz w:val="17"/>
                <w:szCs w:val="17"/>
              </w:rPr>
              <w:t xml:space="preserve">2030</w:t>
            </w:r>
          </w:p>
        </w:tc>
        <w:tc>
          <w:tcPr>
            <w:tcW w:type="dxa" w:w="2700"/>
            <w:shd w:fill="EDE7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Дахин баталгаажуулалт</w:t>
            </w:r>
          </w:p>
        </w:tc>
        <w:tc>
          <w:tcPr>
            <w:tcW w:type="dxa" w:w="3700"/>
            <w:shd w:fill="EDE7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Орон нутгийн салбарууд, Финтек Sandbox, бүрэн экосистем</w:t>
            </w:r>
          </w:p>
        </w:tc>
        <w:tc>
          <w:tcPr>
            <w:tcW w:type="dxa" w:w="2900"/>
            <w:shd w:fill="EDE7F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7"/>
                <w:szCs w:val="17"/>
              </w:rPr>
              <w:t xml:space="preserve">5.1, FSAP 2030</w:t>
            </w:r>
          </w:p>
        </w:tc>
      </w:tr>
    </w:tbl>
    <w:p>
      <w:pPr>
        <w:pBdr>
          <w:top w:val="single" w:color="D9D9D9" w:sz="4" w:space="6"/>
        </w:pBdr>
        <w:spacing w:before="200"/>
      </w:pPr>
      <w:r>
        <w:rPr>
          <w:i/>
          <w:iCs/>
          <w:color w:val="5B6472"/>
          <w:sz w:val="14"/>
          <w:szCs w:val="14"/>
        </w:rPr>
        <w:t xml:space="preserve">Эх сурвалж: Монголбанкны дунд хугацааны стратеги (2026–2030), Тендерийн III бүлгийн ажлын даалгавар, А/176 тушаал (2026.06.08), ISO/IEC 27001:2022 Хавсралт А. Жил бүрийн он тоо нь тендерийн 40 долоо хоногийн гэрээт хугацаанаас хойшхи ойролцоо хуанлийн жилээр илэрхийлэв — эцсийн хугацааг гэрээ, гэрчилгээжүүлэх байгууллагатай тохиролцоно.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4"/>
        <w:szCs w:val="14"/>
      </w:rPr>
      <w:t xml:space="preserve">Хуудас </w:t>
    </w:r>
    <w:r>
      <w:rPr>
        <w:color w:val="5B647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</w:pPr>
    <w:r>
      <w:rPr>
        <w:b/>
        <w:bCs/>
        <w:color w:val="1F4E5F"/>
        <w:sz w:val="16"/>
        <w:szCs w:val="16"/>
      </w:rPr>
      <w:t xml:space="preserve">ISO/IEC 27001:2022  ·  </w:t>
    </w:r>
    <w:r>
      <w:rPr>
        <w:color w:val="5B6472"/>
        <w:sz w:val="16"/>
        <w:szCs w:val="16"/>
      </w:rPr>
      <w:t xml:space="preserve">Хамрах хүрээг үе шаттай өргөтгөх төлөвлөгөө (2027–2030)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2026-09-07T12:40:15.487Z</dcterms:created>
  <dcterms:modified xsi:type="dcterms:W3CDTF">2026-09-07T12:40:15.497Z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